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rPr>
          <w:color w:val="auto"/>
        </w:rPr>
      </w:pPr>
      <w:bookmarkStart w:id="0" w:name="_Hlk38472698"/>
      <w:r>
        <w:rPr>
          <w:rFonts w:hint="eastAsia" w:ascii="仿宋" w:hAnsi="仿宋" w:eastAsia="仿宋"/>
          <w:b/>
          <w:color w:val="auto"/>
          <w:sz w:val="72"/>
          <w:szCs w:val="72"/>
          <w:lang w:val="en-US" w:eastAsia="zh-CN"/>
        </w:rPr>
        <w:drawing>
          <wp:inline distT="0" distB="0" distL="114300" distR="114300">
            <wp:extent cx="5909945" cy="941705"/>
            <wp:effectExtent l="0" t="0" r="14605" b="10795"/>
            <wp:docPr id="1" name="图片 1"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e17fb75101ff16f5eb68e7a59cb101"/>
                    <pic:cNvPicPr>
                      <a:picLocks noChangeAspect="1"/>
                    </pic:cNvPicPr>
                  </pic:nvPicPr>
                  <pic:blipFill>
                    <a:blip r:embed="rId13"/>
                    <a:stretch>
                      <a:fillRect/>
                    </a:stretch>
                  </pic:blipFill>
                  <pic:spPr>
                    <a:xfrm>
                      <a:off x="0" y="0"/>
                      <a:ext cx="5909945" cy="941705"/>
                    </a:xfrm>
                    <a:prstGeom prst="rect">
                      <a:avLst/>
                    </a:prstGeom>
                  </pic:spPr>
                </pic:pic>
              </a:graphicData>
            </a:graphic>
          </wp:inline>
        </w:drawing>
      </w:r>
    </w:p>
    <w:p>
      <w:pPr>
        <w:spacing w:line="1000" w:lineRule="exact"/>
        <w:jc w:val="center"/>
        <w:rPr>
          <w:rFonts w:ascii="仿宋" w:hAnsi="仿宋" w:eastAsia="仿宋"/>
          <w:b/>
          <w:color w:val="auto"/>
          <w:sz w:val="44"/>
          <w:szCs w:val="44"/>
        </w:rPr>
      </w:pPr>
      <w:r>
        <w:rPr>
          <w:rFonts w:hint="eastAsia" w:ascii="仿宋" w:hAnsi="仿宋" w:eastAsia="仿宋"/>
          <w:b/>
          <w:color w:val="auto"/>
          <w:sz w:val="44"/>
          <w:szCs w:val="44"/>
        </w:rPr>
        <w:t>关于</w:t>
      </w:r>
      <w:r>
        <w:rPr>
          <w:rFonts w:hint="eastAsia" w:ascii="仿宋" w:hAnsi="仿宋" w:eastAsia="仿宋"/>
          <w:b/>
          <w:color w:val="auto"/>
          <w:sz w:val="44"/>
          <w:szCs w:val="44"/>
          <w:lang w:val="en-US" w:eastAsia="zh-CN"/>
        </w:rPr>
        <w:t>校内改造工程</w:t>
      </w:r>
      <w:r>
        <w:rPr>
          <w:rFonts w:hint="eastAsia" w:ascii="仿宋" w:hAnsi="仿宋" w:eastAsia="仿宋"/>
          <w:b/>
          <w:color w:val="auto"/>
          <w:sz w:val="44"/>
          <w:szCs w:val="44"/>
        </w:rPr>
        <w:t>项目</w:t>
      </w:r>
    </w:p>
    <w:bookmarkEnd w:id="0"/>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公</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询</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邀</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请</w:t>
      </w:r>
    </w:p>
    <w:p>
      <w:pPr>
        <w:spacing w:line="1000" w:lineRule="exact"/>
        <w:jc w:val="center"/>
        <w:rPr>
          <w:rFonts w:ascii="仿宋" w:hAnsi="仿宋" w:eastAsia="仿宋"/>
          <w:b/>
          <w:color w:val="auto"/>
          <w:sz w:val="72"/>
          <w:szCs w:val="72"/>
        </w:rPr>
      </w:pPr>
      <w:r>
        <w:rPr>
          <w:rFonts w:hint="eastAsia" w:ascii="仿宋" w:hAnsi="仿宋" w:eastAsia="仿宋"/>
          <w:b/>
          <w:color w:val="auto"/>
          <w:sz w:val="72"/>
          <w:szCs w:val="72"/>
        </w:rPr>
        <w:t>函</w:t>
      </w:r>
    </w:p>
    <w:p>
      <w:pPr>
        <w:spacing w:line="500" w:lineRule="exact"/>
        <w:ind w:firstLine="2331" w:firstLineChars="645"/>
        <w:rPr>
          <w:rFonts w:hint="eastAsia" w:ascii="仿宋" w:hAnsi="仿宋" w:eastAsia="仿宋"/>
          <w:b/>
          <w:color w:val="auto"/>
          <w:sz w:val="36"/>
          <w:szCs w:val="36"/>
          <w:lang w:val="en-US" w:eastAsia="zh-CN"/>
        </w:rPr>
      </w:pPr>
      <w:r>
        <w:rPr>
          <w:rFonts w:hint="eastAsia" w:ascii="仿宋" w:hAnsi="仿宋" w:eastAsia="仿宋"/>
          <w:b/>
          <w:color w:val="auto"/>
          <w:sz w:val="36"/>
          <w:szCs w:val="36"/>
        </w:rPr>
        <w:t>项目编号：XT-GKXJ202</w:t>
      </w:r>
      <w:r>
        <w:rPr>
          <w:rFonts w:hint="eastAsia" w:ascii="仿宋" w:hAnsi="仿宋" w:eastAsia="仿宋"/>
          <w:b/>
          <w:color w:val="auto"/>
          <w:sz w:val="36"/>
          <w:szCs w:val="36"/>
          <w:lang w:val="en-US" w:eastAsia="zh-CN"/>
        </w:rPr>
        <w:t>1</w:t>
      </w:r>
      <w:r>
        <w:rPr>
          <w:rFonts w:hint="eastAsia" w:ascii="仿宋" w:hAnsi="仿宋" w:eastAsia="仿宋"/>
          <w:b/>
          <w:color w:val="auto"/>
          <w:sz w:val="36"/>
          <w:szCs w:val="36"/>
        </w:rPr>
        <w:t>0</w:t>
      </w:r>
      <w:bookmarkStart w:id="1" w:name="_Toc160880485"/>
      <w:bookmarkStart w:id="2" w:name="_Toc160880118"/>
      <w:bookmarkStart w:id="3" w:name="_Toc169332792"/>
      <w:r>
        <w:rPr>
          <w:rFonts w:hint="eastAsia" w:ascii="仿宋" w:hAnsi="仿宋" w:eastAsia="仿宋"/>
          <w:b/>
          <w:color w:val="auto"/>
          <w:sz w:val="36"/>
          <w:szCs w:val="36"/>
          <w:lang w:val="en-US" w:eastAsia="zh-CN"/>
        </w:rPr>
        <w:t>8</w:t>
      </w:r>
    </w:p>
    <w:p>
      <w:pPr>
        <w:spacing w:line="500" w:lineRule="exact"/>
        <w:ind w:firstLine="2331" w:firstLineChars="645"/>
        <w:rPr>
          <w:rFonts w:hint="default" w:ascii="仿宋" w:hAnsi="仿宋" w:eastAsia="仿宋"/>
          <w:b/>
          <w:color w:val="auto"/>
          <w:sz w:val="36"/>
          <w:szCs w:val="36"/>
          <w:lang w:val="en-US" w:eastAsia="zh-CN"/>
        </w:rPr>
      </w:pPr>
      <w:r>
        <w:rPr>
          <w:rFonts w:hint="eastAsia" w:ascii="仿宋" w:hAnsi="仿宋" w:eastAsia="仿宋"/>
          <w:b/>
          <w:color w:val="auto"/>
          <w:sz w:val="36"/>
          <w:szCs w:val="36"/>
        </w:rPr>
        <w:t>项目名称</w:t>
      </w:r>
      <w:bookmarkEnd w:id="1"/>
      <w:bookmarkEnd w:id="2"/>
      <w:bookmarkEnd w:id="3"/>
      <w:r>
        <w:rPr>
          <w:rFonts w:hint="eastAsia" w:ascii="仿宋" w:hAnsi="仿宋" w:eastAsia="仿宋"/>
          <w:b/>
          <w:color w:val="auto"/>
          <w:sz w:val="36"/>
          <w:szCs w:val="36"/>
        </w:rPr>
        <w:t>：</w:t>
      </w:r>
      <w:bookmarkStart w:id="4" w:name="_Toc267060022"/>
      <w:bookmarkStart w:id="5" w:name="_Toc267060162"/>
      <w:bookmarkStart w:id="6" w:name="_Toc211937196"/>
      <w:bookmarkStart w:id="7" w:name="_Toc267060407"/>
      <w:bookmarkStart w:id="8" w:name="_Toc267059899"/>
      <w:bookmarkStart w:id="9" w:name="_Toc216241307"/>
      <w:bookmarkStart w:id="10" w:name="_Toc259692693"/>
      <w:bookmarkStart w:id="11" w:name="_Toc170798743"/>
      <w:bookmarkStart w:id="12" w:name="_Toc266868624"/>
      <w:bookmarkStart w:id="13" w:name="_Toc267059786"/>
      <w:bookmarkStart w:id="14" w:name="_Toc177985424"/>
      <w:bookmarkStart w:id="15" w:name="_Toc266870386"/>
      <w:bookmarkStart w:id="16" w:name="_Toc266868924"/>
      <w:bookmarkStart w:id="17" w:name="_Toc235437942"/>
      <w:bookmarkStart w:id="18" w:name="_Toc251613780"/>
      <w:bookmarkStart w:id="19" w:name="_Toc273178686"/>
      <w:bookmarkStart w:id="20" w:name="_Toc267059010"/>
      <w:bookmarkStart w:id="21" w:name="_Toc169332904"/>
      <w:bookmarkStart w:id="22" w:name="_Toc255974963"/>
      <w:bookmarkStart w:id="23" w:name="_Toc212526081"/>
      <w:bookmarkStart w:id="24" w:name="_Toc212456146"/>
      <w:bookmarkStart w:id="25" w:name="_Toc225669277"/>
      <w:bookmarkStart w:id="26" w:name="_Toc207014580"/>
      <w:bookmarkStart w:id="27" w:name="_Toc253066567"/>
      <w:bookmarkStart w:id="28" w:name="_Toc266870861"/>
      <w:bookmarkStart w:id="29" w:name="_Toc169332794"/>
      <w:bookmarkStart w:id="30" w:name="_Toc267059633"/>
      <w:bookmarkStart w:id="31" w:name="_Toc217891359"/>
      <w:bookmarkStart w:id="32" w:name="_Toc258401210"/>
      <w:bookmarkStart w:id="33" w:name="_Toc235438227"/>
      <w:bookmarkStart w:id="34" w:name="_Toc254790852"/>
      <w:bookmarkStart w:id="35" w:name="_Toc227058483"/>
      <w:bookmarkStart w:id="36" w:name="_Toc212530253"/>
      <w:bookmarkStart w:id="37" w:name="_Toc267059519"/>
      <w:bookmarkStart w:id="38" w:name="_Toc259692600"/>
      <w:bookmarkStart w:id="39" w:name="_Toc251586187"/>
      <w:bookmarkStart w:id="40" w:name="_Toc212454753"/>
      <w:bookmarkStart w:id="41" w:name="_Toc267059161"/>
      <w:bookmarkStart w:id="42" w:name="_Toc249325665"/>
      <w:bookmarkStart w:id="43" w:name="_Toc160880487"/>
      <w:bookmarkStart w:id="44" w:name="_Toc236021402"/>
      <w:bookmarkStart w:id="45" w:name="_Toc235438297"/>
      <w:bookmarkStart w:id="46" w:name="_Toc223146565"/>
      <w:bookmarkStart w:id="47" w:name="_Toc259520819"/>
      <w:bookmarkStart w:id="48" w:name="_Toc219800200"/>
      <w:r>
        <w:rPr>
          <w:rFonts w:hint="eastAsia" w:ascii="仿宋" w:hAnsi="仿宋" w:eastAsia="仿宋"/>
          <w:b/>
          <w:color w:val="auto"/>
          <w:sz w:val="36"/>
          <w:szCs w:val="36"/>
          <w:lang w:val="en-US" w:eastAsia="zh-CN"/>
        </w:rPr>
        <w:t>校内改造工程项目</w:t>
      </w:r>
    </w:p>
    <w:p>
      <w:pPr>
        <w:pStyle w:val="51"/>
        <w:spacing w:line="360" w:lineRule="auto"/>
        <w:jc w:val="center"/>
        <w:outlineLvl w:val="0"/>
        <w:rPr>
          <w:rFonts w:hint="eastAsia" w:ascii="仿宋" w:hAnsi="仿宋" w:eastAsia="仿宋"/>
          <w:b/>
          <w:color w:val="auto"/>
          <w:sz w:val="44"/>
          <w:szCs w:val="44"/>
        </w:rPr>
      </w:pP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hint="eastAsia" w:ascii="仿宋" w:hAnsi="仿宋" w:eastAsia="仿宋"/>
          <w:color w:val="auto"/>
          <w:sz w:val="28"/>
          <w:szCs w:val="28"/>
        </w:rPr>
      </w:pPr>
      <w:bookmarkStart w:id="49" w:name="_Hlk10840310"/>
      <w:r>
        <w:rPr>
          <w:rFonts w:hint="eastAsia" w:ascii="仿宋" w:hAnsi="仿宋" w:eastAsia="仿宋"/>
          <w:color w:val="auto"/>
          <w:sz w:val="28"/>
          <w:szCs w:val="28"/>
        </w:rPr>
        <w:t>西安铁道技师学院坐落于历史名城古都西安，总校位于风光绮丽的白鹿原大学城，占地面积500余亩，环境优美，红莺翠柳，樱花烂漫。校园内公寓、餐厅、超市、银行等生活保障设施齐全，各类专业教室、计算机网络中心、实验实训设备满足了教学需求。总投资约10亿元人民币，在校生规模近3万人。</w:t>
      </w:r>
    </w:p>
    <w:p>
      <w:pPr>
        <w:spacing w:after="0" w:line="500" w:lineRule="exact"/>
        <w:ind w:firstLine="560" w:firstLineChars="200"/>
        <w:rPr>
          <w:rFonts w:ascii="仿宋" w:hAnsi="仿宋" w:eastAsia="仿宋"/>
          <w:color w:val="000000"/>
          <w:sz w:val="28"/>
          <w:szCs w:val="28"/>
        </w:rPr>
      </w:pPr>
      <w:r>
        <w:rPr>
          <w:rFonts w:hint="eastAsia" w:ascii="仿宋" w:hAnsi="仿宋" w:eastAsia="仿宋"/>
          <w:color w:val="auto"/>
          <w:sz w:val="28"/>
          <w:szCs w:val="28"/>
          <w:lang w:val="en-US" w:eastAsia="zh-CN"/>
        </w:rPr>
        <w:t>西安铁道技师学院根据使用要求，秉承公开、公平、公正的原则，现将2021年校内改造工程项目进行公开询价邀请，欢迎国内意向施工单位参与报价。</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b w:val="0"/>
          <w:bCs/>
          <w:color w:val="auto"/>
          <w:sz w:val="28"/>
          <w:szCs w:val="28"/>
        </w:rPr>
        <w:t>XT-GKXJ202</w:t>
      </w:r>
      <w:r>
        <w:rPr>
          <w:rFonts w:hint="eastAsia" w:ascii="仿宋" w:hAnsi="仿宋" w:eastAsia="仿宋"/>
          <w:b w:val="0"/>
          <w:bCs/>
          <w:color w:val="auto"/>
          <w:sz w:val="28"/>
          <w:szCs w:val="28"/>
          <w:lang w:val="en-US" w:eastAsia="zh-CN"/>
        </w:rPr>
        <w:t>1</w:t>
      </w:r>
      <w:r>
        <w:rPr>
          <w:rFonts w:hint="eastAsia" w:ascii="仿宋" w:hAnsi="仿宋" w:eastAsia="仿宋"/>
          <w:b w:val="0"/>
          <w:bCs/>
          <w:color w:val="auto"/>
          <w:sz w:val="28"/>
          <w:szCs w:val="28"/>
        </w:rPr>
        <w:t>0</w:t>
      </w:r>
      <w:r>
        <w:rPr>
          <w:rFonts w:hint="eastAsia" w:ascii="仿宋" w:hAnsi="仿宋" w:eastAsia="仿宋"/>
          <w:b w:val="0"/>
          <w:bCs/>
          <w:color w:val="auto"/>
          <w:sz w:val="28"/>
          <w:szCs w:val="28"/>
          <w:lang w:val="en-US" w:eastAsia="zh-CN"/>
        </w:rPr>
        <w:t>8</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w:t>
      </w:r>
      <w:r>
        <w:rPr>
          <w:rFonts w:hint="eastAsia" w:ascii="仿宋" w:hAnsi="仿宋" w:eastAsia="仿宋"/>
          <w:color w:val="auto"/>
          <w:sz w:val="28"/>
          <w:szCs w:val="28"/>
          <w:lang w:val="en-US" w:eastAsia="zh-CN"/>
        </w:rPr>
        <w:t>校内改造工程</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w:t>
      </w:r>
      <w:r>
        <w:rPr>
          <w:rFonts w:hint="eastAsia" w:ascii="仿宋" w:hAnsi="仿宋" w:eastAsia="仿宋"/>
          <w:sz w:val="28"/>
          <w:szCs w:val="28"/>
        </w:rPr>
        <w:t>《公开询价项目介绍》</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p>
    <w:p>
      <w:pPr>
        <w:widowControl w:val="0"/>
        <w:spacing w:after="0" w:line="500" w:lineRule="exact"/>
        <w:ind w:left="850" w:leftChars="328" w:hanging="128" w:hangingChars="46"/>
        <w:rPr>
          <w:rFonts w:ascii="仿宋" w:hAnsi="仿宋" w:eastAsia="仿宋"/>
          <w:color w:val="000000"/>
          <w:sz w:val="28"/>
          <w:szCs w:val="28"/>
        </w:rPr>
      </w:pPr>
      <w:r>
        <w:rPr>
          <w:rFonts w:hint="eastAsia" w:ascii="仿宋" w:hAnsi="仿宋" w:eastAsia="仿宋"/>
          <w:color w:val="000000"/>
          <w:sz w:val="28"/>
          <w:szCs w:val="28"/>
        </w:rPr>
        <w:t>（1）参与人须具有独立法人资格，公司注册资金</w:t>
      </w:r>
      <w:r>
        <w:rPr>
          <w:rFonts w:ascii="仿宋" w:hAnsi="仿宋" w:eastAsia="仿宋"/>
          <w:sz w:val="28"/>
          <w:szCs w:val="28"/>
        </w:rPr>
        <w:t>2</w:t>
      </w:r>
      <w:r>
        <w:rPr>
          <w:rFonts w:hint="eastAsia" w:ascii="仿宋" w:hAnsi="仿宋" w:eastAsia="仿宋"/>
          <w:sz w:val="28"/>
          <w:szCs w:val="28"/>
        </w:rPr>
        <w:t>00</w:t>
      </w:r>
      <w:r>
        <w:rPr>
          <w:rFonts w:hint="eastAsia" w:ascii="仿宋" w:hAnsi="仿宋" w:eastAsia="仿宋"/>
          <w:color w:val="000000"/>
          <w:sz w:val="28"/>
          <w:szCs w:val="28"/>
        </w:rPr>
        <w:t>万以上、须取得安全生产许可证，具有独立履行合同的能力，并应在近三年来具有与本工程规模相类似的工程业绩。</w:t>
      </w:r>
    </w:p>
    <w:p>
      <w:pPr>
        <w:widowControl w:val="0"/>
        <w:spacing w:after="0" w:line="500" w:lineRule="exact"/>
        <w:ind w:left="850" w:leftChars="328" w:hanging="128" w:hangingChars="46"/>
        <w:rPr>
          <w:rFonts w:ascii="仿宋" w:hAnsi="仿宋" w:eastAsia="仿宋"/>
          <w:color w:val="000000"/>
          <w:sz w:val="28"/>
          <w:szCs w:val="28"/>
        </w:rPr>
      </w:pPr>
      <w:r>
        <w:rPr>
          <w:rFonts w:hint="eastAsia" w:ascii="仿宋" w:hAnsi="仿宋" w:eastAsia="仿宋"/>
          <w:color w:val="000000"/>
          <w:sz w:val="28"/>
          <w:szCs w:val="28"/>
        </w:rPr>
        <w:t>（2）拟任项目经理：具有</w:t>
      </w:r>
      <w:r>
        <w:rPr>
          <w:rFonts w:hint="eastAsia" w:ascii="仿宋" w:hAnsi="仿宋" w:eastAsia="仿宋"/>
          <w:sz w:val="28"/>
          <w:szCs w:val="28"/>
        </w:rPr>
        <w:t>装修工程二级建造师资格证书、</w:t>
      </w:r>
      <w:r>
        <w:rPr>
          <w:rFonts w:hint="eastAsia" w:ascii="仿宋" w:hAnsi="仿宋" w:eastAsia="仿宋"/>
          <w:color w:val="000000"/>
          <w:sz w:val="28"/>
          <w:szCs w:val="28"/>
        </w:rPr>
        <w:t>工程师及以上职称，具有与本工程类似已完工程施工业绩。</w:t>
      </w:r>
    </w:p>
    <w:p>
      <w:pPr>
        <w:widowControl w:val="0"/>
        <w:spacing w:after="0" w:line="500" w:lineRule="exact"/>
        <w:ind w:left="850" w:leftChars="328" w:hanging="128" w:hangingChars="46"/>
        <w:rPr>
          <w:rFonts w:ascii="仿宋" w:hAnsi="仿宋" w:eastAsia="仿宋"/>
          <w:color w:val="000000"/>
          <w:sz w:val="28"/>
          <w:szCs w:val="28"/>
        </w:rPr>
      </w:pPr>
      <w:r>
        <w:rPr>
          <w:rFonts w:hint="eastAsia" w:ascii="仿宋" w:hAnsi="仿宋" w:eastAsia="仿宋"/>
          <w:color w:val="000000"/>
          <w:sz w:val="28"/>
          <w:szCs w:val="28"/>
        </w:rPr>
        <w:t>（3）拟任技术负责人：具有工程师及以上职称，具有与本工程类似已完成的业绩。</w:t>
      </w:r>
    </w:p>
    <w:p>
      <w:pPr>
        <w:widowControl w:val="0"/>
        <w:spacing w:after="0" w:line="500" w:lineRule="exact"/>
        <w:ind w:left="850" w:leftChars="328" w:hanging="128" w:hangingChars="46"/>
        <w:rPr>
          <w:rFonts w:ascii="仿宋" w:hAnsi="仿宋" w:eastAsia="仿宋"/>
          <w:color w:val="000000"/>
          <w:sz w:val="28"/>
          <w:szCs w:val="28"/>
        </w:rPr>
      </w:pPr>
      <w:r>
        <w:rPr>
          <w:rFonts w:hint="eastAsia" w:ascii="仿宋" w:hAnsi="仿宋" w:eastAsia="仿宋"/>
          <w:color w:val="000000"/>
          <w:sz w:val="28"/>
          <w:szCs w:val="28"/>
        </w:rPr>
        <w:t>（4）拟任项目经理、专职安全管理人员必须取得行政主管部门颁发的安全生产考核证书。</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000000"/>
          <w:sz w:val="28"/>
          <w:szCs w:val="28"/>
        </w:rPr>
        <w:t>（5）公司资金能力要求：能接受、满足及承受合同付款条件下的资金周转，并保证不会对此工程的正常运作造成任何影响；更不会因此造成延期交付工程，工人讨要薪水等情况的发生。</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邮寄</w:t>
      </w:r>
      <w:r>
        <w:rPr>
          <w:rFonts w:hint="eastAsia" w:ascii="仿宋" w:hAnsi="仿宋" w:eastAsia="仿宋"/>
          <w:color w:val="auto"/>
          <w:sz w:val="28"/>
          <w:szCs w:val="28"/>
          <w:lang w:eastAsia="zh-CN"/>
        </w:rPr>
        <w:t>）</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color w:val="auto"/>
          <w:sz w:val="28"/>
          <w:szCs w:val="28"/>
          <w:highlight w:val="none"/>
          <w:shd w:val="clear" w:color="auto" w:fill="FFFFFF"/>
        </w:rPr>
        <w:t>20</w:t>
      </w:r>
      <w:r>
        <w:rPr>
          <w:rFonts w:hint="eastAsia" w:ascii="仿宋" w:hAnsi="仿宋" w:eastAsia="仿宋"/>
          <w:color w:val="auto"/>
          <w:sz w:val="28"/>
          <w:szCs w:val="28"/>
          <w:highlight w:val="none"/>
          <w:shd w:val="clear" w:color="auto" w:fill="FFFFFF"/>
          <w:lang w:val="en-US" w:eastAsia="zh-CN"/>
        </w:rPr>
        <w:t>21</w:t>
      </w:r>
      <w:r>
        <w:rPr>
          <w:rFonts w:hint="eastAsia" w:ascii="仿宋" w:hAnsi="仿宋" w:eastAsia="仿宋"/>
          <w:color w:val="auto"/>
          <w:sz w:val="28"/>
          <w:szCs w:val="28"/>
          <w:highlight w:val="none"/>
          <w:shd w:val="clear" w:color="auto" w:fill="FFFFFF"/>
        </w:rPr>
        <w:t>年</w:t>
      </w:r>
      <w:r>
        <w:rPr>
          <w:rFonts w:hint="eastAsia" w:ascii="仿宋" w:hAnsi="仿宋" w:eastAsia="仿宋"/>
          <w:color w:val="auto"/>
          <w:sz w:val="28"/>
          <w:szCs w:val="28"/>
          <w:highlight w:val="none"/>
          <w:shd w:val="clear" w:color="auto" w:fill="FFFFFF"/>
          <w:lang w:val="en-US" w:eastAsia="zh-CN"/>
        </w:rPr>
        <w:t>6</w:t>
      </w:r>
      <w:r>
        <w:rPr>
          <w:rFonts w:ascii="仿宋" w:hAnsi="仿宋" w:eastAsia="仿宋"/>
          <w:color w:val="auto"/>
          <w:sz w:val="28"/>
          <w:szCs w:val="28"/>
          <w:highlight w:val="none"/>
          <w:shd w:val="clear" w:color="auto" w:fill="FFFFFF"/>
        </w:rPr>
        <w:t>月</w:t>
      </w:r>
      <w:r>
        <w:rPr>
          <w:rFonts w:hint="eastAsia" w:ascii="仿宋" w:hAnsi="仿宋" w:eastAsia="仿宋"/>
          <w:color w:val="auto"/>
          <w:sz w:val="28"/>
          <w:szCs w:val="28"/>
          <w:highlight w:val="none"/>
          <w:shd w:val="clear" w:color="auto" w:fill="FFFFFF"/>
          <w:lang w:val="en-US" w:eastAsia="zh-CN"/>
        </w:rPr>
        <w:t>2</w:t>
      </w:r>
      <w:r>
        <w:rPr>
          <w:rFonts w:ascii="仿宋" w:hAnsi="仿宋" w:eastAsia="仿宋"/>
          <w:color w:val="auto"/>
          <w:sz w:val="28"/>
          <w:szCs w:val="28"/>
          <w:highlight w:val="none"/>
          <w:shd w:val="clear" w:color="auto" w:fill="FFFFFF"/>
        </w:rPr>
        <w:t>日</w:t>
      </w:r>
      <w:r>
        <w:rPr>
          <w:rFonts w:hint="eastAsia" w:ascii="仿宋" w:hAnsi="仿宋" w:eastAsia="仿宋"/>
          <w:color w:val="auto"/>
          <w:sz w:val="28"/>
          <w:szCs w:val="28"/>
          <w:highlight w:val="none"/>
          <w:shd w:val="clear" w:color="auto" w:fill="FFFFFF"/>
          <w:lang w:val="en-US" w:eastAsia="zh-CN"/>
        </w:rPr>
        <w:t>上</w:t>
      </w:r>
      <w:r>
        <w:rPr>
          <w:rFonts w:hint="eastAsia" w:ascii="仿宋" w:hAnsi="仿宋" w:eastAsia="仿宋"/>
          <w:color w:val="auto"/>
          <w:sz w:val="28"/>
          <w:szCs w:val="28"/>
          <w:highlight w:val="none"/>
          <w:shd w:val="clear" w:color="auto" w:fill="FFFFFF"/>
        </w:rPr>
        <w:t>午</w:t>
      </w:r>
      <w:r>
        <w:rPr>
          <w:rFonts w:ascii="仿宋" w:hAnsi="仿宋" w:eastAsia="仿宋"/>
          <w:color w:val="auto"/>
          <w:sz w:val="28"/>
          <w:szCs w:val="28"/>
          <w:highlight w:val="none"/>
          <w:shd w:val="clear" w:color="auto" w:fill="FFFFFF"/>
        </w:rPr>
        <w:t>1</w:t>
      </w:r>
      <w:r>
        <w:rPr>
          <w:rFonts w:hint="eastAsia" w:ascii="仿宋" w:hAnsi="仿宋" w:eastAsia="仿宋"/>
          <w:color w:val="auto"/>
          <w:sz w:val="28"/>
          <w:szCs w:val="28"/>
          <w:highlight w:val="none"/>
          <w:shd w:val="clear" w:color="auto" w:fill="FFFFFF"/>
          <w:lang w:val="en-US" w:eastAsia="zh-CN"/>
        </w:rPr>
        <w:t>2</w:t>
      </w:r>
      <w:r>
        <w:rPr>
          <w:rFonts w:hint="eastAsia" w:ascii="仿宋" w:hAnsi="仿宋" w:eastAsia="仿宋"/>
          <w:color w:val="auto"/>
          <w:sz w:val="28"/>
          <w:szCs w:val="28"/>
          <w:highlight w:val="none"/>
          <w:shd w:val="clear" w:color="auto" w:fill="FFFFFF"/>
        </w:rPr>
        <w:t>:</w:t>
      </w:r>
      <w:r>
        <w:rPr>
          <w:rFonts w:ascii="仿宋" w:hAnsi="仿宋" w:eastAsia="仿宋"/>
          <w:color w:val="auto"/>
          <w:sz w:val="28"/>
          <w:szCs w:val="28"/>
          <w:highlight w:val="none"/>
          <w:shd w:val="clear" w:color="auto" w:fill="FFFFFF"/>
        </w:rPr>
        <w:t>00</w:t>
      </w:r>
      <w:r>
        <w:rPr>
          <w:rFonts w:hint="eastAsia" w:ascii="仿宋" w:hAnsi="仿宋" w:eastAsia="仿宋"/>
          <w:color w:val="auto"/>
          <w:sz w:val="28"/>
          <w:szCs w:val="28"/>
          <w:highlight w:val="none"/>
          <w:shd w:val="clear" w:color="auto" w:fill="FFFFFF"/>
        </w:rPr>
        <w:t>前</w:t>
      </w:r>
      <w:r>
        <w:rPr>
          <w:rFonts w:hint="eastAsia" w:ascii="仿宋" w:hAnsi="仿宋" w:eastAsia="仿宋"/>
          <w:color w:val="auto"/>
          <w:sz w:val="28"/>
          <w:szCs w:val="28"/>
          <w:highlight w:val="none"/>
          <w:shd w:val="clear" w:color="auto" w:fill="FFFFFF"/>
          <w:lang w:eastAsia="zh-CN"/>
        </w:rPr>
        <w:t>（</w:t>
      </w:r>
      <w:r>
        <w:rPr>
          <w:rFonts w:hint="eastAsia" w:ascii="仿宋" w:hAnsi="仿宋" w:eastAsia="仿宋"/>
          <w:color w:val="auto"/>
          <w:sz w:val="28"/>
          <w:szCs w:val="28"/>
          <w:highlight w:val="none"/>
          <w:shd w:val="clear" w:color="auto" w:fill="FFFFFF"/>
          <w:lang w:val="en-US" w:eastAsia="zh-CN"/>
        </w:rPr>
        <w:t>以参与人快递寄出时间为准</w:t>
      </w:r>
      <w:r>
        <w:rPr>
          <w:rFonts w:hint="eastAsia" w:ascii="仿宋" w:hAnsi="仿宋" w:eastAsia="仿宋"/>
          <w:color w:val="auto"/>
          <w:sz w:val="28"/>
          <w:szCs w:val="28"/>
          <w:highlight w:val="none"/>
          <w:shd w:val="clear" w:color="auto" w:fill="FFFFFF"/>
          <w:lang w:eastAsia="zh-CN"/>
        </w:rPr>
        <w:t>）</w:t>
      </w:r>
      <w:r>
        <w:rPr>
          <w:rFonts w:hint="eastAsia" w:ascii="仿宋" w:hAnsi="仿宋" w:eastAsia="仿宋"/>
          <w:color w:val="auto"/>
          <w:sz w:val="28"/>
          <w:szCs w:val="28"/>
          <w:shd w:val="clear" w:color="auto" w:fill="FFFFFF"/>
        </w:rPr>
        <w:t>。</w:t>
      </w:r>
      <w:r>
        <w:rPr>
          <w:rFonts w:ascii="仿宋_GB2312" w:hAnsi="宋体" w:eastAsia="仿宋_GB2312" w:cs="仿宋_GB2312"/>
          <w:i w:val="0"/>
          <w:iCs w:val="0"/>
          <w:caps w:val="0"/>
          <w:color w:val="000000"/>
          <w:spacing w:val="0"/>
          <w:sz w:val="27"/>
          <w:szCs w:val="27"/>
          <w:shd w:val="clear" w:fill="FFFFFF"/>
        </w:rPr>
        <w:t>逾期送达或不符合规定的文件将被拒绝接收</w:t>
      </w:r>
      <w:r>
        <w:rPr>
          <w:rFonts w:hint="eastAsia" w:ascii="仿宋" w:hAnsi="仿宋" w:eastAsia="仿宋"/>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sz w:val="28"/>
          <w:szCs w:val="28"/>
        </w:rPr>
        <w:t>7</w:t>
      </w:r>
      <w:r>
        <w:rPr>
          <w:rFonts w:hint="eastAsia" w:ascii="仿宋" w:hAnsi="仿宋" w:eastAsia="仿宋"/>
          <w:sz w:val="28"/>
          <w:szCs w:val="28"/>
        </w:rPr>
        <w:t>. 报价响应文件递交地点：</w:t>
      </w:r>
      <w:r>
        <w:rPr>
          <w:rFonts w:hint="eastAsia" w:ascii="仿宋" w:hAnsi="仿宋" w:eastAsia="仿宋"/>
          <w:color w:val="auto"/>
          <w:sz w:val="28"/>
          <w:szCs w:val="28"/>
          <w:lang w:eastAsia="zh-CN"/>
        </w:rPr>
        <w:t>西安铁道技师学院行政楼南楼</w:t>
      </w:r>
      <w:r>
        <w:rPr>
          <w:rFonts w:hint="eastAsia" w:ascii="仿宋" w:hAnsi="仿宋" w:eastAsia="仿宋"/>
          <w:color w:val="auto"/>
          <w:sz w:val="28"/>
          <w:szCs w:val="28"/>
          <w:lang w:val="en-US" w:eastAsia="zh-CN"/>
        </w:rPr>
        <w:t>110室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lang w:val="en-US" w:eastAsia="zh-CN"/>
        </w:rPr>
      </w:pPr>
      <w:r>
        <w:rPr>
          <w:rFonts w:hint="eastAsia" w:ascii="仿宋" w:hAnsi="仿宋" w:eastAsia="仿宋"/>
          <w:color w:val="auto"/>
          <w:sz w:val="28"/>
          <w:szCs w:val="28"/>
        </w:rPr>
        <w:t>联系人：</w:t>
      </w:r>
      <w:r>
        <w:rPr>
          <w:rFonts w:hint="eastAsia" w:ascii="仿宋" w:hAnsi="仿宋" w:eastAsia="仿宋"/>
          <w:color w:val="auto"/>
          <w:sz w:val="28"/>
          <w:szCs w:val="28"/>
          <w:lang w:val="en-US" w:eastAsia="zh-CN"/>
        </w:rPr>
        <w:t xml:space="preserve">张老师 </w:t>
      </w:r>
      <w:r>
        <w:rPr>
          <w:rFonts w:hint="eastAsia" w:ascii="仿宋" w:hAnsi="仿宋" w:eastAsia="仿宋"/>
          <w:color w:val="auto"/>
          <w:sz w:val="28"/>
          <w:szCs w:val="28"/>
        </w:rPr>
        <w:t>联系电话：</w:t>
      </w:r>
      <w:r>
        <w:rPr>
          <w:rFonts w:hint="eastAsia" w:ascii="仿宋" w:hAnsi="仿宋" w:eastAsia="仿宋"/>
          <w:color w:val="auto"/>
          <w:sz w:val="28"/>
          <w:szCs w:val="28"/>
          <w:lang w:val="en-US" w:eastAsia="zh-CN"/>
        </w:rPr>
        <w:t>13155813886</w:t>
      </w:r>
    </w:p>
    <w:p>
      <w:pPr>
        <w:spacing w:after="0" w:line="500" w:lineRule="exact"/>
        <w:ind w:left="839"/>
        <w:rPr>
          <w:rFonts w:hint="default" w:ascii="仿宋" w:hAnsi="仿宋" w:eastAsia="仿宋"/>
          <w:color w:val="auto"/>
          <w:sz w:val="28"/>
          <w:szCs w:val="28"/>
          <w:lang w:val="en-US" w:eastAsia="zh-CN"/>
        </w:rPr>
      </w:pPr>
      <w:r>
        <w:rPr>
          <w:rFonts w:hint="eastAsia" w:ascii="仿宋" w:hAnsi="仿宋" w:eastAsia="仿宋"/>
          <w:color w:val="auto"/>
          <w:sz w:val="28"/>
          <w:szCs w:val="28"/>
          <w:lang w:val="en-US" w:eastAsia="zh-CN"/>
        </w:rPr>
        <w:t xml:space="preserve">        曹老师 联系电话：13970859067</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left="980" w:leftChars="190" w:hanging="562" w:hangingChars="200"/>
        <w:jc w:val="left"/>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8. 本项目最终成交结果会在中教集团后勤贤知平台“中标信息公示”板     块公示，网址：www.ceghqxz.com</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843" w:firstLineChars="300"/>
        <w:textAlignment w:val="auto"/>
        <w:rPr>
          <w:rFonts w:hint="eastAsia" w:ascii="仿宋" w:hAnsi="仿宋" w:eastAsia="仿宋"/>
          <w:b/>
          <w:bCs/>
          <w:color w:val="auto"/>
          <w:sz w:val="28"/>
          <w:szCs w:val="28"/>
          <w:lang w:val="en-US" w:eastAsia="zh-CN"/>
        </w:rPr>
      </w:pPr>
      <w:r>
        <w:rPr>
          <w:rFonts w:hint="eastAsia" w:ascii="仿宋" w:hAnsi="仿宋" w:eastAsia="仿宋"/>
          <w:b/>
          <w:bCs/>
          <w:color w:val="auto"/>
          <w:sz w:val="28"/>
          <w:szCs w:val="28"/>
          <w:lang w:val="en-US" w:eastAsia="zh-CN"/>
        </w:rPr>
        <w:t>本项目监督投诉部门：中教集团内控部；投诉电话： 0791-88102608；</w:t>
      </w:r>
    </w:p>
    <w:p>
      <w:pPr>
        <w:keepNext w:val="0"/>
        <w:keepLines w:val="0"/>
        <w:pageBreakBefore w:val="0"/>
        <w:widowControl w:val="0"/>
        <w:numPr>
          <w:ilvl w:val="0"/>
          <w:numId w:val="0"/>
        </w:numPr>
        <w:kinsoku/>
        <w:wordWrap/>
        <w:overflowPunct/>
        <w:topLinePunct w:val="0"/>
        <w:autoSpaceDE/>
        <w:autoSpaceDN/>
        <w:bidi w:val="0"/>
        <w:adjustRightInd/>
        <w:snapToGrid/>
        <w:spacing w:after="0" w:line="500" w:lineRule="exact"/>
        <w:ind w:firstLine="843" w:firstLineChars="300"/>
        <w:textAlignment w:val="auto"/>
        <w:rPr>
          <w:rFonts w:hint="default" w:ascii="仿宋" w:hAnsi="仿宋" w:eastAsia="仿宋"/>
          <w:color w:val="auto"/>
          <w:sz w:val="28"/>
          <w:szCs w:val="28"/>
          <w:lang w:val="en-US" w:eastAsia="zh-CN"/>
        </w:rPr>
      </w:pPr>
      <w:r>
        <w:rPr>
          <w:rFonts w:hint="eastAsia" w:ascii="仿宋" w:hAnsi="仿宋" w:eastAsia="仿宋"/>
          <w:b/>
          <w:bCs/>
          <w:color w:val="auto"/>
          <w:sz w:val="28"/>
          <w:szCs w:val="28"/>
          <w:lang w:val="en-US" w:eastAsia="zh-CN"/>
        </w:rPr>
        <w:t>投诉邮箱：Neikongbu@educationgroup.cn</w:t>
      </w:r>
    </w:p>
    <w:p>
      <w:pPr>
        <w:spacing w:after="0" w:line="500" w:lineRule="exact"/>
        <w:ind w:firstLine="425" w:firstLineChars="152"/>
        <w:jc w:val="left"/>
        <w:rPr>
          <w:rFonts w:ascii="仿宋" w:hAnsi="仿宋" w:eastAsia="仿宋"/>
          <w:color w:val="000000"/>
          <w:sz w:val="28"/>
          <w:szCs w:val="28"/>
        </w:rPr>
      </w:pPr>
      <w:r>
        <w:rPr>
          <w:rFonts w:hint="eastAsia" w:ascii="仿宋" w:hAnsi="仿宋" w:eastAsia="仿宋"/>
          <w:color w:val="000000"/>
          <w:sz w:val="28"/>
          <w:szCs w:val="28"/>
        </w:rPr>
        <w:t>二、参与人须知</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所有货物均以人民币报价；</w:t>
      </w:r>
    </w:p>
    <w:p>
      <w:pPr>
        <w:widowControl w:val="0"/>
        <w:spacing w:after="0" w:line="500" w:lineRule="exact"/>
        <w:ind w:left="426"/>
        <w:jc w:val="left"/>
        <w:rPr>
          <w:rFonts w:ascii="仿宋" w:hAnsi="仿宋" w:eastAsia="仿宋"/>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w:t>
      </w:r>
      <w:r>
        <w:rPr>
          <w:rFonts w:hint="eastAsia" w:ascii="仿宋" w:hAnsi="仿宋" w:eastAsia="仿宋"/>
          <w:b/>
          <w:bCs/>
          <w:color w:val="FF0000"/>
          <w:sz w:val="28"/>
          <w:szCs w:val="28"/>
        </w:rPr>
        <w:t>（正本</w:t>
      </w:r>
      <w:r>
        <w:rPr>
          <w:rFonts w:hint="eastAsia" w:ascii="仿宋" w:hAnsi="仿宋" w:eastAsia="仿宋"/>
          <w:b/>
          <w:bCs/>
          <w:color w:val="FF0000"/>
          <w:sz w:val="28"/>
          <w:szCs w:val="28"/>
          <w:lang w:val="en-US" w:eastAsia="zh-CN"/>
        </w:rPr>
        <w:t>1</w:t>
      </w:r>
      <w:r>
        <w:rPr>
          <w:rFonts w:hint="eastAsia" w:ascii="仿宋" w:hAnsi="仿宋" w:eastAsia="仿宋"/>
          <w:b/>
          <w:bCs/>
          <w:color w:val="FF0000"/>
          <w:sz w:val="28"/>
          <w:szCs w:val="28"/>
        </w:rPr>
        <w:t>份副本</w:t>
      </w:r>
      <w:r>
        <w:rPr>
          <w:rFonts w:hint="eastAsia" w:ascii="仿宋" w:hAnsi="仿宋" w:eastAsia="仿宋"/>
          <w:b/>
          <w:bCs/>
          <w:color w:val="FF0000"/>
          <w:sz w:val="28"/>
          <w:szCs w:val="28"/>
          <w:lang w:val="en-US" w:eastAsia="zh-CN"/>
        </w:rPr>
        <w:t>1</w:t>
      </w:r>
      <w:r>
        <w:rPr>
          <w:rFonts w:hint="eastAsia" w:ascii="仿宋" w:hAnsi="仿宋" w:eastAsia="仿宋"/>
          <w:b/>
          <w:bCs/>
          <w:color w:val="FF0000"/>
          <w:sz w:val="28"/>
          <w:szCs w:val="28"/>
        </w:rPr>
        <w:t>份）</w:t>
      </w:r>
      <w:r>
        <w:rPr>
          <w:rFonts w:hint="eastAsia" w:ascii="仿宋" w:hAnsi="仿宋" w:eastAsia="仿宋"/>
          <w:sz w:val="28"/>
          <w:szCs w:val="28"/>
        </w:rPr>
        <w:t>；</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w:t>
      </w:r>
      <w:r>
        <w:rPr>
          <w:rFonts w:hint="eastAsia" w:ascii="仿宋" w:hAnsi="仿宋" w:eastAsia="仿宋"/>
          <w:sz w:val="28"/>
          <w:szCs w:val="28"/>
          <w:lang w:val="en-US" w:eastAsia="zh-CN"/>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5.</w:t>
      </w:r>
      <w:r>
        <w:rPr>
          <w:rFonts w:hint="eastAsia" w:ascii="仿宋" w:hAnsi="仿宋" w:eastAsia="仿宋"/>
          <w:sz w:val="28"/>
          <w:szCs w:val="28"/>
          <w:lang w:val="en-US" w:eastAsia="zh-CN"/>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left="426"/>
        <w:jc w:val="left"/>
        <w:rPr>
          <w:rFonts w:hint="eastAsia"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w:t>
      </w:r>
      <w:r>
        <w:rPr>
          <w:rFonts w:hint="eastAsia" w:ascii="仿宋" w:hAnsi="仿宋" w:eastAsia="仿宋"/>
          <w:color w:val="auto"/>
          <w:sz w:val="28"/>
          <w:szCs w:val="28"/>
          <w:lang w:eastAsia="zh-CN"/>
        </w:rPr>
        <w:t>材料</w:t>
      </w:r>
      <w:r>
        <w:rPr>
          <w:rFonts w:hint="eastAsia" w:ascii="仿宋" w:hAnsi="仿宋" w:eastAsia="仿宋"/>
          <w:color w:val="auto"/>
          <w:sz w:val="28"/>
          <w:szCs w:val="28"/>
        </w:rPr>
        <w:t>符合</w:t>
      </w:r>
      <w:r>
        <w:rPr>
          <w:rFonts w:hint="eastAsia" w:ascii="仿宋" w:hAnsi="仿宋" w:eastAsia="仿宋"/>
          <w:color w:val="auto"/>
          <w:sz w:val="28"/>
          <w:szCs w:val="28"/>
          <w:lang w:eastAsia="zh-CN"/>
        </w:rPr>
        <w:t>基建</w:t>
      </w:r>
      <w:r>
        <w:rPr>
          <w:rFonts w:hint="eastAsia" w:ascii="仿宋" w:hAnsi="仿宋" w:eastAsia="仿宋"/>
          <w:color w:val="auto"/>
          <w:sz w:val="28"/>
          <w:szCs w:val="28"/>
        </w:rPr>
        <w:t>需求、质量和服务要求,经过磋商所报价格为合理价格的参与人为成交参与人，最低报价不作为成交的保证。</w:t>
      </w:r>
    </w:p>
    <w:p>
      <w:pPr>
        <w:rPr>
          <w:rFonts w:ascii="仿宋" w:hAnsi="仿宋" w:eastAsia="仿宋"/>
          <w:color w:val="auto"/>
          <w:sz w:val="28"/>
          <w:szCs w:val="28"/>
        </w:rPr>
      </w:pPr>
      <w:r>
        <w:rPr>
          <w:rFonts w:ascii="仿宋" w:hAnsi="仿宋" w:eastAsia="仿宋"/>
          <w:color w:val="auto"/>
          <w:sz w:val="28"/>
          <w:szCs w:val="28"/>
        </w:rPr>
        <w:br w:type="page"/>
      </w:r>
    </w:p>
    <w:bookmarkEnd w:id="49"/>
    <w:p>
      <w:pPr>
        <w:spacing w:line="500" w:lineRule="exact"/>
        <w:jc w:val="center"/>
        <w:rPr>
          <w:rFonts w:ascii="仿宋" w:hAnsi="仿宋" w:eastAsia="仿宋"/>
          <w:b/>
          <w:color w:val="FF0000"/>
          <w:sz w:val="36"/>
          <w:szCs w:val="36"/>
        </w:rPr>
        <w:sectPr>
          <w:headerReference r:id="rId5" w:type="default"/>
          <w:footerReference r:id="rId6" w:type="default"/>
          <w:pgSz w:w="11906" w:h="16838"/>
          <w:pgMar w:top="1440" w:right="1416" w:bottom="1440" w:left="1134" w:header="851" w:footer="227" w:gutter="0"/>
          <w:cols w:space="425" w:num="1"/>
          <w:titlePg/>
          <w:docGrid w:type="lines" w:linePitch="312" w:charSpace="0"/>
        </w:sectPr>
      </w:pPr>
      <w:r>
        <w:rPr>
          <w:rFonts w:hint="eastAsia" w:ascii="仿宋" w:hAnsi="仿宋" w:eastAsia="仿宋"/>
          <w:b/>
          <w:color w:val="auto"/>
          <w:sz w:val="44"/>
          <w:szCs w:val="44"/>
        </w:rPr>
        <w:t>二、公开询价</w:t>
      </w:r>
      <w:r>
        <w:rPr>
          <w:rFonts w:hint="eastAsia" w:ascii="仿宋" w:hAnsi="仿宋" w:eastAsia="仿宋"/>
          <w:b/>
          <w:color w:val="auto"/>
          <w:sz w:val="44"/>
          <w:szCs w:val="44"/>
          <w:lang w:eastAsia="zh-CN"/>
        </w:rPr>
        <w:t>项目</w:t>
      </w:r>
      <w:r>
        <w:rPr>
          <w:rFonts w:hint="eastAsia" w:ascii="仿宋" w:hAnsi="仿宋" w:eastAsia="仿宋"/>
          <w:b/>
          <w:color w:val="auto"/>
          <w:sz w:val="44"/>
          <w:szCs w:val="44"/>
        </w:rPr>
        <w:t>一览表</w:t>
      </w:r>
    </w:p>
    <w:tbl>
      <w:tblPr>
        <w:tblStyle w:val="24"/>
        <w:tblpPr w:leftFromText="180" w:rightFromText="180" w:vertAnchor="page" w:horzAnchor="page" w:tblpX="1035" w:tblpY="2317"/>
        <w:tblOverlap w:val="never"/>
        <w:tblW w:w="10050" w:type="dxa"/>
        <w:tblInd w:w="0" w:type="dxa"/>
        <w:shd w:val="clear" w:color="auto" w:fill="auto"/>
        <w:tblLayout w:type="fixed"/>
        <w:tblCellMar>
          <w:top w:w="0" w:type="dxa"/>
          <w:left w:w="108" w:type="dxa"/>
          <w:bottom w:w="0" w:type="dxa"/>
          <w:right w:w="108" w:type="dxa"/>
        </w:tblCellMar>
      </w:tblPr>
      <w:tblGrid>
        <w:gridCol w:w="434"/>
        <w:gridCol w:w="3282"/>
        <w:gridCol w:w="463"/>
        <w:gridCol w:w="816"/>
        <w:gridCol w:w="832"/>
        <w:gridCol w:w="1183"/>
        <w:gridCol w:w="3040"/>
      </w:tblGrid>
      <w:tr>
        <w:tblPrEx>
          <w:shd w:val="clear" w:color="auto" w:fill="auto"/>
          <w:tblCellMar>
            <w:top w:w="0" w:type="dxa"/>
            <w:left w:w="108" w:type="dxa"/>
            <w:bottom w:w="0" w:type="dxa"/>
            <w:right w:w="108" w:type="dxa"/>
          </w:tblCellMar>
        </w:tblPrEx>
        <w:trPr>
          <w:trHeight w:val="559" w:hRule="atLeast"/>
        </w:trPr>
        <w:tc>
          <w:tcPr>
            <w:tcW w:w="100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西安铁道技师学院校内改造工程</w:t>
            </w:r>
          </w:p>
        </w:tc>
      </w:tr>
      <w:tr>
        <w:tblPrEx>
          <w:shd w:val="clear" w:color="auto" w:fill="auto"/>
          <w:tblCellMar>
            <w:top w:w="0" w:type="dxa"/>
            <w:left w:w="108" w:type="dxa"/>
            <w:bottom w:w="0" w:type="dxa"/>
            <w:right w:w="108" w:type="dxa"/>
          </w:tblCellMar>
        </w:tblPrEx>
        <w:trPr>
          <w:trHeight w:val="559" w:hRule="atLeast"/>
        </w:trPr>
        <w:tc>
          <w:tcPr>
            <w:tcW w:w="100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东教学楼南门外改造</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项目名称</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单位</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工程量</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综合单价</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合价（元）</w:t>
            </w: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工程内容说明</w:t>
            </w:r>
          </w:p>
        </w:tc>
      </w:tr>
      <w:tr>
        <w:tblPrEx>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路灯搬移</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机械台班费，人工配合费，路灯电路安装</w:t>
            </w:r>
          </w:p>
        </w:tc>
      </w:tr>
      <w:tr>
        <w:tblPrEx>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树根开挖</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机械台班费，人工配合费</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原散水拆除</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人工费，机械费,〔宽度1200，厚度100〕</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土方开挖</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6.72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机械台班费，人工费〔开挖尺寸：3500*6400*300〕</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三七灰土</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22.4</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人工费，材料费，厚度300mm</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道沿沟基础开挖</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人工费，机械费〔400*300〕</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道沿沟三七灰土垫层</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人工费，材料费，150mm厚三七灰土垫层</w:t>
            </w:r>
          </w:p>
        </w:tc>
      </w:tr>
      <w:tr>
        <w:tblPrEx>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道沿沟垫层</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0.4</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人工费，100mm厚混凝土垫层</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新做道沿</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成品石材道牙石</w:t>
            </w:r>
            <w:r>
              <w:rPr>
                <w:rStyle w:val="60"/>
                <w:rFonts w:hint="eastAsia" w:ascii="仿宋" w:hAnsi="仿宋" w:eastAsia="仿宋" w:cs="仿宋"/>
                <w:lang w:val="en-US" w:eastAsia="zh-CN" w:bidi="ar"/>
              </w:rPr>
              <w:t>，</w:t>
            </w:r>
            <w:r>
              <w:rPr>
                <w:rStyle w:val="61"/>
                <w:rFonts w:hint="eastAsia" w:ascii="仿宋" w:hAnsi="仿宋" w:eastAsia="仿宋" w:cs="仿宋"/>
                <w:lang w:val="en-US" w:eastAsia="zh-CN" w:bidi="ar"/>
              </w:rPr>
              <w:t>人工费，道牙基础。</w:t>
            </w:r>
          </w:p>
        </w:tc>
      </w:tr>
      <w:tr>
        <w:tblPrEx>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道沿外素土回填平整</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宽度1000mm厚度200mm-500mm</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新砌管道井</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人工费，沙子，水泥，红砖。尺寸：〔1800*1100*1200〕</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管道井外石材主材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7.88</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芝麻黑石材300*600厚度250mm</w:t>
            </w:r>
          </w:p>
        </w:tc>
      </w:tr>
      <w:tr>
        <w:tblPrEx>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管道井外石材铺设费</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7.88</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人工费及辅料</w:t>
            </w:r>
          </w:p>
        </w:tc>
      </w:tr>
      <w:tr>
        <w:tblPrEx>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管井外砖墙抹灰</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5.84</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水泥砂浆抹灰两遍成活，辅材，人工费</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树坑石</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块</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人工费，材料费</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楼外踏步</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0.9</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人工费，材料费，混凝土踏步尺寸〔800*150*7500〕</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踏步石材主材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7.13</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黄金麻石材300*600厚度300mm</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踏步石材铺设发费</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7.13</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人工费及辅料</w:t>
            </w:r>
          </w:p>
        </w:tc>
      </w:tr>
      <w:tr>
        <w:tblPrEx>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石材磨边</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石材磨圆边</w:t>
            </w:r>
          </w:p>
        </w:tc>
      </w:tr>
      <w:tr>
        <w:tblPrEx>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地面石材主材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159.7</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黄金麻石材300*600厚度300mm</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地面石材铺设费</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159.7</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人工费及辅料</w:t>
            </w:r>
          </w:p>
        </w:tc>
      </w:tr>
      <w:tr>
        <w:tblPrEx>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新做雨水井</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人工费，材料费，井尺寸：〔800*800*800〕含开挖</w:t>
            </w:r>
          </w:p>
        </w:tc>
      </w:tr>
      <w:tr>
        <w:tblPrEx>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26</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排水沟开挖</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机械费，人工费，开挖尺寸〔600*600〕</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27</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排水沟底部三七灰土</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人工费，白灰，机械费，厚度200mm</w:t>
            </w:r>
          </w:p>
        </w:tc>
      </w:tr>
      <w:tr>
        <w:tblPrEx>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28</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波纹管敷设</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300mm厚S2波纹管，人工费</w:t>
            </w:r>
          </w:p>
        </w:tc>
      </w:tr>
      <w:tr>
        <w:tblPrEx>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29</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排水沟回填</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人工回填排水沟，夯实</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垃圾清运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垃圾装车外运</w:t>
            </w:r>
          </w:p>
        </w:tc>
      </w:tr>
      <w:tr>
        <w:tblPrEx>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分项小计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59" w:hRule="atLeast"/>
        </w:trPr>
        <w:tc>
          <w:tcPr>
            <w:tcW w:w="100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19#公寓楼前破损路面修补及道沿排水改造</w:t>
            </w:r>
          </w:p>
        </w:tc>
      </w:tr>
      <w:tr>
        <w:tblPrEx>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原道沿拆除</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人工费，机械费</w:t>
            </w:r>
          </w:p>
        </w:tc>
      </w:tr>
      <w:tr>
        <w:tblPrEx>
          <w:shd w:val="clear" w:color="auto" w:fill="auto"/>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拆除后完整道沿转移至校内库房</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141</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道沿沟基础开挖</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人工费，机械费〔400*300〕</w:t>
            </w:r>
          </w:p>
        </w:tc>
      </w:tr>
      <w:tr>
        <w:tblPrEx>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道沿沟三七灰土垫层</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人工费，材料费，150mm厚三七灰土垫层</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道沿沟垫层</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9.4</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人工费，100mm厚混凝土垫层</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新做道沿</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成品石材道沿，人工费</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道沿外素土回填平整</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宽度1000mm厚度200mm-500mm</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新做道沿路面破除</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人工费，机械费，破除厚度：200mm</w:t>
            </w:r>
          </w:p>
        </w:tc>
      </w:tr>
      <w:tr>
        <w:tblPrEx>
          <w:tblCellMar>
            <w:top w:w="0" w:type="dxa"/>
            <w:left w:w="108" w:type="dxa"/>
            <w:bottom w:w="0" w:type="dxa"/>
            <w:right w:w="108" w:type="dxa"/>
          </w:tblCellMar>
        </w:tblPrEx>
        <w:trPr>
          <w:trHeight w:val="72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原破损混凝土路面拆除</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45.6</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人工费，机械费，破除厚度：200mm</w:t>
            </w:r>
          </w:p>
        </w:tc>
      </w:tr>
      <w:tr>
        <w:tblPrEx>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原破损路面三七灰土垫层</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45.6</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人工费，材料费，厚度300mm</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原破损路面新做混凝土</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9.12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C25混凝土厚度200mm，人工费</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过路管预埋路面破除</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人工费，机械费</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过路管预埋</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110mm厚波纹管敷设</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过路管预埋后混凝土恢复</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C25混凝土，人工费</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新做雨水井</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小红砖，沙子，水泥，人工费〔800*800*600〕含开挖</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新做雨水井路面混凝土破除</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人工费，机械费</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雨水管沟开挖</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人工费，机械台班费〔开挖尺寸：600mm*600mm〕</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雨水管沟三七灰土</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人工费，白灰，机械费，厚度200mm</w:t>
            </w:r>
          </w:p>
        </w:tc>
      </w:tr>
      <w:tr>
        <w:tblPrEx>
          <w:shd w:val="clear" w:color="auto" w:fill="auto"/>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波纹管敷设</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300mm厚S2波纹管，人工费</w:t>
            </w:r>
          </w:p>
        </w:tc>
      </w:tr>
      <w:tr>
        <w:tblPrEx>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20</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雨水管沟回填</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人工回填雨水沟</w:t>
            </w:r>
          </w:p>
        </w:tc>
      </w:tr>
      <w:tr>
        <w:tblPrEx>
          <w:shd w:val="clear" w:color="auto" w:fill="auto"/>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井盖安装</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成品400*600球墨铸铁井盖，人工费，材料费</w:t>
            </w:r>
          </w:p>
        </w:tc>
      </w:tr>
      <w:tr>
        <w:tblPrEx>
          <w:tblCellMar>
            <w:top w:w="0" w:type="dxa"/>
            <w:left w:w="108" w:type="dxa"/>
            <w:bottom w:w="0" w:type="dxa"/>
            <w:right w:w="108" w:type="dxa"/>
          </w:tblCellMar>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垃圾清运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21.37</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垃圾装车外运</w:t>
            </w:r>
          </w:p>
        </w:tc>
      </w:tr>
      <w:tr>
        <w:tblPrEx>
          <w:shd w:val="clear" w:color="auto" w:fill="auto"/>
        </w:tblPrEx>
        <w:trPr>
          <w:trHeight w:val="559"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分项小计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600" w:hRule="atLeast"/>
        </w:trPr>
        <w:tc>
          <w:tcPr>
            <w:tcW w:w="100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b/>
                <w:bCs/>
                <w:i w:val="0"/>
                <w:iCs w:val="0"/>
                <w:color w:val="000000"/>
                <w:kern w:val="0"/>
                <w:sz w:val="21"/>
                <w:szCs w:val="21"/>
                <w:u w:val="none"/>
                <w:lang w:val="en-US" w:eastAsia="zh-CN" w:bidi="ar"/>
              </w:rPr>
              <w:t>主教学楼南主干道破损路面修补及道沿排水改造</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原道沿拆除</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人工费，机械费</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拆除后完整道沿转移至校内库房</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w:t>
            </w:r>
          </w:p>
        </w:tc>
      </w:tr>
      <w:tr>
        <w:tblPrEx>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道沿沟基础开挖</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人工费，机械费〔400*300〕</w:t>
            </w:r>
          </w:p>
        </w:tc>
      </w:tr>
      <w:tr>
        <w:tblPrEx>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道沿沟三七灰土垫层</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34.4</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人工费，材料费，150mm厚三七灰土垫层</w:t>
            </w:r>
          </w:p>
        </w:tc>
      </w:tr>
      <w:tr>
        <w:tblPrEx>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道沿沟垫层</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3.44</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人工费，100mm厚混凝土垫层</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新做道沿</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成品石材道沿，人工费</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道沿外素土回填平整</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86</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宽度1000mm厚度200mm-500mm</w:t>
            </w:r>
          </w:p>
        </w:tc>
      </w:tr>
      <w:tr>
        <w:tblPrEx>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原破损混凝土路面拆除</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151.04</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人工费，机械费，破除厚度：200mm</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原破损路面三七灰土垫层</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151.04</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人工费，材料费，厚度300mm</w:t>
            </w:r>
          </w:p>
        </w:tc>
      </w:tr>
      <w:tr>
        <w:tblPrEx>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原破损路面新做混凝土</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C25混凝土厚度200mm，人工费</w:t>
            </w:r>
          </w:p>
        </w:tc>
      </w:tr>
      <w:tr>
        <w:tblPrEx>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新做雨水井</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个</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小红砖，沙子，水泥，人工费〔800*800*600〕含开挖</w:t>
            </w:r>
          </w:p>
        </w:tc>
      </w:tr>
      <w:tr>
        <w:tblPrEx>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新做雨水井路面混凝土破除</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人工费，机械费</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雨水管沟开挖</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人工费，机械台班费〔开挖尺寸：600mm*600mm〕</w:t>
            </w:r>
          </w:p>
        </w:tc>
      </w:tr>
      <w:tr>
        <w:tblPrEx>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雨水管沟三七灰土</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30.6</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人工费，白灰，机械费，厚度200mm</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波纹管敷设</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300mm厚S2波纹管，人工费</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雨水管沟回填</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51</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人工回填管道沟，夯实</w:t>
            </w:r>
          </w:p>
        </w:tc>
      </w:tr>
      <w:tr>
        <w:tblPrEx>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井盖安装</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成品400*600球墨铸铁井盖，人工费，材料费</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19</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垃圾清运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38.38</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垃圾装车外运</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分项小计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00" w:hRule="atLeast"/>
        </w:trPr>
        <w:tc>
          <w:tcPr>
            <w:tcW w:w="100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零星改造</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焊接中心北卷闸门坡道混凝土拆除</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人工费，机械费，破除厚度：200mm</w:t>
            </w:r>
          </w:p>
        </w:tc>
      </w:tr>
      <w:tr>
        <w:tblPrEx>
          <w:tblCellMar>
            <w:top w:w="0" w:type="dxa"/>
            <w:left w:w="108" w:type="dxa"/>
            <w:bottom w:w="0" w:type="dxa"/>
            <w:right w:w="108" w:type="dxa"/>
          </w:tblCellMar>
        </w:tblPrEx>
        <w:trPr>
          <w:trHeight w:val="72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焊接中心北卷闸门坡道拆除后三七灰土垫层</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人工费，材料费，厚度300mm</w:t>
            </w:r>
          </w:p>
        </w:tc>
      </w:tr>
      <w:tr>
        <w:tblPrEx>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焊接中心北卷闸门坡道混凝土</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3.24</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C25混凝土厚度200mm，人工费</w:t>
            </w:r>
          </w:p>
        </w:tc>
      </w:tr>
      <w:tr>
        <w:tblPrEx>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焊接中心北原卷闸门墙面抹灰</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2.4</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水泥砂浆抹灰两遍成活，辅材，人工费</w:t>
            </w:r>
          </w:p>
        </w:tc>
      </w:tr>
      <w:tr>
        <w:tblPrEx>
          <w:tblCellMar>
            <w:top w:w="0" w:type="dxa"/>
            <w:left w:w="108" w:type="dxa"/>
            <w:bottom w:w="0" w:type="dxa"/>
            <w:right w:w="108" w:type="dxa"/>
          </w:tblCellMar>
        </w:tblPrEx>
        <w:trPr>
          <w:trHeight w:val="9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原道沿拆除〔台球室门外，东教学楼南门外〕</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人工费，机械费</w:t>
            </w:r>
          </w:p>
        </w:tc>
      </w:tr>
      <w:tr>
        <w:tblPrEx>
          <w:tblCellMar>
            <w:top w:w="0" w:type="dxa"/>
            <w:left w:w="108" w:type="dxa"/>
            <w:bottom w:w="0" w:type="dxa"/>
            <w:right w:w="108" w:type="dxa"/>
          </w:tblCellMar>
        </w:tblPrEx>
        <w:trPr>
          <w:trHeight w:val="82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拆除后完整道沿转移至校内库房〔台球室门外，东教学楼南门外〕</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w:t>
            </w:r>
          </w:p>
        </w:tc>
      </w:tr>
      <w:tr>
        <w:tblPrEx>
          <w:shd w:val="clear" w:color="auto" w:fill="auto"/>
          <w:tblCellMar>
            <w:top w:w="0" w:type="dxa"/>
            <w:left w:w="108" w:type="dxa"/>
            <w:bottom w:w="0" w:type="dxa"/>
            <w:right w:w="108" w:type="dxa"/>
          </w:tblCellMar>
        </w:tblPrEx>
        <w:trPr>
          <w:trHeight w:val="7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道沿沟基础开挖〔台球室门外，东教学楼南门外〕</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人工费，机械费〔400*300〕</w:t>
            </w:r>
          </w:p>
        </w:tc>
      </w:tr>
      <w:tr>
        <w:tblPrEx>
          <w:shd w:val="clear" w:color="auto" w:fill="auto"/>
          <w:tblCellMar>
            <w:top w:w="0" w:type="dxa"/>
            <w:left w:w="108" w:type="dxa"/>
            <w:bottom w:w="0" w:type="dxa"/>
            <w:right w:w="108" w:type="dxa"/>
          </w:tblCellMar>
        </w:tblPrEx>
        <w:trPr>
          <w:trHeight w:val="84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道沿沟三七灰土垫层〔台球室门外，东教学楼南门外〕</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人工费，材料费，150mm厚三七灰土垫层</w:t>
            </w:r>
          </w:p>
        </w:tc>
      </w:tr>
      <w:tr>
        <w:tblPrEx>
          <w:shd w:val="clear" w:color="auto" w:fill="auto"/>
          <w:tblCellMar>
            <w:top w:w="0" w:type="dxa"/>
            <w:left w:w="108" w:type="dxa"/>
            <w:bottom w:w="0" w:type="dxa"/>
            <w:right w:w="108" w:type="dxa"/>
          </w:tblCellMar>
        </w:tblPrEx>
        <w:trPr>
          <w:trHeight w:val="8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道沿沟垫层〔台球室门外，东教学楼南门外〕</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0.72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人工费，100mm厚混凝土垫层</w:t>
            </w:r>
          </w:p>
        </w:tc>
      </w:tr>
      <w:tr>
        <w:tblPrEx>
          <w:tblCellMar>
            <w:top w:w="0" w:type="dxa"/>
            <w:left w:w="108" w:type="dxa"/>
            <w:bottom w:w="0" w:type="dxa"/>
            <w:right w:w="108" w:type="dxa"/>
          </w:tblCellMar>
        </w:tblPrEx>
        <w:trPr>
          <w:trHeight w:val="76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新做道沿〔台球室门外，东教学楼南门外〕</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成品石材道沿，人工费</w:t>
            </w:r>
          </w:p>
        </w:tc>
      </w:tr>
      <w:tr>
        <w:tblPrEx>
          <w:shd w:val="clear" w:color="auto" w:fill="auto"/>
          <w:tblCellMar>
            <w:top w:w="0" w:type="dxa"/>
            <w:left w:w="108" w:type="dxa"/>
            <w:bottom w:w="0" w:type="dxa"/>
            <w:right w:w="108" w:type="dxa"/>
          </w:tblCellMar>
        </w:tblPrEx>
        <w:trPr>
          <w:trHeight w:val="76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道沿外素土回填平整</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宽度1000mm厚度200mm-500mm</w:t>
            </w:r>
          </w:p>
        </w:tc>
      </w:tr>
      <w:tr>
        <w:tblPrEx>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分项小计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600" w:hRule="atLeast"/>
        </w:trPr>
        <w:tc>
          <w:tcPr>
            <w:tcW w:w="1005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18#公寓楼东门外雨排水改造</w:t>
            </w:r>
          </w:p>
        </w:tc>
      </w:tr>
      <w:tr>
        <w:tblPrEx>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开挖管道沟</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人工费，机械台班费〔开挖尺寸：500mm*600mm〕</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管道沟三七灰土</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22.8</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人工费，白灰，机械费，厚度200mm</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管道沟混凝土垫层</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2.28</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人工费，100mm厚混凝土垫层</w:t>
            </w:r>
          </w:p>
        </w:tc>
      </w:tr>
      <w:tr>
        <w:tblPrEx>
          <w:shd w:val="clear" w:color="auto" w:fill="auto"/>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砖砌管道沟</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38</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高度200mm，人工费，水泥，小红砖，沙子</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管道沟两侧抹灰</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45.6</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水泥砂浆抹灰两遍成活，辅材，人工费</w:t>
            </w:r>
          </w:p>
        </w:tc>
      </w:tr>
      <w:tr>
        <w:tblPrEx>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水泥雨水井篦</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32</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成品水泥雨水井篦，人工费</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7</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波纹管敷设</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300mm厚S2波纹管，人工费</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8</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公寓楼门口两侧散水灰土垫层</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m²</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人工费，白灰，机械费，厚度200mm</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9</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公寓楼门口两侧散水</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0.65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人工费，100mm厚混凝土</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11</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垃圾清运</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m³</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12.96</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垃圾装车外运</w:t>
            </w: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分项小计</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一</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直接工程费</w:t>
            </w:r>
          </w:p>
        </w:tc>
        <w:tc>
          <w:tcPr>
            <w:tcW w:w="46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二</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管理费及利润</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税金</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600" w:hRule="atLeast"/>
        </w:trPr>
        <w:tc>
          <w:tcPr>
            <w:tcW w:w="4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四</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工程总造价</w:t>
            </w:r>
          </w:p>
        </w:tc>
        <w:tc>
          <w:tcPr>
            <w:tcW w:w="2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304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bl>
    <w:p>
      <w:pPr>
        <w:jc w:val="center"/>
        <w:rPr>
          <w:rFonts w:hint="eastAsia" w:ascii="仿宋" w:hAnsi="仿宋" w:eastAsia="仿宋"/>
          <w:b/>
          <w:color w:val="auto"/>
          <w:sz w:val="72"/>
          <w:szCs w:val="72"/>
          <w:lang w:val="en-US" w:eastAsia="zh-CN"/>
        </w:rPr>
      </w:pPr>
      <w:bookmarkStart w:id="170" w:name="_GoBack"/>
      <w:bookmarkEnd w:id="170"/>
    </w:p>
    <w:p>
      <w:pPr>
        <w:jc w:val="center"/>
        <w:rPr>
          <w:rFonts w:hint="eastAsia" w:ascii="仿宋" w:hAnsi="仿宋" w:eastAsia="仿宋"/>
          <w:b/>
          <w:color w:val="auto"/>
          <w:sz w:val="72"/>
          <w:szCs w:val="72"/>
          <w:lang w:val="en-US" w:eastAsia="zh-CN"/>
        </w:rPr>
      </w:pPr>
    </w:p>
    <w:p>
      <w:pPr>
        <w:jc w:val="center"/>
        <w:rPr>
          <w:rFonts w:hint="eastAsia" w:ascii="仿宋" w:hAnsi="仿宋" w:eastAsia="仿宋"/>
          <w:b/>
          <w:color w:val="auto"/>
          <w:sz w:val="72"/>
          <w:szCs w:val="72"/>
          <w:lang w:val="en-US" w:eastAsia="zh-CN"/>
        </w:rPr>
      </w:pPr>
    </w:p>
    <w:p>
      <w:pPr>
        <w:jc w:val="center"/>
        <w:rPr>
          <w:rFonts w:hint="eastAsia" w:ascii="仿宋" w:hAnsi="仿宋" w:eastAsia="仿宋"/>
          <w:b/>
          <w:color w:val="auto"/>
          <w:sz w:val="72"/>
          <w:szCs w:val="72"/>
          <w:lang w:val="en-US" w:eastAsia="zh-CN"/>
        </w:rPr>
      </w:pPr>
    </w:p>
    <w:p>
      <w:pPr>
        <w:jc w:val="center"/>
        <w:rPr>
          <w:rFonts w:hint="eastAsia" w:ascii="仿宋" w:hAnsi="仿宋" w:eastAsia="仿宋"/>
          <w:b/>
          <w:color w:val="auto"/>
          <w:sz w:val="72"/>
          <w:szCs w:val="72"/>
          <w:lang w:val="en-US" w:eastAsia="zh-CN"/>
        </w:rPr>
      </w:pPr>
    </w:p>
    <w:p>
      <w:pPr>
        <w:jc w:val="center"/>
        <w:rPr>
          <w:rFonts w:hint="eastAsia" w:ascii="仿宋" w:hAnsi="仿宋" w:eastAsia="仿宋"/>
          <w:b/>
          <w:color w:val="auto"/>
          <w:sz w:val="72"/>
          <w:szCs w:val="72"/>
          <w:lang w:val="en-US" w:eastAsia="zh-CN"/>
        </w:rPr>
      </w:pPr>
    </w:p>
    <w:p>
      <w:pPr>
        <w:jc w:val="center"/>
        <w:rPr>
          <w:rFonts w:hint="eastAsia" w:ascii="仿宋" w:hAnsi="仿宋" w:eastAsia="仿宋"/>
          <w:b/>
          <w:color w:val="auto"/>
          <w:sz w:val="72"/>
          <w:szCs w:val="72"/>
          <w:lang w:val="en-US" w:eastAsia="zh-CN"/>
        </w:rPr>
      </w:pPr>
    </w:p>
    <w:p>
      <w:pPr>
        <w:jc w:val="center"/>
        <w:rPr>
          <w:rFonts w:hint="eastAsia" w:ascii="仿宋" w:hAnsi="仿宋" w:eastAsia="仿宋"/>
          <w:b/>
          <w:color w:val="auto"/>
          <w:sz w:val="72"/>
          <w:szCs w:val="72"/>
          <w:lang w:val="en-US" w:eastAsia="zh-CN"/>
        </w:rPr>
      </w:pPr>
    </w:p>
    <w:p>
      <w:pPr>
        <w:jc w:val="center"/>
        <w:rPr>
          <w:rFonts w:hint="eastAsia" w:ascii="仿宋" w:hAnsi="仿宋" w:eastAsia="仿宋"/>
          <w:b/>
          <w:color w:val="auto"/>
          <w:sz w:val="72"/>
          <w:szCs w:val="72"/>
          <w:lang w:val="en-US" w:eastAsia="zh-CN"/>
        </w:rPr>
      </w:pPr>
    </w:p>
    <w:p>
      <w:pPr>
        <w:jc w:val="center"/>
        <w:rPr>
          <w:rFonts w:hint="eastAsia" w:ascii="仿宋" w:hAnsi="仿宋" w:eastAsia="仿宋"/>
          <w:b/>
          <w:color w:val="auto"/>
          <w:sz w:val="72"/>
          <w:szCs w:val="72"/>
          <w:lang w:val="en-US" w:eastAsia="zh-CN"/>
        </w:rPr>
      </w:pPr>
    </w:p>
    <w:p>
      <w:pPr>
        <w:jc w:val="center"/>
        <w:rPr>
          <w:color w:val="auto"/>
        </w:rPr>
      </w:pPr>
      <w:r>
        <w:rPr>
          <w:rFonts w:hint="eastAsia" w:ascii="仿宋" w:hAnsi="仿宋" w:eastAsia="仿宋"/>
          <w:b/>
          <w:color w:val="auto"/>
          <w:sz w:val="72"/>
          <w:szCs w:val="72"/>
          <w:lang w:val="en-US" w:eastAsia="zh-CN"/>
        </w:rPr>
        <w:drawing>
          <wp:inline distT="0" distB="0" distL="114300" distR="114300">
            <wp:extent cx="5909945" cy="941705"/>
            <wp:effectExtent l="0" t="0" r="14605" b="10795"/>
            <wp:docPr id="3" name="图片 3"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e17fb75101ff16f5eb68e7a59cb101"/>
                    <pic:cNvPicPr>
                      <a:picLocks noChangeAspect="1"/>
                    </pic:cNvPicPr>
                  </pic:nvPicPr>
                  <pic:blipFill>
                    <a:blip r:embed="rId13"/>
                    <a:stretch>
                      <a:fillRect/>
                    </a:stretch>
                  </pic:blipFill>
                  <pic:spPr>
                    <a:xfrm>
                      <a:off x="0" y="0"/>
                      <a:ext cx="5909945" cy="941705"/>
                    </a:xfrm>
                    <a:prstGeom prst="rect">
                      <a:avLst/>
                    </a:prstGeom>
                  </pic:spPr>
                </pic:pic>
              </a:graphicData>
            </a:graphic>
          </wp:inline>
        </w:drawing>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bCs w:val="0"/>
          <w:color w:val="auto"/>
          <w:sz w:val="44"/>
          <w:szCs w:val="44"/>
          <w:lang w:val="en-US" w:eastAsia="zh-CN"/>
        </w:rPr>
        <w:t>校内改造工程</w:t>
      </w:r>
      <w:r>
        <w:rPr>
          <w:rFonts w:hint="eastAsia" w:ascii="仿宋" w:hAnsi="仿宋" w:eastAsia="仿宋"/>
          <w:b/>
          <w:sz w:val="44"/>
          <w:szCs w:val="44"/>
        </w:rPr>
        <w:t>项目</w:t>
      </w:r>
    </w:p>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ascii="仿宋" w:hAnsi="仿宋" w:eastAsia="仿宋"/>
          <w:b/>
          <w:color w:val="auto"/>
          <w:sz w:val="36"/>
          <w:szCs w:val="36"/>
        </w:rPr>
      </w:pPr>
      <w:r>
        <w:rPr>
          <w:rFonts w:hint="eastAsia" w:ascii="仿宋" w:hAnsi="仿宋" w:eastAsia="仿宋"/>
          <w:b/>
          <w:sz w:val="36"/>
          <w:szCs w:val="36"/>
        </w:rPr>
        <w:t>参与人名称（公司全称）：</w:t>
      </w:r>
      <w:r>
        <w:rPr>
          <w:rFonts w:ascii="仿宋" w:hAnsi="仿宋" w:eastAsia="仿宋"/>
          <w:b/>
          <w:color w:val="auto"/>
          <w:sz w:val="36"/>
          <w:szCs w:val="36"/>
        </w:rPr>
        <w:t>XXXX</w:t>
      </w:r>
    </w:p>
    <w:p>
      <w:pPr>
        <w:spacing w:line="500" w:lineRule="exact"/>
        <w:ind w:firstLine="2331" w:firstLineChars="645"/>
        <w:rPr>
          <w:rFonts w:ascii="仿宋" w:hAnsi="仿宋" w:eastAsia="仿宋"/>
          <w:b/>
          <w:color w:val="auto"/>
          <w:sz w:val="36"/>
          <w:szCs w:val="36"/>
        </w:rPr>
      </w:pPr>
      <w:r>
        <w:rPr>
          <w:rFonts w:hint="eastAsia" w:ascii="仿宋" w:hAnsi="仿宋" w:eastAsia="仿宋"/>
          <w:b/>
          <w:color w:val="auto"/>
          <w:sz w:val="36"/>
          <w:szCs w:val="36"/>
        </w:rPr>
        <w:t>参与人授权代表：X</w:t>
      </w:r>
      <w:r>
        <w:rPr>
          <w:rFonts w:ascii="仿宋" w:hAnsi="仿宋" w:eastAsia="仿宋"/>
          <w:b/>
          <w:color w:val="auto"/>
          <w:sz w:val="36"/>
          <w:szCs w:val="36"/>
        </w:rPr>
        <w:t>XXX</w:t>
      </w:r>
    </w:p>
    <w:p>
      <w:pPr>
        <w:jc w:val="center"/>
        <w:rPr>
          <w:rFonts w:ascii="仿宋" w:hAnsi="仿宋" w:eastAsia="仿宋"/>
          <w:b/>
          <w:sz w:val="36"/>
          <w:szCs w:val="36"/>
        </w:rPr>
      </w:pPr>
    </w:p>
    <w:p>
      <w:pPr>
        <w:jc w:val="center"/>
        <w:rPr>
          <w:rFonts w:ascii="仿宋" w:hAnsi="仿宋" w:eastAsia="仿宋"/>
          <w:b/>
          <w:sz w:val="72"/>
          <w:szCs w:val="72"/>
        </w:rPr>
      </w:pPr>
      <w:r>
        <w:rPr>
          <w:rFonts w:hint="eastAsia" w:ascii="仿宋" w:hAnsi="仿宋" w:eastAsia="仿宋"/>
          <w:b/>
          <w:bCs/>
          <w:color w:val="FF0000"/>
          <w:sz w:val="30"/>
          <w:szCs w:val="30"/>
        </w:rPr>
        <w:t>此封面应作为报价响应文件封面</w:t>
      </w:r>
    </w:p>
    <w:p>
      <w:pPr>
        <w:rPr>
          <w:rFonts w:ascii="仿宋" w:hAnsi="仿宋" w:eastAsia="仿宋"/>
          <w:b/>
          <w:bCs/>
          <w:sz w:val="30"/>
          <w:szCs w:val="30"/>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pPr>
        <w:jc w:val="center"/>
        <w:outlineLvl w:val="1"/>
        <w:rPr>
          <w:rFonts w:ascii="仿宋" w:hAnsi="仿宋" w:eastAsia="仿宋"/>
          <w:b/>
          <w:bCs/>
          <w:color w:val="auto"/>
          <w:sz w:val="28"/>
          <w:szCs w:val="28"/>
        </w:rPr>
      </w:pPr>
      <w:r>
        <w:rPr>
          <w:rFonts w:hint="eastAsia" w:ascii="仿宋" w:hAnsi="仿宋" w:eastAsia="仿宋"/>
          <w:b/>
          <w:bCs/>
          <w:color w:val="auto"/>
          <w:sz w:val="28"/>
          <w:szCs w:val="28"/>
        </w:rPr>
        <w:t>1、询价响应函</w:t>
      </w:r>
    </w:p>
    <w:p>
      <w:pPr>
        <w:spacing w:after="0" w:line="480" w:lineRule="exact"/>
        <w:rPr>
          <w:rFonts w:hint="default" w:ascii="仿宋" w:hAnsi="仿宋" w:eastAsia="仿宋"/>
          <w:color w:val="auto"/>
          <w:sz w:val="28"/>
          <w:szCs w:val="28"/>
          <w:lang w:val="en-US" w:eastAsia="zh-CN"/>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西安铁道技师学院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提交下述文件X份。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据此函，签字代表宣布同意如下：</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1.所附详细报价表中规定的应提供和交付的货物及服务报价总价（国内现场交货价）为人民币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，即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（中文表述）。</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4.参与人将按公开询价文件的规定履行合同责任和义务。</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5</w:t>
      </w:r>
      <w:r>
        <w:rPr>
          <w:rFonts w:hint="eastAsia" w:ascii="仿宋" w:hAnsi="仿宋" w:eastAsia="仿宋"/>
          <w:color w:val="auto"/>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color w:val="auto"/>
          <w:sz w:val="28"/>
          <w:szCs w:val="28"/>
        </w:rPr>
      </w:pPr>
      <w:r>
        <w:rPr>
          <w:rFonts w:ascii="仿宋" w:hAnsi="仿宋" w:eastAsia="仿宋"/>
          <w:color w:val="auto"/>
          <w:sz w:val="28"/>
          <w:szCs w:val="28"/>
        </w:rPr>
        <w:t>6</w:t>
      </w:r>
      <w:r>
        <w:rPr>
          <w:rFonts w:hint="eastAsia" w:ascii="仿宋" w:hAnsi="仿宋" w:eastAsia="仿宋"/>
          <w:color w:val="auto"/>
          <w:sz w:val="28"/>
          <w:szCs w:val="28"/>
        </w:rPr>
        <w:t>.与本此公开询价有关的一切正式往来通讯请寄：</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地址：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邮编：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电话：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传真：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u w:val="single"/>
        </w:rPr>
      </w:pPr>
      <w:r>
        <w:rPr>
          <w:rFonts w:hint="eastAsia" w:ascii="仿宋" w:hAnsi="仿宋" w:eastAsia="仿宋"/>
          <w:color w:val="auto"/>
          <w:sz w:val="28"/>
          <w:szCs w:val="28"/>
        </w:rPr>
        <w:t xml:space="preserve">      参与人授权代表签字： </w:t>
      </w:r>
      <w:r>
        <w:rPr>
          <w:rFonts w:hint="eastAsia" w:ascii="仿宋" w:hAnsi="仿宋" w:eastAsia="仿宋"/>
          <w:color w:val="auto"/>
          <w:sz w:val="28"/>
          <w:szCs w:val="28"/>
          <w:u w:val="single"/>
        </w:rPr>
        <w:t xml:space="preserve">                </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参与人（公司全称并加盖公章）：</w:t>
      </w:r>
      <w:r>
        <w:rPr>
          <w:rFonts w:hint="eastAsia" w:ascii="仿宋" w:hAnsi="仿宋" w:eastAsia="仿宋"/>
          <w:color w:val="auto"/>
          <w:sz w:val="28"/>
          <w:szCs w:val="28"/>
          <w:u w:val="single"/>
        </w:rPr>
        <w:t xml:space="preserve">                       </w:t>
      </w:r>
    </w:p>
    <w:p>
      <w:pPr>
        <w:pStyle w:val="56"/>
        <w:spacing w:line="480" w:lineRule="exact"/>
        <w:jc w:val="left"/>
        <w:outlineLvl w:val="9"/>
        <w:rPr>
          <w:rFonts w:ascii="仿宋" w:hAnsi="仿宋" w:eastAsia="仿宋"/>
          <w:color w:val="auto"/>
          <w:szCs w:val="28"/>
        </w:rPr>
      </w:pPr>
      <w:r>
        <w:rPr>
          <w:rFonts w:hint="eastAsia" w:ascii="仿宋" w:hAnsi="仿宋" w:eastAsia="仿宋"/>
          <w:color w:val="auto"/>
          <w:szCs w:val="28"/>
        </w:rPr>
        <w:t xml:space="preserve">      日  期： </w:t>
      </w:r>
      <w:r>
        <w:rPr>
          <w:rFonts w:hint="eastAsia" w:ascii="仿宋" w:hAnsi="仿宋" w:eastAsia="仿宋"/>
          <w:color w:val="auto"/>
          <w:szCs w:val="28"/>
          <w:u w:val="single"/>
        </w:rPr>
        <w:t xml:space="preserve">    </w:t>
      </w:r>
      <w:r>
        <w:rPr>
          <w:rFonts w:hint="eastAsia" w:ascii="仿宋" w:hAnsi="仿宋" w:eastAsia="仿宋"/>
          <w:color w:val="auto"/>
          <w:szCs w:val="28"/>
        </w:rPr>
        <w:t xml:space="preserve">年 </w:t>
      </w:r>
      <w:r>
        <w:rPr>
          <w:rFonts w:hint="eastAsia" w:ascii="仿宋" w:hAnsi="仿宋" w:eastAsia="仿宋"/>
          <w:color w:val="auto"/>
          <w:szCs w:val="28"/>
          <w:u w:val="single"/>
        </w:rPr>
        <w:t xml:space="preserve">   </w:t>
      </w:r>
      <w:r>
        <w:rPr>
          <w:rFonts w:hint="eastAsia" w:ascii="仿宋" w:hAnsi="仿宋" w:eastAsia="仿宋"/>
          <w:color w:val="auto"/>
          <w:szCs w:val="28"/>
        </w:rPr>
        <w:t xml:space="preserve">月 </w:t>
      </w:r>
      <w:r>
        <w:rPr>
          <w:rFonts w:hint="eastAsia" w:ascii="仿宋" w:hAnsi="仿宋" w:eastAsia="仿宋"/>
          <w:color w:val="auto"/>
          <w:szCs w:val="28"/>
          <w:u w:val="single"/>
        </w:rPr>
        <w:t xml:space="preserve">   </w:t>
      </w:r>
      <w:r>
        <w:rPr>
          <w:rFonts w:hint="eastAsia" w:ascii="仿宋" w:hAnsi="仿宋" w:eastAsia="仿宋"/>
          <w:color w:val="auto"/>
          <w:szCs w:val="28"/>
        </w:rPr>
        <w:t>日</w:t>
      </w:r>
    </w:p>
    <w:p>
      <w:pPr>
        <w:rPr>
          <w:rFonts w:hint="eastAsia" w:ascii="仿宋" w:hAnsi="仿宋" w:eastAsia="仿宋"/>
          <w:bCs/>
          <w:color w:val="auto"/>
          <w:sz w:val="28"/>
          <w:szCs w:val="28"/>
          <w:u w:val="single"/>
          <w:lang w:val="en-US" w:eastAsia="zh-CN"/>
        </w:rPr>
      </w:pPr>
      <w:r>
        <w:rPr>
          <w:rFonts w:ascii="仿宋" w:hAnsi="仿宋" w:eastAsia="仿宋"/>
          <w:color w:val="auto"/>
          <w:szCs w:val="28"/>
        </w:rPr>
        <w:br w:type="page"/>
      </w:r>
      <w:bookmarkStart w:id="50" w:name="_Toc213755945"/>
      <w:bookmarkStart w:id="51" w:name="_Toc267060461"/>
      <w:bookmarkStart w:id="52" w:name="_Toc219800249"/>
      <w:bookmarkStart w:id="53" w:name="_Toc180302918"/>
      <w:bookmarkStart w:id="54" w:name="_Toc192996451"/>
      <w:bookmarkStart w:id="55" w:name="_Toc170798798"/>
      <w:bookmarkStart w:id="56" w:name="_Toc225669328"/>
      <w:bookmarkStart w:id="57" w:name="_Toc267059924"/>
      <w:bookmarkStart w:id="58" w:name="_Toc267059811"/>
      <w:bookmarkStart w:id="59" w:name="_Toc255975016"/>
      <w:bookmarkStart w:id="60" w:name="_Toc267059544"/>
      <w:bookmarkStart w:id="61" w:name="_Toc181436570"/>
      <w:bookmarkStart w:id="62" w:name="_Toc253066624"/>
      <w:bookmarkStart w:id="63" w:name="_Toc267059658"/>
      <w:bookmarkStart w:id="64" w:name="_Toc266870916"/>
      <w:bookmarkStart w:id="65" w:name="_Toc160880165"/>
      <w:bookmarkStart w:id="66" w:name="_Toc251613839"/>
      <w:bookmarkStart w:id="67" w:name="_Toc211917121"/>
      <w:bookmarkStart w:id="68" w:name="_Toc259520874"/>
      <w:bookmarkStart w:id="69" w:name="_Toc223146614"/>
      <w:bookmarkStart w:id="70" w:name="_Toc230071153"/>
      <w:bookmarkStart w:id="71" w:name="_Toc267060326"/>
      <w:bookmarkStart w:id="72" w:name="_Toc273178703"/>
      <w:bookmarkStart w:id="73" w:name="_Toc181436466"/>
      <w:bookmarkStart w:id="74" w:name="_Toc235438352"/>
      <w:bookmarkStart w:id="75" w:name="_Toc191789334"/>
      <w:bookmarkStart w:id="76" w:name="_Toc236021457"/>
      <w:bookmarkStart w:id="77" w:name="_Toc203355738"/>
      <w:bookmarkStart w:id="78" w:name="_Toc192663691"/>
      <w:bookmarkStart w:id="79" w:name="_Toc227058536"/>
      <w:bookmarkStart w:id="80" w:name="_Toc191783227"/>
      <w:bookmarkStart w:id="81" w:name="_Toc169332843"/>
      <w:bookmarkStart w:id="82" w:name="_Toc267060076"/>
      <w:bookmarkStart w:id="83" w:name="_Toc267059035"/>
      <w:bookmarkStart w:id="84" w:name="_Toc191803631"/>
      <w:bookmarkStart w:id="85" w:name="_Toc192996343"/>
      <w:bookmarkStart w:id="86" w:name="_Toc235438281"/>
      <w:bookmarkStart w:id="87" w:name="_Toc193160453"/>
      <w:bookmarkStart w:id="88" w:name="_Toc254790909"/>
      <w:bookmarkStart w:id="89" w:name="_Toc182372787"/>
      <w:bookmarkStart w:id="90" w:name="_Toc267060216"/>
      <w:bookmarkStart w:id="91" w:name="_Toc259692656"/>
      <w:bookmarkStart w:id="92" w:name="_Toc182805222"/>
      <w:bookmarkStart w:id="93" w:name="_Toc267059186"/>
      <w:bookmarkStart w:id="94" w:name="_Toc266868679"/>
      <w:bookmarkStart w:id="95" w:name="_Toc249325720"/>
      <w:bookmarkStart w:id="96" w:name="_Toc259692749"/>
      <w:bookmarkStart w:id="97" w:name="_Toc266870839"/>
      <w:bookmarkStart w:id="98" w:name="_Toc192663840"/>
      <w:bookmarkStart w:id="99" w:name="_Toc235437998"/>
      <w:bookmarkStart w:id="100" w:name="_Toc160880534"/>
      <w:bookmarkStart w:id="101" w:name="_Toc169332954"/>
      <w:bookmarkStart w:id="102" w:name="_Toc213756001"/>
      <w:bookmarkStart w:id="103" w:name="_Toc217891408"/>
      <w:bookmarkStart w:id="104" w:name="_Toc232302122"/>
      <w:bookmarkStart w:id="105" w:name="_Toc251586241"/>
      <w:bookmarkStart w:id="106" w:name="_Toc258401265"/>
      <w:bookmarkStart w:id="107" w:name="_Toc213756057"/>
      <w:bookmarkStart w:id="108" w:name="_Toc266868943"/>
      <w:bookmarkStart w:id="109" w:name="_Toc191802695"/>
      <w:bookmarkStart w:id="110" w:name="_Toc177985474"/>
      <w:bookmarkStart w:id="111" w:name="_Toc213208771"/>
      <w:bookmarkStart w:id="112" w:name="_Toc213755864"/>
      <w:bookmarkStart w:id="113" w:name="_Toc266870441"/>
      <w:bookmarkStart w:id="114" w:name="_Toc192664158"/>
      <w:bookmarkStart w:id="115" w:name="_Toc193165739"/>
    </w:p>
    <w:p>
      <w:pPr>
        <w:jc w:val="center"/>
        <w:outlineLvl w:val="1"/>
        <w:rPr>
          <w:rFonts w:ascii="仿宋" w:hAnsi="仿宋" w:eastAsia="仿宋"/>
          <w:b/>
          <w:bCs/>
          <w:color w:val="auto"/>
          <w:sz w:val="28"/>
          <w:szCs w:val="28"/>
        </w:rPr>
      </w:pPr>
    </w:p>
    <w:p>
      <w:pPr>
        <w:jc w:val="center"/>
        <w:outlineLvl w:val="1"/>
        <w:rPr>
          <w:rFonts w:ascii="仿宋" w:hAnsi="仿宋" w:eastAsia="仿宋"/>
          <w:b/>
          <w:color w:val="auto"/>
          <w:sz w:val="28"/>
          <w:szCs w:val="28"/>
        </w:rPr>
      </w:pPr>
      <w:r>
        <w:rPr>
          <w:rFonts w:hint="eastAsia" w:ascii="仿宋" w:hAnsi="仿宋" w:eastAsia="仿宋"/>
          <w:b/>
          <w:bCs/>
          <w:color w:val="auto"/>
          <w:sz w:val="28"/>
          <w:szCs w:val="28"/>
          <w:lang w:val="en-US" w:eastAsia="zh-CN"/>
        </w:rPr>
        <w:t>2</w:t>
      </w:r>
      <w:r>
        <w:rPr>
          <w:rFonts w:hint="eastAsia" w:ascii="仿宋" w:hAnsi="仿宋" w:eastAsia="仿宋"/>
          <w:b/>
          <w:bCs/>
          <w:color w:val="auto"/>
          <w:sz w:val="28"/>
          <w:szCs w:val="28"/>
        </w:rPr>
        <w:t>、参与人的资格证明文件</w:t>
      </w:r>
    </w:p>
    <w:p>
      <w:pPr>
        <w:pStyle w:val="56"/>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bookmarkStart w:id="116" w:name="_Toc267060462"/>
      <w:bookmarkStart w:id="117" w:name="_Toc259692657"/>
      <w:bookmarkStart w:id="118" w:name="_Toc259692750"/>
      <w:bookmarkStart w:id="119" w:name="_Toc259520875"/>
      <w:bookmarkStart w:id="120" w:name="_Toc255975017"/>
      <w:bookmarkStart w:id="121" w:name="_Toc254790910"/>
      <w:bookmarkStart w:id="122" w:name="_Toc235438353"/>
      <w:bookmarkStart w:id="123" w:name="_Toc227058537"/>
      <w:bookmarkStart w:id="124" w:name="_Toc213756058"/>
      <w:bookmarkStart w:id="125" w:name="_Toc217891409"/>
      <w:bookmarkStart w:id="126" w:name="_Toc266870442"/>
      <w:bookmarkStart w:id="127" w:name="_Toc225669329"/>
      <w:bookmarkStart w:id="128" w:name="_Toc251586242"/>
      <w:bookmarkStart w:id="129" w:name="_Toc251613840"/>
      <w:bookmarkStart w:id="130" w:name="_Toc267060217"/>
      <w:bookmarkStart w:id="131" w:name="_Toc219800250"/>
      <w:bookmarkStart w:id="132" w:name="_Toc223146615"/>
      <w:bookmarkStart w:id="133" w:name="_Toc258401266"/>
      <w:bookmarkStart w:id="134" w:name="_Toc235437999"/>
      <w:bookmarkStart w:id="135" w:name="_Toc267060077"/>
      <w:bookmarkStart w:id="136" w:name="_Toc230071154"/>
      <w:bookmarkStart w:id="137" w:name="_Toc232302123"/>
      <w:bookmarkStart w:id="138" w:name="_Toc266868680"/>
      <w:bookmarkStart w:id="139" w:name="_Toc236021458"/>
      <w:bookmarkStart w:id="140" w:name="_Toc266870917"/>
      <w:bookmarkStart w:id="141" w:name="_Toc249325721"/>
      <w:bookmarkStart w:id="142" w:name="_Toc235438282"/>
      <w:bookmarkStart w:id="143" w:name="_Toc253066625"/>
      <w:r>
        <w:rPr>
          <w:rFonts w:hint="eastAsia" w:ascii="仿宋" w:hAnsi="仿宋" w:eastAsia="仿宋"/>
          <w:b/>
          <w:color w:val="auto"/>
          <w:sz w:val="28"/>
          <w:szCs w:val="28"/>
          <w:lang w:val="en-US" w:eastAsia="zh-CN"/>
        </w:rPr>
        <w:t>2</w:t>
      </w:r>
      <w:r>
        <w:rPr>
          <w:rFonts w:hint="eastAsia" w:ascii="仿宋" w:hAnsi="仿宋" w:eastAsia="仿宋"/>
          <w:b/>
          <w:color w:val="auto"/>
          <w:sz w:val="28"/>
          <w:szCs w:val="28"/>
        </w:rPr>
        <w:t>-1关于资格的声明函</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r>
        <w:rPr>
          <w:rFonts w:hint="eastAsia" w:ascii="仿宋" w:hAnsi="仿宋" w:eastAsia="仿宋"/>
          <w:b/>
          <w:color w:val="auto"/>
          <w:sz w:val="28"/>
          <w:szCs w:val="28"/>
        </w:rPr>
        <w:cr/>
      </w:r>
    </w:p>
    <w:p>
      <w:pPr>
        <w:spacing w:after="0" w:line="500" w:lineRule="exact"/>
        <w:rPr>
          <w:rFonts w:ascii="仿宋" w:hAnsi="仿宋" w:eastAsia="仿宋"/>
          <w:color w:val="auto"/>
          <w:sz w:val="28"/>
          <w:szCs w:val="28"/>
        </w:rPr>
      </w:pPr>
      <w:bookmarkStart w:id="144" w:name="_Hlk511663739"/>
      <w:r>
        <w:rPr>
          <w:rFonts w:hint="eastAsia" w:ascii="仿宋" w:hAnsi="仿宋" w:eastAsia="仿宋"/>
          <w:color w:val="auto"/>
          <w:sz w:val="28"/>
          <w:szCs w:val="28"/>
          <w:lang w:val="en-US" w:eastAsia="zh-CN"/>
        </w:rPr>
        <w:t>西安铁道技师学院</w:t>
      </w:r>
      <w:r>
        <w:rPr>
          <w:rFonts w:hint="eastAsia" w:ascii="仿宋" w:hAnsi="仿宋" w:eastAsia="仿宋"/>
          <w:color w:val="auto"/>
          <w:sz w:val="28"/>
          <w:szCs w:val="28"/>
        </w:rPr>
        <w:t>：</w:t>
      </w:r>
      <w:bookmarkEnd w:id="144"/>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2．我方的资格声明X份，随报价响应文件一同递交。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地   </w:t>
      </w:r>
      <w:r>
        <w:rPr>
          <w:rFonts w:ascii="仿宋" w:hAnsi="仿宋" w:eastAsia="仿宋"/>
          <w:color w:val="auto"/>
          <w:sz w:val="28"/>
          <w:szCs w:val="28"/>
        </w:rPr>
        <w:t xml:space="preserve">     </w:t>
      </w:r>
      <w:r>
        <w:rPr>
          <w:rFonts w:hint="eastAsia" w:ascii="仿宋" w:hAnsi="仿宋" w:eastAsia="仿宋"/>
          <w:color w:val="auto"/>
          <w:sz w:val="28"/>
          <w:szCs w:val="28"/>
        </w:rPr>
        <w:t xml:space="preserve">  址：</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邮    </w:t>
      </w:r>
      <w:r>
        <w:rPr>
          <w:rFonts w:ascii="仿宋" w:hAnsi="仿宋" w:eastAsia="仿宋"/>
          <w:color w:val="auto"/>
          <w:sz w:val="28"/>
          <w:szCs w:val="28"/>
        </w:rPr>
        <w:t xml:space="preserve">     </w:t>
      </w:r>
      <w:r>
        <w:rPr>
          <w:rFonts w:hint="eastAsia" w:ascii="仿宋" w:hAnsi="仿宋" w:eastAsia="仿宋"/>
          <w:color w:val="auto"/>
          <w:sz w:val="28"/>
          <w:szCs w:val="28"/>
        </w:rPr>
        <w:t xml:space="preserve"> 编：</w:t>
      </w:r>
      <w:r>
        <w:rPr>
          <w:rFonts w:hint="eastAsia" w:ascii="仿宋" w:hAnsi="仿宋" w:eastAsia="仿宋"/>
          <w:color w:val="auto"/>
          <w:sz w:val="28"/>
          <w:szCs w:val="28"/>
          <w:u w:val="single"/>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 xml:space="preserve">电 </w:t>
      </w:r>
      <w:r>
        <w:rPr>
          <w:rFonts w:ascii="仿宋" w:hAnsi="仿宋" w:eastAsia="仿宋"/>
          <w:color w:val="auto"/>
          <w:sz w:val="28"/>
          <w:szCs w:val="28"/>
        </w:rPr>
        <w:t xml:space="preserve"> </w:t>
      </w:r>
      <w:r>
        <w:rPr>
          <w:rFonts w:hint="eastAsia" w:ascii="仿宋" w:hAnsi="仿宋" w:eastAsia="仿宋"/>
          <w:color w:val="auto"/>
          <w:sz w:val="28"/>
          <w:szCs w:val="28"/>
        </w:rPr>
        <w:t>话或传  真：</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color w:val="auto"/>
          <w:sz w:val="28"/>
          <w:szCs w:val="28"/>
        </w:rPr>
      </w:pPr>
      <w:r>
        <w:rPr>
          <w:rFonts w:hint="eastAsia" w:ascii="仿宋" w:hAnsi="仿宋" w:eastAsia="仿宋"/>
          <w:color w:val="auto"/>
          <w:sz w:val="28"/>
          <w:szCs w:val="28"/>
        </w:rPr>
        <w:t>参与人授权代表：</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bookmarkStart w:id="145" w:name="_Toc266870918"/>
      <w:bookmarkStart w:id="146" w:name="_Toc230071155"/>
      <w:bookmarkStart w:id="147" w:name="_Toc253066626"/>
      <w:bookmarkStart w:id="148" w:name="_Toc223146616"/>
      <w:bookmarkStart w:id="149" w:name="_Toc219800251"/>
      <w:bookmarkStart w:id="150" w:name="_Toc235438283"/>
      <w:bookmarkStart w:id="151" w:name="_Toc251613841"/>
      <w:bookmarkStart w:id="152" w:name="_Toc254790911"/>
      <w:bookmarkStart w:id="153" w:name="_Toc232302124"/>
      <w:bookmarkStart w:id="154" w:name="_Toc255975018"/>
      <w:bookmarkStart w:id="155" w:name="_Toc266870443"/>
      <w:bookmarkStart w:id="156" w:name="_Toc259692658"/>
      <w:bookmarkStart w:id="157" w:name="_Toc227058538"/>
      <w:bookmarkStart w:id="158" w:name="_Toc225669330"/>
      <w:bookmarkStart w:id="159" w:name="_Toc258401267"/>
      <w:bookmarkStart w:id="160" w:name="_Toc236021459"/>
      <w:bookmarkStart w:id="161" w:name="_Toc259692751"/>
      <w:bookmarkStart w:id="162" w:name="_Toc235438354"/>
      <w:bookmarkStart w:id="163" w:name="_Toc251586243"/>
      <w:bookmarkStart w:id="164" w:name="_Toc249325722"/>
      <w:bookmarkStart w:id="165" w:name="_Toc213756059"/>
      <w:bookmarkStart w:id="166" w:name="_Toc266868681"/>
      <w:bookmarkStart w:id="167" w:name="_Toc235438000"/>
      <w:bookmarkStart w:id="168" w:name="_Toc217891410"/>
      <w:bookmarkStart w:id="169" w:name="_Toc259520876"/>
    </w:p>
    <w:p>
      <w:pPr>
        <w:jc w:val="center"/>
        <w:outlineLvl w:val="1"/>
        <w:rPr>
          <w:rFonts w:hint="eastAsia" w:ascii="仿宋" w:hAnsi="仿宋" w:eastAsia="仿宋"/>
          <w:b/>
          <w:color w:val="auto"/>
          <w:sz w:val="28"/>
          <w:szCs w:val="28"/>
        </w:rPr>
      </w:pPr>
      <w:r>
        <w:rPr>
          <w:rFonts w:ascii="仿宋" w:hAnsi="仿宋" w:eastAsia="仿宋"/>
          <w:color w:val="auto"/>
          <w:sz w:val="28"/>
          <w:szCs w:val="28"/>
        </w:rPr>
        <w:br w:type="page"/>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pPr>
        <w:jc w:val="center"/>
        <w:outlineLvl w:val="1"/>
        <w:rPr>
          <w:rFonts w:ascii="仿宋" w:hAnsi="仿宋" w:eastAsia="仿宋"/>
          <w:b/>
          <w:color w:val="auto"/>
          <w:sz w:val="28"/>
          <w:szCs w:val="28"/>
        </w:rPr>
      </w:pPr>
      <w:r>
        <w:rPr>
          <w:rFonts w:hint="eastAsia" w:ascii="仿宋" w:hAnsi="仿宋" w:eastAsia="仿宋"/>
          <w:b/>
          <w:color w:val="auto"/>
          <w:sz w:val="28"/>
          <w:szCs w:val="28"/>
          <w:lang w:val="en-US" w:eastAsia="zh-CN"/>
        </w:rPr>
        <w:t>2</w:t>
      </w:r>
      <w:r>
        <w:rPr>
          <w:rFonts w:hint="eastAsia" w:ascii="仿宋" w:hAnsi="仿宋" w:eastAsia="仿宋"/>
          <w:b/>
          <w:color w:val="auto"/>
          <w:sz w:val="28"/>
          <w:szCs w:val="28"/>
        </w:rPr>
        <w:t>-</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val="en-US" w:eastAsia="zh-CN"/>
        </w:rPr>
        <w:t>西安铁道技师学院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参 与 人（全称并加盖公章）：</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w:t>
      </w:r>
      <w:r>
        <w:rPr>
          <w:rFonts w:hint="eastAsia" w:ascii="仿宋" w:hAnsi="仿宋" w:eastAsia="仿宋"/>
          <w:color w:val="auto"/>
          <w:sz w:val="28"/>
          <w:szCs w:val="28"/>
          <w:lang w:val="zh-CN"/>
        </w:rPr>
        <w:t>参与人授权代表</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p>
    <w:p>
      <w:pPr>
        <w:spacing w:line="380" w:lineRule="exact"/>
        <w:rPr>
          <w:rFonts w:ascii="仿宋" w:hAnsi="仿宋" w:eastAsia="仿宋"/>
          <w:color w:val="auto"/>
          <w:sz w:val="28"/>
          <w:szCs w:val="28"/>
        </w:rPr>
      </w:pPr>
      <w:r>
        <w:rPr>
          <w:rFonts w:hint="eastAsia" w:ascii="仿宋" w:hAnsi="仿宋" w:eastAsia="仿宋"/>
          <w:color w:val="auto"/>
          <w:sz w:val="28"/>
          <w:szCs w:val="28"/>
        </w:rPr>
        <w:t xml:space="preserve">                         日      期：</w:t>
      </w:r>
      <w:r>
        <w:rPr>
          <w:rFonts w:hint="eastAsia" w:ascii="仿宋" w:hAnsi="仿宋" w:eastAsia="仿宋"/>
          <w:color w:val="auto"/>
          <w:sz w:val="28"/>
          <w:szCs w:val="28"/>
          <w:u w:val="single"/>
        </w:rPr>
        <w:t xml:space="preserve">                                </w:t>
      </w:r>
    </w:p>
    <w:p>
      <w:pPr>
        <w:spacing w:line="380" w:lineRule="exact"/>
        <w:jc w:val="both"/>
        <w:outlineLvl w:val="2"/>
        <w:rPr>
          <w:rFonts w:ascii="仿宋" w:hAnsi="仿宋" w:eastAsia="仿宋"/>
          <w:color w:val="auto"/>
          <w:sz w:val="28"/>
          <w:szCs w:val="28"/>
        </w:rPr>
      </w:pPr>
    </w:p>
    <w:p>
      <w:pPr>
        <w:spacing w:line="380" w:lineRule="exact"/>
        <w:jc w:val="both"/>
        <w:outlineLvl w:val="2"/>
        <w:rPr>
          <w:rFonts w:ascii="仿宋" w:hAnsi="仿宋" w:eastAsia="仿宋"/>
          <w:sz w:val="28"/>
          <w:szCs w:val="28"/>
        </w:rPr>
      </w:pPr>
    </w:p>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2148840" cy="342265"/>
          <wp:effectExtent l="0" t="0" r="3810" b="635"/>
          <wp:docPr id="6" name="图片 6"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2148840" cy="342265"/>
          <wp:effectExtent l="0" t="0" r="3810" b="635"/>
          <wp:docPr id="4" name="图片 4"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2148840" cy="342265"/>
          <wp:effectExtent l="0" t="0" r="3810" b="635"/>
          <wp:docPr id="5" name="图片 5" descr="5e17fb75101ff16f5eb68e7a59cb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5e17fb75101ff16f5eb68e7a59cb101"/>
                  <pic:cNvPicPr>
                    <a:picLocks noChangeAspect="1"/>
                  </pic:cNvPicPr>
                </pic:nvPicPr>
                <pic:blipFill>
                  <a:blip r:embed="rId1"/>
                  <a:stretch>
                    <a:fillRect/>
                  </a:stretch>
                </pic:blipFill>
                <pic:spPr>
                  <a:xfrm>
                    <a:off x="0" y="0"/>
                    <a:ext cx="2148840" cy="342265"/>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75605"/>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03096D5F"/>
    <w:rsid w:val="030C2CB6"/>
    <w:rsid w:val="04354CBF"/>
    <w:rsid w:val="04666C9E"/>
    <w:rsid w:val="06B74B55"/>
    <w:rsid w:val="06FD269A"/>
    <w:rsid w:val="088D6805"/>
    <w:rsid w:val="097E7635"/>
    <w:rsid w:val="09A72F70"/>
    <w:rsid w:val="0A3716B9"/>
    <w:rsid w:val="0A6E7410"/>
    <w:rsid w:val="0AD51E70"/>
    <w:rsid w:val="0B1F242D"/>
    <w:rsid w:val="0C527DEF"/>
    <w:rsid w:val="0ED9607E"/>
    <w:rsid w:val="0F383E2B"/>
    <w:rsid w:val="0FED387A"/>
    <w:rsid w:val="10001529"/>
    <w:rsid w:val="100A4947"/>
    <w:rsid w:val="101D4561"/>
    <w:rsid w:val="10987E8D"/>
    <w:rsid w:val="10D67172"/>
    <w:rsid w:val="11404E12"/>
    <w:rsid w:val="1411269D"/>
    <w:rsid w:val="150679A5"/>
    <w:rsid w:val="150D047B"/>
    <w:rsid w:val="15721458"/>
    <w:rsid w:val="16CD0305"/>
    <w:rsid w:val="16F140DB"/>
    <w:rsid w:val="1734667A"/>
    <w:rsid w:val="176F441B"/>
    <w:rsid w:val="183E4929"/>
    <w:rsid w:val="1876491E"/>
    <w:rsid w:val="18B462D9"/>
    <w:rsid w:val="1B1C66E6"/>
    <w:rsid w:val="1B563E16"/>
    <w:rsid w:val="1BEE05A1"/>
    <w:rsid w:val="1C4D605D"/>
    <w:rsid w:val="1C5B42ED"/>
    <w:rsid w:val="1CDE12EA"/>
    <w:rsid w:val="1FB2381D"/>
    <w:rsid w:val="1FC46EC1"/>
    <w:rsid w:val="215F1577"/>
    <w:rsid w:val="22BC3287"/>
    <w:rsid w:val="238B716B"/>
    <w:rsid w:val="2430619E"/>
    <w:rsid w:val="27D9139D"/>
    <w:rsid w:val="288618F0"/>
    <w:rsid w:val="28DD7965"/>
    <w:rsid w:val="29B01B00"/>
    <w:rsid w:val="29F51443"/>
    <w:rsid w:val="2A255905"/>
    <w:rsid w:val="2B61150A"/>
    <w:rsid w:val="2BA005FB"/>
    <w:rsid w:val="2BC607B5"/>
    <w:rsid w:val="2C3F6559"/>
    <w:rsid w:val="2ED21935"/>
    <w:rsid w:val="2EDD6252"/>
    <w:rsid w:val="2F1B5C9F"/>
    <w:rsid w:val="3301375D"/>
    <w:rsid w:val="33EE5AD5"/>
    <w:rsid w:val="354E3285"/>
    <w:rsid w:val="35CB6DC8"/>
    <w:rsid w:val="3AF809ED"/>
    <w:rsid w:val="3B234142"/>
    <w:rsid w:val="3CF74FC7"/>
    <w:rsid w:val="3D5B7C48"/>
    <w:rsid w:val="3E362517"/>
    <w:rsid w:val="3E924A9D"/>
    <w:rsid w:val="40A27BAE"/>
    <w:rsid w:val="41DF2CEB"/>
    <w:rsid w:val="423B506A"/>
    <w:rsid w:val="43890615"/>
    <w:rsid w:val="43E233D0"/>
    <w:rsid w:val="445D4E08"/>
    <w:rsid w:val="44E643D8"/>
    <w:rsid w:val="45993277"/>
    <w:rsid w:val="45C13BC9"/>
    <w:rsid w:val="45EB4C53"/>
    <w:rsid w:val="4B63388E"/>
    <w:rsid w:val="4E2D76E6"/>
    <w:rsid w:val="4E756814"/>
    <w:rsid w:val="4E807F14"/>
    <w:rsid w:val="4F213B8C"/>
    <w:rsid w:val="4FAE5E52"/>
    <w:rsid w:val="50863E14"/>
    <w:rsid w:val="50B74714"/>
    <w:rsid w:val="51CD66F3"/>
    <w:rsid w:val="525A5109"/>
    <w:rsid w:val="52A468E9"/>
    <w:rsid w:val="54E52D9E"/>
    <w:rsid w:val="55CF7B31"/>
    <w:rsid w:val="56393C13"/>
    <w:rsid w:val="566265F1"/>
    <w:rsid w:val="58313173"/>
    <w:rsid w:val="588C3372"/>
    <w:rsid w:val="59B63CDD"/>
    <w:rsid w:val="5B761672"/>
    <w:rsid w:val="5C4F5C99"/>
    <w:rsid w:val="5D1B67CB"/>
    <w:rsid w:val="5D2E1FF6"/>
    <w:rsid w:val="5F90689D"/>
    <w:rsid w:val="5F9768F3"/>
    <w:rsid w:val="606A5960"/>
    <w:rsid w:val="61662894"/>
    <w:rsid w:val="61C87E6F"/>
    <w:rsid w:val="62DA0D5E"/>
    <w:rsid w:val="6300039F"/>
    <w:rsid w:val="64BB1A7E"/>
    <w:rsid w:val="64D43D04"/>
    <w:rsid w:val="6652791B"/>
    <w:rsid w:val="667B530E"/>
    <w:rsid w:val="67367D1C"/>
    <w:rsid w:val="68457210"/>
    <w:rsid w:val="6A71527F"/>
    <w:rsid w:val="6B4924C6"/>
    <w:rsid w:val="6F6439D5"/>
    <w:rsid w:val="70A444C6"/>
    <w:rsid w:val="70DD533A"/>
    <w:rsid w:val="70F133E7"/>
    <w:rsid w:val="70FC52EA"/>
    <w:rsid w:val="743A152F"/>
    <w:rsid w:val="74D81746"/>
    <w:rsid w:val="75251FD2"/>
    <w:rsid w:val="752567FF"/>
    <w:rsid w:val="75A917EE"/>
    <w:rsid w:val="761D7A3E"/>
    <w:rsid w:val="76A81543"/>
    <w:rsid w:val="77685A7B"/>
    <w:rsid w:val="778C2023"/>
    <w:rsid w:val="7A7B1093"/>
    <w:rsid w:val="7A7F578E"/>
    <w:rsid w:val="7D4B78AB"/>
    <w:rsid w:val="7E39207C"/>
    <w:rsid w:val="7F8F3EDB"/>
    <w:rsid w:val="7F93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5"/>
    <w:link w:val="6"/>
    <w:semiHidden/>
    <w:qFormat/>
    <w:uiPriority w:val="9"/>
    <w:rPr>
      <w:rFonts w:asciiTheme="majorHAnsi" w:hAnsiTheme="majorHAnsi" w:eastAsiaTheme="majorEastAsia" w:cstheme="majorBidi"/>
      <w:b/>
      <w:bCs/>
    </w:rPr>
  </w:style>
  <w:style w:type="character" w:customStyle="1" w:styleId="33">
    <w:name w:val="标题 6 字符"/>
    <w:basedOn w:val="25"/>
    <w:link w:val="7"/>
    <w:semiHidden/>
    <w:qFormat/>
    <w:uiPriority w:val="9"/>
    <w:rPr>
      <w:rFonts w:asciiTheme="majorHAnsi" w:hAnsiTheme="majorHAnsi" w:eastAsiaTheme="majorEastAsia" w:cstheme="majorBidi"/>
      <w:b/>
      <w:bCs/>
      <w:i/>
      <w:iCs/>
    </w:rPr>
  </w:style>
  <w:style w:type="character" w:customStyle="1" w:styleId="34">
    <w:name w:val="标题 7 字符"/>
    <w:basedOn w:val="25"/>
    <w:link w:val="8"/>
    <w:semiHidden/>
    <w:qFormat/>
    <w:uiPriority w:val="9"/>
    <w:rPr>
      <w:i/>
      <w:iCs/>
    </w:rPr>
  </w:style>
  <w:style w:type="character" w:customStyle="1" w:styleId="35">
    <w:name w:val="标题 8 字符"/>
    <w:basedOn w:val="25"/>
    <w:link w:val="9"/>
    <w:semiHidden/>
    <w:qFormat/>
    <w:uiPriority w:val="9"/>
    <w:rPr>
      <w:b/>
      <w:bCs/>
    </w:rPr>
  </w:style>
  <w:style w:type="character" w:customStyle="1" w:styleId="36">
    <w:name w:val="标题 9 字符"/>
    <w:basedOn w:val="25"/>
    <w:link w:val="10"/>
    <w:semiHidden/>
    <w:qFormat/>
    <w:uiPriority w:val="9"/>
    <w:rPr>
      <w:i/>
      <w:iCs/>
    </w:rPr>
  </w:style>
  <w:style w:type="character" w:customStyle="1" w:styleId="37">
    <w:name w:val="标题 字符"/>
    <w:basedOn w:val="25"/>
    <w:link w:val="23"/>
    <w:qFormat/>
    <w:uiPriority w:val="10"/>
    <w:rPr>
      <w:rFonts w:asciiTheme="majorHAnsi" w:hAnsiTheme="majorHAnsi" w:eastAsiaTheme="majorEastAsia" w:cstheme="majorBidi"/>
      <w:b/>
      <w:bCs/>
      <w:spacing w:val="-7"/>
      <w:sz w:val="48"/>
      <w:szCs w:val="48"/>
    </w:rPr>
  </w:style>
  <w:style w:type="character" w:customStyle="1" w:styleId="38">
    <w:name w:val="副标题 字符"/>
    <w:basedOn w:val="25"/>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5"/>
    <w:link w:val="42"/>
    <w:qFormat/>
    <w:uiPriority w:val="30"/>
    <w:rPr>
      <w:rFonts w:asciiTheme="majorHAnsi" w:hAnsiTheme="majorHAnsi" w:eastAsiaTheme="majorEastAsia" w:cstheme="majorBidi"/>
      <w:sz w:val="26"/>
      <w:szCs w:val="26"/>
    </w:rPr>
  </w:style>
  <w:style w:type="character" w:customStyle="1" w:styleId="44">
    <w:name w:val="Subtle Emphasis"/>
    <w:basedOn w:val="25"/>
    <w:qFormat/>
    <w:uiPriority w:val="19"/>
    <w:rPr>
      <w:i/>
      <w:iCs/>
      <w:color w:val="auto"/>
    </w:rPr>
  </w:style>
  <w:style w:type="character" w:customStyle="1" w:styleId="45">
    <w:name w:val="Intense Emphasis"/>
    <w:basedOn w:val="25"/>
    <w:qFormat/>
    <w:uiPriority w:val="21"/>
    <w:rPr>
      <w:b/>
      <w:bCs/>
      <w:i/>
      <w:iCs/>
      <w:color w:val="auto"/>
    </w:rPr>
  </w:style>
  <w:style w:type="character" w:customStyle="1" w:styleId="46">
    <w:name w:val="Subtle Reference"/>
    <w:basedOn w:val="25"/>
    <w:qFormat/>
    <w:uiPriority w:val="31"/>
    <w:rPr>
      <w:smallCaps/>
      <w:color w:val="auto"/>
      <w:u w:val="single" w:color="7E7E7E" w:themeColor="text1" w:themeTint="80"/>
    </w:rPr>
  </w:style>
  <w:style w:type="character" w:customStyle="1" w:styleId="47">
    <w:name w:val="Intense Reference"/>
    <w:basedOn w:val="25"/>
    <w:qFormat/>
    <w:uiPriority w:val="32"/>
    <w:rPr>
      <w:b/>
      <w:bCs/>
      <w:smallCaps/>
      <w:color w:val="auto"/>
      <w:u w:val="single"/>
    </w:rPr>
  </w:style>
  <w:style w:type="character" w:customStyle="1" w:styleId="48">
    <w:name w:val="Book Title"/>
    <w:basedOn w:val="25"/>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5"/>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5"/>
    <w:link w:val="17"/>
    <w:qFormat/>
    <w:uiPriority w:val="99"/>
    <w:rPr>
      <w:sz w:val="18"/>
      <w:szCs w:val="18"/>
    </w:rPr>
  </w:style>
  <w:style w:type="character" w:customStyle="1" w:styleId="53">
    <w:name w:val="页脚 字符"/>
    <w:basedOn w:val="25"/>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5"/>
    <w:link w:val="15"/>
    <w:semiHidden/>
    <w:qFormat/>
    <w:uiPriority w:val="99"/>
    <w:rPr>
      <w:rFonts w:hAnsi="Courier New" w:cs="Courier New" w:asciiTheme="minorEastAsia"/>
    </w:rPr>
  </w:style>
  <w:style w:type="character" w:customStyle="1" w:styleId="58">
    <w:name w:val="正文文本 字符"/>
    <w:basedOn w:val="25"/>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 w:type="character" w:customStyle="1" w:styleId="60">
    <w:name w:val="font21"/>
    <w:basedOn w:val="25"/>
    <w:qFormat/>
    <w:uiPriority w:val="0"/>
    <w:rPr>
      <w:rFonts w:hint="eastAsia" w:ascii="宋体" w:hAnsi="宋体" w:eastAsia="宋体" w:cs="宋体"/>
      <w:color w:val="000000"/>
      <w:sz w:val="20"/>
      <w:szCs w:val="20"/>
      <w:u w:val="none"/>
    </w:rPr>
  </w:style>
  <w:style w:type="character" w:customStyle="1" w:styleId="61">
    <w:name w:val="font41"/>
    <w:basedOn w:val="2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89</TotalTime>
  <ScaleCrop>false</ScaleCrop>
  <LinksUpToDate>false</LinksUpToDate>
  <CharactersWithSpaces>3430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LENOVO</cp:lastModifiedBy>
  <dcterms:modified xsi:type="dcterms:W3CDTF">2021-05-25T01:59:06Z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342A55040993459CAFEE6A49F9EF55D8</vt:lpwstr>
  </property>
</Properties>
</file>