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000000" w:themeColor="text1"/>
          <w:sz w:val="44"/>
          <w:szCs w:val="44"/>
        </w:rPr>
        <w:t>录音棚实验室改造</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sz w:val="36"/>
          <w:szCs w:val="36"/>
        </w:rPr>
      </w:pPr>
    </w:p>
    <w:p>
      <w:pPr>
        <w:spacing w:line="500" w:lineRule="exact"/>
        <w:jc w:val="left"/>
        <w:rPr>
          <w:rFonts w:hint="eastAsia" w:ascii="仿宋" w:hAnsi="仿宋" w:eastAsia="仿宋"/>
          <w:b/>
          <w:color w:val="000000" w:themeColor="text1"/>
          <w:sz w:val="36"/>
          <w:szCs w:val="36"/>
          <w:lang w:val="en-US" w:eastAsia="zh-CN"/>
        </w:rPr>
      </w:pPr>
      <w:r>
        <w:rPr>
          <w:rFonts w:hint="eastAsia" w:ascii="仿宋" w:hAnsi="仿宋" w:eastAsia="仿宋"/>
          <w:b/>
          <w:sz w:val="36"/>
          <w:szCs w:val="36"/>
        </w:rPr>
        <w:t>项目编号：</w:t>
      </w:r>
      <w:r>
        <w:rPr>
          <w:rFonts w:hint="eastAsia" w:ascii="仿宋" w:hAnsi="仿宋" w:eastAsia="仿宋"/>
          <w:b/>
          <w:color w:val="000000" w:themeColor="text1"/>
          <w:sz w:val="36"/>
          <w:szCs w:val="36"/>
        </w:rPr>
        <w:t>JDQY2021052</w:t>
      </w:r>
      <w:r>
        <w:rPr>
          <w:rFonts w:hint="eastAsia" w:ascii="仿宋" w:hAnsi="仿宋" w:eastAsia="仿宋"/>
          <w:b/>
          <w:color w:val="000000" w:themeColor="text1"/>
          <w:sz w:val="36"/>
          <w:szCs w:val="36"/>
          <w:lang w:val="en-US" w:eastAsia="zh-CN"/>
        </w:rPr>
        <w:t>6</w:t>
      </w:r>
    </w:p>
    <w:p>
      <w:pPr>
        <w:spacing w:line="500" w:lineRule="exact"/>
        <w:rPr>
          <w:rFonts w:ascii="仿宋" w:hAnsi="仿宋" w:eastAsia="仿宋"/>
          <w:b/>
          <w:color w:val="000000" w:themeColor="text1"/>
          <w:sz w:val="36"/>
          <w:szCs w:val="36"/>
        </w:rPr>
      </w:pPr>
      <w:bookmarkStart w:id="1" w:name="_Toc169332792"/>
      <w:bookmarkStart w:id="2" w:name="_Toc160880118"/>
      <w:bookmarkStart w:id="3" w:name="_Toc160880485"/>
      <w:r>
        <w:rPr>
          <w:rFonts w:hint="eastAsia" w:ascii="仿宋" w:hAnsi="仿宋" w:eastAsia="仿宋"/>
          <w:b/>
          <w:color w:val="000000" w:themeColor="text1"/>
          <w:sz w:val="36"/>
          <w:szCs w:val="36"/>
        </w:rPr>
        <w:t>项目名称</w:t>
      </w:r>
      <w:bookmarkEnd w:id="1"/>
      <w:bookmarkEnd w:id="2"/>
      <w:bookmarkEnd w:id="3"/>
      <w:r>
        <w:rPr>
          <w:rFonts w:hint="eastAsia" w:ascii="仿宋" w:hAnsi="仿宋" w:eastAsia="仿宋"/>
          <w:b/>
          <w:color w:val="000000" w:themeColor="text1"/>
          <w:sz w:val="36"/>
          <w:szCs w:val="36"/>
        </w:rPr>
        <w:t>：</w:t>
      </w:r>
      <w:bookmarkStart w:id="4" w:name="_Toc267059899"/>
      <w:bookmarkStart w:id="5" w:name="_Toc267059010"/>
      <w:bookmarkStart w:id="6" w:name="_Toc267060022"/>
      <w:bookmarkStart w:id="7" w:name="_Toc267060407"/>
      <w:bookmarkStart w:id="8" w:name="_Toc266868924"/>
      <w:bookmarkStart w:id="9" w:name="_Toc267059786"/>
      <w:bookmarkStart w:id="10" w:name="_Toc266870386"/>
      <w:bookmarkStart w:id="11" w:name="_Toc267060162"/>
      <w:bookmarkStart w:id="12" w:name="_Toc266870861"/>
      <w:bookmarkStart w:id="13" w:name="_Toc273178686"/>
      <w:bookmarkStart w:id="14" w:name="_Toc267059519"/>
      <w:bookmarkStart w:id="15" w:name="_Toc267059161"/>
      <w:bookmarkStart w:id="16" w:name="_Toc266868624"/>
      <w:bookmarkStart w:id="17" w:name="_Toc267059633"/>
      <w:bookmarkStart w:id="18" w:name="_Toc259692693"/>
      <w:bookmarkStart w:id="19" w:name="_Toc223146565"/>
      <w:bookmarkStart w:id="20" w:name="_Toc235437942"/>
      <w:bookmarkStart w:id="21" w:name="_Toc259520819"/>
      <w:bookmarkStart w:id="22" w:name="_Toc170798743"/>
      <w:bookmarkStart w:id="23" w:name="_Toc212526081"/>
      <w:bookmarkStart w:id="24" w:name="_Toc236021402"/>
      <w:bookmarkStart w:id="25" w:name="_Toc212456146"/>
      <w:bookmarkStart w:id="26" w:name="_Toc216241307"/>
      <w:bookmarkStart w:id="27" w:name="_Toc255974963"/>
      <w:bookmarkStart w:id="28" w:name="_Toc212530253"/>
      <w:bookmarkStart w:id="29" w:name="_Toc207014580"/>
      <w:bookmarkStart w:id="30" w:name="_Toc249325665"/>
      <w:bookmarkStart w:id="31" w:name="_Toc219800200"/>
      <w:bookmarkStart w:id="32" w:name="_Toc225669277"/>
      <w:bookmarkStart w:id="33" w:name="_Toc253066567"/>
      <w:bookmarkStart w:id="34" w:name="_Toc211937196"/>
      <w:bookmarkStart w:id="35" w:name="_Toc227058483"/>
      <w:bookmarkStart w:id="36" w:name="_Toc251586187"/>
      <w:bookmarkStart w:id="37" w:name="_Toc212454753"/>
      <w:bookmarkStart w:id="38" w:name="_Toc235438297"/>
      <w:bookmarkStart w:id="39" w:name="_Toc259692600"/>
      <w:bookmarkStart w:id="40" w:name="_Toc258401210"/>
      <w:bookmarkStart w:id="41" w:name="_Toc254790852"/>
      <w:bookmarkStart w:id="42" w:name="_Toc160880487"/>
      <w:bookmarkStart w:id="43" w:name="_Toc251613780"/>
      <w:bookmarkStart w:id="44" w:name="_Toc217891359"/>
      <w:bookmarkStart w:id="45" w:name="_Toc169332794"/>
      <w:bookmarkStart w:id="46" w:name="_Toc235438227"/>
      <w:bookmarkStart w:id="47" w:name="_Toc177985424"/>
      <w:bookmarkStart w:id="48" w:name="_Toc169332904"/>
      <w:r>
        <w:rPr>
          <w:rFonts w:hint="eastAsia" w:ascii="仿宋" w:hAnsi="仿宋" w:eastAsia="仿宋"/>
          <w:b/>
          <w:color w:val="000000" w:themeColor="text1"/>
          <w:sz w:val="36"/>
          <w:szCs w:val="36"/>
        </w:rPr>
        <w:t>录音棚实验室改造项目</w:t>
      </w:r>
    </w:p>
    <w:p>
      <w:pPr>
        <w:spacing w:line="500" w:lineRule="exact"/>
        <w:ind w:firstLine="2331" w:firstLineChars="645"/>
        <w:rPr>
          <w:rFonts w:ascii="仿宋" w:hAnsi="仿宋" w:eastAsia="仿宋"/>
          <w:b/>
          <w:color w:val="000000" w:themeColor="text1"/>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227" w:gutter="0"/>
          <w:cols w:space="425" w:num="1"/>
          <w:titlePg/>
          <w:docGrid w:type="lines" w:linePitch="312" w:charSpace="0"/>
        </w:sectPr>
      </w:pPr>
    </w:p>
    <w:p>
      <w:pPr>
        <w:pStyle w:val="52"/>
        <w:spacing w:line="360" w:lineRule="auto"/>
        <w:jc w:val="both"/>
        <w:outlineLvl w:val="0"/>
        <w:rPr>
          <w:rFonts w:ascii="仿宋" w:hAnsi="仿宋" w:eastAsia="仿宋"/>
          <w:b/>
          <w:color w:val="auto"/>
          <w:sz w:val="44"/>
          <w:szCs w:val="44"/>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sz w:val="28"/>
          <w:szCs w:val="28"/>
        </w:rPr>
        <w:t>济南大学泉城学院成立于2005年，是国家教育部和山东省人民政府批准成立的全日制普通本科高校。位于人间仙境—山东蓬莱，环境优美。现有全日制在校生12000余人，基础设施完备，教学科研条件优越。根据需要，对济南大学泉城学院录音棚实验室改造项目进行公开询价，欢迎国内合格参与人参与。</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color w:val="000000" w:themeColor="text1"/>
          <w:sz w:val="28"/>
          <w:szCs w:val="28"/>
        </w:rPr>
        <w:t>一、项目说明</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项目编号：JDQY2021052</w:t>
      </w:r>
      <w:r>
        <w:rPr>
          <w:rFonts w:hint="eastAsia" w:ascii="仿宋" w:hAnsi="仿宋" w:eastAsia="仿宋"/>
          <w:color w:val="000000" w:themeColor="text1"/>
          <w:sz w:val="28"/>
          <w:szCs w:val="28"/>
          <w:lang w:val="en-US" w:eastAsia="zh-CN"/>
        </w:rPr>
        <w:t>6</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项目名称：</w:t>
      </w:r>
      <w:r>
        <w:rPr>
          <w:rFonts w:hint="eastAsia" w:ascii="仿宋" w:hAnsi="仿宋" w:eastAsia="仿宋"/>
          <w:b/>
          <w:color w:val="000000" w:themeColor="text1"/>
          <w:sz w:val="28"/>
          <w:szCs w:val="28"/>
        </w:rPr>
        <w:t>录音棚实验室改造项目</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数量及主要技术要求:《公开询价货物一览表》。</w:t>
      </w:r>
    </w:p>
    <w:p>
      <w:pPr>
        <w:widowControl w:val="0"/>
        <w:numPr>
          <w:ilvl w:val="1"/>
          <w:numId w:val="1"/>
        </w:numPr>
        <w:spacing w:after="0" w:line="500" w:lineRule="exact"/>
        <w:rPr>
          <w:rFonts w:ascii="仿宋" w:hAnsi="仿宋" w:eastAsia="仿宋"/>
          <w:color w:val="000000" w:themeColor="text1"/>
          <w:sz w:val="28"/>
          <w:szCs w:val="28"/>
        </w:rPr>
      </w:pPr>
      <w:r>
        <w:rPr>
          <w:rFonts w:hint="eastAsia" w:ascii="仿宋" w:hAnsi="仿宋" w:eastAsia="仿宋"/>
          <w:color w:val="000000" w:themeColor="text1"/>
          <w:sz w:val="28"/>
          <w:szCs w:val="28"/>
        </w:rPr>
        <w:t>参与人资格标准：</w:t>
      </w:r>
      <w:r>
        <w:rPr>
          <w:rFonts w:ascii="仿宋" w:hAnsi="仿宋" w:eastAsia="仿宋"/>
          <w:color w:val="000000" w:themeColor="text1"/>
          <w:sz w:val="28"/>
          <w:szCs w:val="28"/>
        </w:rPr>
        <w:t xml:space="preserve"> </w:t>
      </w:r>
    </w:p>
    <w:p>
      <w:pPr>
        <w:spacing w:after="0" w:line="500" w:lineRule="exact"/>
        <w:ind w:left="1410" w:leftChars="322" w:hanging="702" w:hangingChars="251"/>
        <w:jc w:val="left"/>
        <w:rPr>
          <w:rFonts w:ascii="仿宋" w:hAnsi="仿宋" w:eastAsia="仿宋"/>
          <w:color w:val="000000" w:themeColor="text1"/>
          <w:sz w:val="28"/>
          <w:szCs w:val="28"/>
        </w:rPr>
      </w:pPr>
      <w:r>
        <w:rPr>
          <w:rFonts w:hint="eastAsia" w:ascii="仿宋" w:hAnsi="仿宋" w:eastAsia="仿宋"/>
          <w:color w:val="000000" w:themeColor="text1"/>
          <w:sz w:val="28"/>
          <w:szCs w:val="28"/>
        </w:rPr>
        <w:t>（1）参与人应具有独立法人资格。</w:t>
      </w:r>
      <w:r>
        <w:rPr>
          <w:rFonts w:ascii="仿宋" w:hAnsi="仿宋" w:eastAsia="仿宋"/>
          <w:color w:val="000000" w:themeColor="text1"/>
          <w:sz w:val="28"/>
          <w:szCs w:val="28"/>
        </w:rPr>
        <w:t xml:space="preserve"> </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rPr>
        <w:t>（2）设备供应商需提产品制造商授权确认函或中国区总代理授权书，保证无侵权现象。</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000000" w:themeColor="text1"/>
          <w:sz w:val="28"/>
          <w:szCs w:val="28"/>
        </w:rPr>
      </w:pPr>
      <w:r>
        <w:rPr>
          <w:rFonts w:hint="eastAsia" w:ascii="仿宋" w:hAnsi="仿宋" w:eastAsia="仿宋"/>
          <w:color w:val="000000" w:themeColor="text1"/>
          <w:sz w:val="28"/>
          <w:szCs w:val="28"/>
        </w:rPr>
        <w:t>（4）参与人具有2年以上（包括2年）3个以上同类项目良好的售后服务应用成功案例,近三年未发生重大安全或质量事故。</w:t>
      </w:r>
    </w:p>
    <w:p>
      <w:pPr>
        <w:spacing w:after="0" w:line="500" w:lineRule="exact"/>
        <w:ind w:left="1130" w:leftChars="322" w:hanging="422" w:hangingChars="151"/>
        <w:jc w:val="left"/>
        <w:rPr>
          <w:rFonts w:ascii="仿宋" w:hAnsi="仿宋" w:eastAsia="仿宋"/>
          <w:color w:val="000000" w:themeColor="text1"/>
          <w:sz w:val="28"/>
          <w:szCs w:val="28"/>
        </w:rPr>
      </w:pPr>
      <w:r>
        <w:rPr>
          <w:rFonts w:hint="eastAsia" w:ascii="仿宋" w:hAnsi="仿宋" w:eastAsia="仿宋"/>
          <w:color w:val="000000" w:themeColor="text1"/>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000000" w:themeColor="text1"/>
          <w:sz w:val="28"/>
          <w:szCs w:val="28"/>
        </w:rPr>
      </w:pPr>
      <w:r>
        <w:rPr>
          <w:rFonts w:hint="eastAsia" w:ascii="仿宋" w:hAnsi="仿宋" w:eastAsia="仿宋"/>
          <w:color w:val="000000" w:themeColor="text1"/>
          <w:sz w:val="28"/>
          <w:szCs w:val="28"/>
        </w:rPr>
        <w:t>（6）参与人有依法缴纳税金和社会保障资金</w:t>
      </w:r>
      <w:bookmarkStart w:id="236" w:name="_GoBack"/>
      <w:bookmarkEnd w:id="236"/>
      <w:r>
        <w:rPr>
          <w:rFonts w:hint="eastAsia" w:ascii="仿宋" w:hAnsi="仿宋" w:eastAsia="仿宋"/>
          <w:color w:val="000000" w:themeColor="text1"/>
          <w:sz w:val="28"/>
          <w:szCs w:val="28"/>
        </w:rPr>
        <w:t>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报价响应文件递交方式：密封报价送达或邮寄。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hint="eastAsia" w:ascii="仿宋" w:hAnsi="仿宋" w:eastAsia="仿宋"/>
          <w:color w:val="000000" w:themeColor="text1"/>
          <w:sz w:val="28"/>
          <w:szCs w:val="28"/>
          <w:shd w:val="clear" w:color="auto" w:fill="FFFFFF"/>
          <w:lang w:val="en-US" w:eastAsia="zh-CN"/>
        </w:rPr>
        <w:t>6</w:t>
      </w:r>
      <w:r>
        <w:rPr>
          <w:rFonts w:ascii="仿宋" w:hAnsi="仿宋" w:eastAsia="仿宋"/>
          <w:color w:val="000000" w:themeColor="text1"/>
          <w:sz w:val="28"/>
          <w:szCs w:val="28"/>
          <w:shd w:val="clear" w:color="auto" w:fill="FFFFFF"/>
        </w:rPr>
        <w:t>月</w:t>
      </w:r>
      <w:r>
        <w:rPr>
          <w:rFonts w:hint="eastAsia" w:ascii="仿宋" w:hAnsi="仿宋" w:eastAsia="仿宋"/>
          <w:color w:val="000000" w:themeColor="text1"/>
          <w:sz w:val="28"/>
          <w:szCs w:val="28"/>
          <w:shd w:val="clear" w:color="auto" w:fill="FFFFFF"/>
          <w:lang w:val="en-US" w:eastAsia="zh-CN"/>
        </w:rPr>
        <w:t>2</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2:</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前（以参与人快递寄出时间为准）。</w:t>
      </w:r>
    </w:p>
    <w:p>
      <w:pPr>
        <w:numPr>
          <w:ilvl w:val="1"/>
          <w:numId w:val="1"/>
        </w:numPr>
        <w:spacing w:after="0" w:line="500" w:lineRule="exact"/>
        <w:rPr>
          <w:rFonts w:ascii="仿宋" w:hAnsi="仿宋" w:eastAsia="仿宋"/>
          <w:color w:val="000000" w:themeColor="text1"/>
          <w:sz w:val="28"/>
          <w:szCs w:val="28"/>
        </w:rPr>
      </w:pPr>
      <w:r>
        <w:rPr>
          <w:rFonts w:hint="eastAsia" w:ascii="仿宋" w:hAnsi="仿宋" w:eastAsia="仿宋"/>
          <w:sz w:val="28"/>
          <w:szCs w:val="28"/>
        </w:rPr>
        <w:t>报价响应文件递交地点：</w:t>
      </w:r>
      <w:r>
        <w:rPr>
          <w:rFonts w:hint="eastAsia" w:ascii="仿宋" w:hAnsi="仿宋" w:eastAsia="仿宋"/>
          <w:color w:val="000000" w:themeColor="text1"/>
          <w:sz w:val="28"/>
          <w:szCs w:val="28"/>
        </w:rPr>
        <w:t>烟台市蓬莱区仙境西路34号济南大学泉城学院 总务处</w:t>
      </w:r>
      <w:r>
        <w:rPr>
          <w:rFonts w:ascii="仿宋" w:hAnsi="仿宋" w:eastAsia="仿宋"/>
          <w:color w:val="000000" w:themeColor="text1"/>
          <w:sz w:val="28"/>
          <w:szCs w:val="28"/>
        </w:rPr>
        <w:t xml:space="preserve"> </w:t>
      </w:r>
      <w:r>
        <w:rPr>
          <w:rFonts w:hint="eastAsia" w:ascii="仿宋" w:hAnsi="仿宋" w:eastAsia="仿宋"/>
          <w:color w:val="000000" w:themeColor="text1"/>
          <w:sz w:val="28"/>
          <w:szCs w:val="28"/>
        </w:rPr>
        <w:t xml:space="preserve">  联系人：史老师   联系电话：18596187899。</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本项目监督投诉部门:中教集团内控部</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投诉电话:0791-88102608</w:t>
      </w:r>
    </w:p>
    <w:p>
      <w:pPr>
        <w:widowControl w:val="0"/>
        <w:spacing w:after="0" w:line="500" w:lineRule="exact"/>
        <w:ind w:left="426" w:firstLine="453" w:firstLineChars="162"/>
        <w:jc w:val="left"/>
        <w:rPr>
          <w:rFonts w:ascii="仿宋" w:hAnsi="仿宋" w:eastAsia="仿宋"/>
          <w:sz w:val="28"/>
          <w:szCs w:val="28"/>
        </w:rPr>
      </w:pPr>
      <w:r>
        <w:rPr>
          <w:rFonts w:hint="eastAsia" w:ascii="仿宋" w:hAnsi="仿宋" w:eastAsia="仿宋"/>
          <w:sz w:val="28"/>
          <w:szCs w:val="28"/>
        </w:rPr>
        <w:t>投诉邮箱:Neikongbu@educationgroup.cn</w:t>
      </w:r>
    </w:p>
    <w:p>
      <w:pPr>
        <w:widowControl w:val="0"/>
        <w:spacing w:after="0" w:line="500" w:lineRule="exact"/>
        <w:ind w:left="426" w:firstLine="453" w:firstLineChars="162"/>
        <w:jc w:val="left"/>
        <w:rPr>
          <w:rFonts w:ascii="仿宋" w:hAnsi="仿宋" w:eastAsia="仿宋"/>
          <w:color w:val="000000" w:themeColor="text1"/>
          <w:sz w:val="28"/>
          <w:szCs w:val="28"/>
        </w:rPr>
      </w:pPr>
      <w:r>
        <w:rPr>
          <w:rFonts w:hint="eastAsia" w:ascii="仿宋" w:hAnsi="仿宋" w:eastAsia="仿宋"/>
          <w:sz w:val="28"/>
          <w:szCs w:val="28"/>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000000" w:themeColor="text1"/>
          <w:sz w:val="28"/>
          <w:szCs w:val="28"/>
        </w:rPr>
        <w:t>2份，报价响应文件</w:t>
      </w:r>
      <w:r>
        <w:rPr>
          <w:rFonts w:ascii="仿宋" w:hAnsi="仿宋" w:eastAsia="仿宋"/>
          <w:color w:val="000000" w:themeColor="text1"/>
          <w:sz w:val="28"/>
          <w:szCs w:val="28"/>
        </w:rPr>
        <w:t>必须用A4幅面纸张打印</w:t>
      </w:r>
      <w:r>
        <w:rPr>
          <w:rFonts w:hint="eastAsia" w:ascii="仿宋" w:hAnsi="仿宋" w:eastAsia="仿宋"/>
          <w:color w:val="000000" w:themeColor="text1"/>
          <w:sz w:val="28"/>
          <w:szCs w:val="28"/>
        </w:rPr>
        <w:t>，须由参与人填写并加盖公章（正本1份副本1份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000000" w:themeColor="text1"/>
          <w:sz w:val="28"/>
          <w:szCs w:val="28"/>
        </w:rPr>
      </w:pPr>
      <w:r>
        <w:rPr>
          <w:rFonts w:hint="eastAsia" w:ascii="仿宋" w:hAnsi="仿宋" w:eastAsia="仿宋"/>
          <w:sz w:val="28"/>
          <w:szCs w:val="28"/>
        </w:rPr>
        <w:t>三、</w:t>
      </w:r>
      <w:r>
        <w:rPr>
          <w:rFonts w:hint="eastAsia" w:ascii="仿宋" w:hAnsi="仿宋" w:eastAsia="仿宋"/>
          <w:color w:val="000000" w:themeColor="text1"/>
          <w:sz w:val="28"/>
          <w:szCs w:val="28"/>
        </w:rPr>
        <w:t>服务要求</w:t>
      </w:r>
    </w:p>
    <w:p>
      <w:pPr>
        <w:spacing w:after="0" w:line="500" w:lineRule="exact"/>
        <w:ind w:left="440" w:leftChars="200" w:firstLine="540" w:firstLineChars="193"/>
        <w:jc w:val="left"/>
        <w:rPr>
          <w:rFonts w:ascii="仿宋" w:hAnsi="仿宋" w:eastAsia="仿宋"/>
          <w:color w:val="000000" w:themeColor="text1"/>
          <w:sz w:val="28"/>
          <w:szCs w:val="28"/>
        </w:rPr>
      </w:pPr>
      <w:r>
        <w:rPr>
          <w:rFonts w:hint="eastAsia" w:ascii="仿宋" w:hAnsi="仿宋" w:eastAsia="仿宋"/>
          <w:color w:val="000000" w:themeColor="text1"/>
          <w:sz w:val="28"/>
          <w:szCs w:val="28"/>
        </w:rPr>
        <w:t>产品服务包含整体系统升级服务、产品保修服务、远程支持服务、产品巡检服务、上门支持服务、替换服务、专家支持团队服务。</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themeColor="text1"/>
          <w:sz w:val="28"/>
          <w:szCs w:val="28"/>
        </w:rPr>
        <w:t xml:space="preserve"> </w:t>
      </w: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所投设备符合采购需求、质量和服务要求,经过磋商所报价格为合理价格的参与人为成交参与人，最低报价不作为成交的保证。</w:t>
      </w:r>
    </w:p>
    <w:p>
      <w:pPr>
        <w:spacing w:after="0" w:line="500" w:lineRule="exact"/>
        <w:ind w:firstLine="425" w:firstLineChars="152"/>
        <w:jc w:val="left"/>
        <w:rPr>
          <w:rFonts w:ascii="仿宋" w:hAnsi="仿宋" w:eastAsia="仿宋"/>
          <w:color w:val="000000" w:themeColor="text1"/>
          <w:sz w:val="28"/>
          <w:szCs w:val="28"/>
        </w:rPr>
      </w:pPr>
      <w:r>
        <w:rPr>
          <w:rFonts w:ascii="仿宋" w:hAnsi="仿宋" w:eastAsia="仿宋"/>
          <w:color w:val="000000" w:themeColor="text1"/>
          <w:sz w:val="28"/>
          <w:szCs w:val="28"/>
        </w:rPr>
        <w:br w:type="page"/>
      </w:r>
    </w:p>
    <w:p>
      <w:pPr>
        <w:pStyle w:val="52"/>
        <w:spacing w:line="360" w:lineRule="auto"/>
        <w:jc w:val="center"/>
        <w:outlineLvl w:val="0"/>
        <w:rPr>
          <w:rFonts w:hint="eastAsia" w:ascii="仿宋" w:hAnsi="仿宋" w:eastAsia="仿宋"/>
          <w:b/>
          <w:sz w:val="36"/>
          <w:szCs w:val="36"/>
        </w:rPr>
      </w:pPr>
      <w:r>
        <w:rPr>
          <w:rFonts w:hint="eastAsia" w:ascii="仿宋" w:hAnsi="仿宋" w:eastAsia="仿宋"/>
          <w:b/>
          <w:color w:val="auto"/>
          <w:sz w:val="44"/>
          <w:szCs w:val="44"/>
        </w:rPr>
        <w:t>二、</w:t>
      </w:r>
      <w:bookmarkEnd w:id="49"/>
      <w:r>
        <w:rPr>
          <w:rFonts w:hint="eastAsia" w:ascii="仿宋" w:hAnsi="仿宋" w:eastAsia="仿宋"/>
          <w:b/>
          <w:sz w:val="36"/>
          <w:szCs w:val="36"/>
        </w:rPr>
        <w:t>公开询价货物一览表</w:t>
      </w:r>
    </w:p>
    <w:tbl>
      <w:tblPr>
        <w:tblStyle w:val="24"/>
        <w:tblW w:w="9653" w:type="dxa"/>
        <w:tblInd w:w="94" w:type="dxa"/>
        <w:tblLayout w:type="autofit"/>
        <w:tblCellMar>
          <w:top w:w="0" w:type="dxa"/>
          <w:left w:w="108" w:type="dxa"/>
          <w:bottom w:w="0" w:type="dxa"/>
          <w:right w:w="108" w:type="dxa"/>
        </w:tblCellMar>
      </w:tblPr>
      <w:tblGrid>
        <w:gridCol w:w="720"/>
        <w:gridCol w:w="1028"/>
        <w:gridCol w:w="4787"/>
        <w:gridCol w:w="709"/>
        <w:gridCol w:w="708"/>
        <w:gridCol w:w="851"/>
        <w:gridCol w:w="850"/>
      </w:tblGrid>
      <w:tr>
        <w:tblPrEx>
          <w:tblCellMar>
            <w:top w:w="0" w:type="dxa"/>
            <w:left w:w="108" w:type="dxa"/>
            <w:bottom w:w="0" w:type="dxa"/>
            <w:right w:w="108" w:type="dxa"/>
          </w:tblCellMar>
        </w:tblPrEx>
        <w:trPr>
          <w:trHeight w:val="58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w:t>
            </w:r>
          </w:p>
        </w:tc>
        <w:tc>
          <w:tcPr>
            <w:tcW w:w="478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主要参数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单位</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数量</w:t>
            </w:r>
          </w:p>
        </w:tc>
        <w:tc>
          <w:tcPr>
            <w:tcW w:w="851" w:type="dxa"/>
            <w:tcBorders>
              <w:top w:val="single" w:color="auto" w:sz="4" w:space="0"/>
              <w:left w:val="nil"/>
              <w:bottom w:val="single" w:color="auto" w:sz="4" w:space="0"/>
              <w:right w:val="single" w:color="auto" w:sz="4" w:space="0"/>
            </w:tcBorders>
            <w:vAlign w:val="center"/>
          </w:tcPr>
          <w:p>
            <w:pPr>
              <w:spacing w:after="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tc>
      </w:tr>
      <w:tr>
        <w:tblPrEx>
          <w:tblCellMar>
            <w:top w:w="0" w:type="dxa"/>
            <w:left w:w="108" w:type="dxa"/>
            <w:bottom w:w="0" w:type="dxa"/>
            <w:right w:w="108" w:type="dxa"/>
          </w:tblCellMar>
        </w:tblPrEx>
        <w:trPr>
          <w:trHeight w:val="321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压缩器</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1、通道数：≥2</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2、比率：可在1.5:1和5:1之间调整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3、输入电平范围：-20至+20dBu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4、输出电平范围：-30至+18dBu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5、输出最大电平：≥+23dBu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6、启动时间：2-40ms可调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7、释放时间：200ms-2s可调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8、失真：低于压缩阈值时约0.05%。在全面压缩下为1%。</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9、频率响应：20-20000Hz±0.5dB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10、机架空间：2U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11、连接：IEC电源，XLR输入和输出x2</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12、电源要求：120VAC或240VAC。22W</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216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八通道话放</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1、通道数≥8</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2、频率响应：10Hz-100kHz（±0.5dB）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3、话筒增益：-10-60dB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4、线路增益：-16-﹢44dB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5、MIC EIN:＜-127.5dBu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6、共模抑制比：＞80dB@100-10KHz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7、最大输入电平：≥+22dBu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8、信噪比：＞90dB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9、THD+N@0dBu（1KHz）：0.003%（-90.5dBu）</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2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乐器话筒</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1、指向性：心形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2、频响范围：≤20 – ≥20,000 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3、灵敏度（CCIR468-3）：25dB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4、最大声压级 (0.5% THD)：≥138dB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5、等效噪声水平：13 dB(A)</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6、动态范围：≥122dB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7、信噪比（DIN/IEC651)：78dB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8、低切滤波器：80/160 Hz,6 dB/Oct,可切换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9、衰减功能：10/20dB,可切换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10、电源：48V幻象供电</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11、输出阻抗：≥50 Ohms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12、负载阻抗：≥1000 Ohms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13、最大输出电压：≥10dBu</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支</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432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母带效果器</w:t>
            </w:r>
          </w:p>
        </w:tc>
        <w:tc>
          <w:tcPr>
            <w:tcW w:w="4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1、平衡XLR接口不少于2进2出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2、最大输入电平：≥+15 - +30 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3、最大输出电平：≥+15 - +24 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4、动态范围：≥110 dB (未计权)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5、总谐波失真：≤-100dB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6、频率响应：+0/-0.1 dB @12 Hz-20 kHz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7、串音：≤ -110 dB, 20 Hz-20 kHz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8、模数和数模转换：24位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9、模数和数模转换+处理延时 总计: ≤1.54 毫秒</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10、内部采样率 44.1, 48, 88.2, 96 kHz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11、具有TFT彩色显示屏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12、控制接口：以太网接口，10/100兆/秒, 双绞线以太网接口(使用RJ45 双绞线以太网插头，套以XLR接头外壳)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13、数字输入和输出 接口：DB25针接口 (2路输入,8路输出，平衡专用线缆)  格式：AES/EBU 或 S/PDIF 可选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14、不少于275个厂家预制和270个用户音色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24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声卡</w:t>
            </w:r>
          </w:p>
        </w:tc>
        <w:tc>
          <w:tcPr>
            <w:tcW w:w="478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1、频率响应：20Hz-20KHz±0.04dB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2、模拟输入：≥8路（≥123dB)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3、线性输出：≥8路（≥127dB）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4、支持MAC/Windows操作系统</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5、不少于2个雷电3接口，不少于4个话放(最大增益≥65dB)，不少于2个高阻抗输入，不少于2个耳机接口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6、支持UAD插件实时处理，支持7.1控制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7、DSP数量：≥6核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8、总输入输出通道数量：≥18进24出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9、数字接口数量：ADAT≥8进8出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支</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single" w:color="auto" w:sz="4" w:space="0"/>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single" w:color="auto" w:sz="4" w:space="0"/>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168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2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纠错同轴监听</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1、频率响应：≤90Hz - ≥17000Hz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2、阻抗：8Ω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3、最大声压级：≥104dB（1m）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4、放大器类型：A/B类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5、功率：≥60W输出功率@0.005%总谐波失真（1KHz）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6、噪声：S/N-113dB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7、单元规格：5.25英寸</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202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线材</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1、CANARE话筒线20米x 8条(NEUTRIK卡农公对母）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2、ADAT线4根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3、DB25转6.35线2m x 1条(NEUTRIK6.35头）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4、CANARE过机线1m x 12条(NEUTRIK卡农公对母）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5、音箱信号线5m x 2条(NEUTRIK卡农公对母）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6、雷电3数据线2m x 1条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7、备用CANARE信号线30m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8、备用NEUTRIK卡农公对母头5对，6.35头4个</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bl>
    <w:p>
      <w:pPr>
        <w:pStyle w:val="52"/>
        <w:spacing w:line="360" w:lineRule="auto"/>
        <w:outlineLvl w:val="0"/>
        <w:rPr>
          <w:rFonts w:ascii="仿宋" w:hAnsi="仿宋" w:eastAsia="仿宋"/>
          <w:b/>
          <w:sz w:val="36"/>
          <w:szCs w:val="36"/>
        </w:rPr>
      </w:pPr>
    </w:p>
    <w:tbl>
      <w:tblPr>
        <w:tblStyle w:val="24"/>
        <w:tblpPr w:leftFromText="180" w:rightFromText="180" w:vertAnchor="text" w:horzAnchor="margin" w:tblpY="171"/>
        <w:tblW w:w="60" w:type="dxa"/>
        <w:tblInd w:w="0" w:type="dxa"/>
        <w:tblLayout w:type="autofit"/>
        <w:tblCellMar>
          <w:top w:w="0" w:type="dxa"/>
          <w:left w:w="0" w:type="dxa"/>
          <w:bottom w:w="0" w:type="dxa"/>
          <w:right w:w="0" w:type="dxa"/>
        </w:tblCellMar>
      </w:tblPr>
      <w:tblGrid>
        <w:gridCol w:w="60"/>
      </w:tblGrid>
      <w:tr>
        <w:tblPrEx>
          <w:tblCellMar>
            <w:top w:w="0" w:type="dxa"/>
            <w:left w:w="0" w:type="dxa"/>
            <w:bottom w:w="0" w:type="dxa"/>
            <w:right w:w="0" w:type="dxa"/>
          </w:tblCellMar>
        </w:tblPrEx>
        <w:trPr>
          <w:trHeight w:val="148" w:hRule="atLeast"/>
        </w:trPr>
        <w:tc>
          <w:tcPr>
            <w:tcW w:w="6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方正小标宋简体" w:hAnsi="宋体" w:eastAsia="方正小标宋简体" w:cs="宋体"/>
                <w:color w:val="000000" w:themeColor="text1"/>
                <w:sz w:val="36"/>
                <w:szCs w:val="36"/>
              </w:rPr>
            </w:pPr>
          </w:p>
        </w:tc>
      </w:tr>
    </w:tbl>
    <w:p>
      <w:pPr>
        <w:rPr>
          <w:rFonts w:ascii="仿宋" w:hAnsi="仿宋" w:eastAsia="仿宋"/>
          <w:b/>
          <w:color w:val="000000" w:themeColor="text1"/>
          <w:sz w:val="36"/>
          <w:szCs w:val="36"/>
        </w:rPr>
      </w:pPr>
      <w:r>
        <w:rPr>
          <w:rFonts w:hint="eastAsia" w:ascii="仿宋" w:hAnsi="仿宋" w:eastAsia="仿宋"/>
          <w:sz w:val="28"/>
          <w:szCs w:val="28"/>
        </w:rPr>
        <w:t>注：单价费用包括材料费、外购、外协、生产制造、包装、保险、运杂费、安装调试费、税金等供货中的所有费用。</w:t>
      </w:r>
      <w:r>
        <w:rPr>
          <w:rFonts w:ascii="仿宋" w:hAnsi="仿宋" w:eastAsia="仿宋"/>
          <w:b/>
          <w:color w:val="000000" w:themeColor="text1"/>
          <w:sz w:val="36"/>
          <w:szCs w:val="36"/>
        </w:rPr>
        <w:t xml:space="preserve"> </w:t>
      </w:r>
    </w:p>
    <w:p>
      <w:pPr>
        <w:spacing w:line="1000" w:lineRule="exact"/>
        <w:jc w:val="center"/>
        <w:rPr>
          <w:rFonts w:ascii="仿宋" w:hAnsi="仿宋" w:eastAsia="仿宋"/>
          <w:b/>
          <w:sz w:val="72"/>
          <w:szCs w:val="72"/>
        </w:rPr>
      </w:pPr>
    </w:p>
    <w:p>
      <w:pPr>
        <w:spacing w:line="1000" w:lineRule="exact"/>
        <w:rPr>
          <w:rFonts w:ascii="仿宋" w:hAnsi="仿宋" w:eastAsia="仿宋"/>
          <w:b/>
          <w:sz w:val="72"/>
          <w:szCs w:val="72"/>
        </w:rPr>
        <w:sectPr>
          <w:headerReference r:id="rId12" w:type="first"/>
          <w:headerReference r:id="rId11" w:type="default"/>
          <w:type w:val="continuous"/>
          <w:pgSz w:w="11906" w:h="16838"/>
          <w:pgMar w:top="1440" w:right="1416" w:bottom="1440" w:left="1134" w:header="851" w:footer="227" w:gutter="0"/>
          <w:cols w:space="425" w:num="1"/>
          <w:titlePg/>
          <w:docGrid w:type="lines" w:linePitch="312" w:charSpace="0"/>
        </w:sectPr>
      </w:pPr>
    </w:p>
    <w:p>
      <w:pPr>
        <w:spacing w:line="1000" w:lineRule="exact"/>
        <w:jc w:val="center"/>
        <w:rPr>
          <w:rFonts w:ascii="仿宋" w:hAnsi="仿宋" w:eastAsia="仿宋"/>
          <w:b/>
          <w:sz w:val="72"/>
          <w:szCs w:val="72"/>
        </w:rPr>
      </w:pPr>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000000" w:themeColor="text1"/>
          <w:sz w:val="44"/>
          <w:szCs w:val="44"/>
        </w:rPr>
        <w:t>录音棚实验室改造</w:t>
      </w:r>
      <w:r>
        <w:rPr>
          <w:rFonts w:hint="eastAsia" w:ascii="仿宋" w:hAnsi="仿宋" w:eastAsia="仿宋"/>
          <w:b/>
          <w:sz w:val="44"/>
          <w:szCs w:val="44"/>
        </w:rPr>
        <w:t>项目</w:t>
      </w:r>
    </w:p>
    <w:p>
      <w:pPr>
        <w:spacing w:line="1000" w:lineRule="exact"/>
        <w:jc w:val="center"/>
        <w:rPr>
          <w:rFonts w:ascii="仿宋" w:hAnsi="仿宋" w:eastAsia="仿宋"/>
          <w:b/>
          <w:sz w:val="44"/>
          <w:szCs w:val="44"/>
        </w:rPr>
      </w:pP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hint="eastAsia" w:ascii="仿宋" w:hAnsi="仿宋" w:eastAsia="仿宋"/>
          <w:b/>
          <w:bCs/>
          <w:sz w:val="30"/>
          <w:szCs w:val="30"/>
          <w:lang w:val="en-US" w:eastAsia="zh-CN"/>
        </w:rPr>
        <w:sectPr>
          <w:pgSz w:w="11906" w:h="16838"/>
          <w:pgMar w:top="1440" w:right="1418" w:bottom="1440"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w:t>
      </w:r>
      <w:r>
        <w:rPr>
          <w:rFonts w:hint="eastAsia" w:ascii="仿宋" w:hAnsi="仿宋" w:eastAsia="仿宋"/>
          <w:b/>
          <w:bCs/>
          <w:sz w:val="30"/>
          <w:szCs w:val="30"/>
          <w:lang w:eastAsia="zh-CN"/>
        </w:rPr>
        <w:t>面</w:t>
      </w:r>
    </w:p>
    <w:p>
      <w:pPr>
        <w:jc w:val="center"/>
        <w:outlineLvl w:val="1"/>
        <w:rPr>
          <w:rFonts w:ascii="仿宋" w:hAnsi="仿宋" w:eastAsia="仿宋"/>
          <w:b/>
          <w:bCs/>
          <w:sz w:val="28"/>
          <w:szCs w:val="28"/>
        </w:rPr>
      </w:pPr>
      <w:bookmarkStart w:id="50" w:name="_Toc213755939"/>
      <w:bookmarkStart w:id="51" w:name="_Toc211917116"/>
      <w:bookmarkStart w:id="52" w:name="_Toc213755858"/>
      <w:bookmarkStart w:id="53" w:name="_Toc213208766"/>
      <w:bookmarkStart w:id="54" w:name="_Toc203355733"/>
      <w:bookmarkStart w:id="55" w:name="_Toc193165734"/>
      <w:bookmarkStart w:id="56" w:name="_Toc193160448"/>
      <w:bookmarkStart w:id="57" w:name="_Toc192664153"/>
      <w:bookmarkStart w:id="58" w:name="_Toc192996446"/>
      <w:bookmarkStart w:id="59" w:name="_Toc192996338"/>
      <w:bookmarkStart w:id="60" w:name="_Toc192663835"/>
      <w:bookmarkStart w:id="61" w:name="_Toc192663686"/>
      <w:bookmarkStart w:id="62" w:name="_Toc191803626"/>
      <w:bookmarkStart w:id="63" w:name="_Toc191783222"/>
      <w:bookmarkStart w:id="64" w:name="_Toc191802690"/>
      <w:bookmarkStart w:id="65" w:name="_Toc191789329"/>
      <w:bookmarkStart w:id="66" w:name="_Toc182805217"/>
      <w:bookmarkStart w:id="67" w:name="_Toc182372782"/>
      <w:bookmarkStart w:id="68" w:name="_Toc181436565"/>
      <w:bookmarkStart w:id="69" w:name="_Toc177985469"/>
      <w:bookmarkStart w:id="70" w:name="_Toc181436461"/>
      <w:bookmarkStart w:id="71" w:name="_Toc180302913"/>
      <w:bookmarkStart w:id="72" w:name="_Toc170798793"/>
      <w:bookmarkStart w:id="73" w:name="_Toc169332949"/>
      <w:bookmarkStart w:id="74" w:name="_Toc169332838"/>
      <w:bookmarkStart w:id="75" w:name="_Toc160880529"/>
      <w:bookmarkStart w:id="76" w:name="_Toc160880160"/>
      <w:bookmarkStart w:id="77" w:name="_Toc273178698"/>
      <w:bookmarkStart w:id="78" w:name="_Toc267060453"/>
      <w:bookmarkStart w:id="79" w:name="_Toc267060321"/>
      <w:bookmarkStart w:id="80" w:name="_Toc267060208"/>
      <w:bookmarkStart w:id="81" w:name="_Toc267059806"/>
      <w:bookmarkStart w:id="82" w:name="_Toc267060068"/>
      <w:bookmarkStart w:id="83" w:name="_Toc267059919"/>
      <w:bookmarkStart w:id="84" w:name="_Toc267059653"/>
      <w:bookmarkStart w:id="85" w:name="_Toc267059539"/>
      <w:bookmarkStart w:id="86" w:name="_Toc267059181"/>
      <w:bookmarkStart w:id="87" w:name="_Toc266870833"/>
      <w:bookmarkStart w:id="88" w:name="_Toc267059030"/>
      <w:bookmarkStart w:id="89" w:name="_Toc266870907"/>
      <w:bookmarkStart w:id="90" w:name="_Toc266870432"/>
      <w:bookmarkStart w:id="91" w:name="_Toc266868937"/>
      <w:bookmarkStart w:id="92" w:name="_Toc266868670"/>
      <w:bookmarkStart w:id="93" w:name="_Toc259520865"/>
      <w:bookmarkStart w:id="94" w:name="_Toc259692740"/>
      <w:bookmarkStart w:id="95" w:name="_Toc259692647"/>
      <w:bookmarkStart w:id="96" w:name="_Toc258401256"/>
      <w:bookmarkStart w:id="97" w:name="_Toc255975007"/>
      <w:bookmarkStart w:id="98" w:name="_Toc254790899"/>
      <w:bookmarkStart w:id="99" w:name="_Toc251586231"/>
      <w:bookmarkStart w:id="100" w:name="_Toc253066614"/>
      <w:bookmarkStart w:id="101" w:name="_Toc251613829"/>
      <w:bookmarkStart w:id="102" w:name="_Toc249325711"/>
      <w:bookmarkStart w:id="103" w:name="_Toc236021449"/>
      <w:bookmarkStart w:id="104" w:name="_Toc235438344"/>
      <w:bookmarkStart w:id="105" w:name="_Toc232302115"/>
      <w:bookmarkStart w:id="106" w:name="_Toc235438274"/>
      <w:bookmarkStart w:id="107" w:name="_Toc235437991"/>
      <w:bookmarkStart w:id="108" w:name="_Toc230071147"/>
      <w:bookmarkStart w:id="109" w:name="_Toc227058530"/>
      <w:bookmarkStart w:id="110" w:name="_Toc225669322"/>
      <w:bookmarkStart w:id="111" w:name="_Toc217891402"/>
      <w:bookmarkStart w:id="112" w:name="_Toc223146608"/>
      <w:bookmarkStart w:id="113" w:name="_Toc219800243"/>
      <w:bookmarkStart w:id="114" w:name="_Toc213756051"/>
      <w:bookmarkStart w:id="115" w:name="_Toc213755995"/>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color w:val="000000" w:themeColor="text1"/>
          <w:sz w:val="28"/>
          <w:szCs w:val="28"/>
        </w:rPr>
      </w:pPr>
      <w:r>
        <w:rPr>
          <w:rFonts w:hint="eastAsia" w:ascii="仿宋" w:hAnsi="仿宋" w:eastAsia="仿宋"/>
          <w:sz w:val="28"/>
          <w:szCs w:val="28"/>
        </w:rPr>
        <w:t>致：</w:t>
      </w:r>
      <w:r>
        <w:rPr>
          <w:rFonts w:hint="eastAsia" w:ascii="仿宋" w:hAnsi="仿宋" w:eastAsia="仿宋"/>
          <w:color w:val="000000" w:themeColor="text1"/>
          <w:sz w:val="28"/>
          <w:szCs w:val="28"/>
        </w:rPr>
        <w:t>济南大学泉城学院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000000" w:themeColor="text1"/>
          <w:sz w:val="28"/>
          <w:szCs w:val="28"/>
        </w:rPr>
        <w:t>1份和副本1份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jc w:val="center"/>
        <w:rPr>
          <w:rFonts w:ascii="仿宋" w:hAnsi="仿宋" w:eastAsia="仿宋" w:cs="Times New Roman"/>
          <w:kern w:val="2"/>
          <w:sz w:val="28"/>
          <w:szCs w:val="28"/>
        </w:rPr>
      </w:pPr>
      <w:r>
        <w:rPr>
          <w:rFonts w:ascii="仿宋" w:hAnsi="仿宋" w:eastAsia="仿宋"/>
          <w:szCs w:val="28"/>
        </w:rPr>
        <w:br w:type="page"/>
      </w: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货币单位：</w:t>
      </w:r>
    </w:p>
    <w:tbl>
      <w:tblPr>
        <w:tblStyle w:val="24"/>
        <w:tblW w:w="9653" w:type="dxa"/>
        <w:tblInd w:w="94" w:type="dxa"/>
        <w:tblLayout w:type="autofit"/>
        <w:tblCellMar>
          <w:top w:w="0" w:type="dxa"/>
          <w:left w:w="108" w:type="dxa"/>
          <w:bottom w:w="0" w:type="dxa"/>
          <w:right w:w="108" w:type="dxa"/>
        </w:tblCellMar>
      </w:tblPr>
      <w:tblGrid>
        <w:gridCol w:w="720"/>
        <w:gridCol w:w="1028"/>
        <w:gridCol w:w="4787"/>
        <w:gridCol w:w="709"/>
        <w:gridCol w:w="708"/>
        <w:gridCol w:w="851"/>
        <w:gridCol w:w="850"/>
      </w:tblGrid>
      <w:tr>
        <w:tblPrEx>
          <w:tblCellMar>
            <w:top w:w="0" w:type="dxa"/>
            <w:left w:w="108" w:type="dxa"/>
            <w:bottom w:w="0" w:type="dxa"/>
            <w:right w:w="108" w:type="dxa"/>
          </w:tblCellMar>
        </w:tblPrEx>
        <w:trPr>
          <w:trHeight w:val="453"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序号</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项目</w:t>
            </w:r>
          </w:p>
        </w:tc>
        <w:tc>
          <w:tcPr>
            <w:tcW w:w="4787"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主要参数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单位</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数量</w:t>
            </w:r>
          </w:p>
        </w:tc>
        <w:tc>
          <w:tcPr>
            <w:tcW w:w="851" w:type="dxa"/>
            <w:tcBorders>
              <w:top w:val="single" w:color="auto" w:sz="4" w:space="0"/>
              <w:left w:val="nil"/>
              <w:bottom w:val="single" w:color="auto" w:sz="4" w:space="0"/>
              <w:right w:val="single" w:color="auto" w:sz="4" w:space="0"/>
            </w:tcBorders>
            <w:vAlign w:val="center"/>
          </w:tcPr>
          <w:p>
            <w:pPr>
              <w:spacing w:after="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单价</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tc>
      </w:tr>
      <w:tr>
        <w:tblPrEx>
          <w:tblCellMar>
            <w:top w:w="0" w:type="dxa"/>
            <w:left w:w="108" w:type="dxa"/>
            <w:bottom w:w="0" w:type="dxa"/>
            <w:right w:w="108" w:type="dxa"/>
          </w:tblCellMar>
        </w:tblPrEx>
        <w:trPr>
          <w:trHeight w:val="419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压缩器</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1、通道数：≥2</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2、比率：可在1.5:1和5:1之间调整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3、输入电平范围：-20至+20dBu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4、输出电平范围：-30至+18dBu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5、输出最大电平：≥+23dBu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6、启动时间：2-40ms可调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7、释放时间：200ms-2s可调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8、失真：低于压缩阈值时约0.05%。在全面压缩下为1%。</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9、频率响应：20-20000Hz±0.5dB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10、机架空间：2U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11、连接：IEC电源，XLR输入和输出x2</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12、电源要求：120VAC或240VAC。22W</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216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八通道话放</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1、通道数≥8</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2、频率响应：10Hz-100kHz（±0.5dB）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3、话筒增益：-10-60dB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4、线路增益：-16-﹢44dB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5、MIC EIN:＜-127.5dBu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6、共模抑制比：＞80dB@100-10KHz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7、最大输入电平：≥+22dBu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8、信噪比：＞90dB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9、THD+N@0dBu（1KHz）：0.003%（-90.5dBu）</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3120"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02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乐器话筒</w:t>
            </w:r>
          </w:p>
        </w:tc>
        <w:tc>
          <w:tcPr>
            <w:tcW w:w="4787"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1、指向性：心形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2、频响范围：≤20 – ≥20,000 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3、灵敏度（CCIR468-3）：25dB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4、最大声压级 (0.5% THD)：≥138dB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5、等效噪声水平：13 dB(A)</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6、动态范围：≥122dB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7、信噪比（DIN/IEC651)：78dB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8、低切滤波器：80/160 Hz,6 dB/Oct,可切换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9、衰减功能：10/20dB,可切换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10、电源：48V幻象供电</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11、输出阻抗：≥50 Ohms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12、负载阻抗：≥1000 Ohms</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13、最大输出电压：≥10dBu</w:t>
            </w:r>
          </w:p>
        </w:tc>
        <w:tc>
          <w:tcPr>
            <w:tcW w:w="70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支</w:t>
            </w:r>
          </w:p>
        </w:tc>
        <w:tc>
          <w:tcPr>
            <w:tcW w:w="7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851"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nil"/>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432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02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母带效果器</w:t>
            </w:r>
          </w:p>
        </w:tc>
        <w:tc>
          <w:tcPr>
            <w:tcW w:w="4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1、平衡XLR接口不少于2进2出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2、最大输入电平：≥+15 - +30 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3、最大输出电平：≥+15 - +24 dBu</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4、动态范围：≥110 dB (未计权)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5、总谐波失真：≤-100dB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6、频率响应：+0/-0.1 dB @12 Hz-20 kHz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7、串音：≤ -110 dB, 20 Hz-20 kHz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8、模数和数模转换：24位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9、模数和数模转换+处理延时 总计: ≤1.54 毫秒</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10、内部采样率 44.1, 48, 88.2, 96 kHz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11、具有TFT彩色显示屏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12、控制接口：以太网接口，10/100兆/秒, 双绞线以太网接口(使用RJ45 双绞线以太网插头，套以XLR接头外壳)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13、数字输入和输出 接口：DB25针接口 (2路输入,8路输出，平衡专用线缆)  格式：AES/EBU 或 S/PDIF 可选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14、不少于275个厂家预制和270个用户音色</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240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声卡</w:t>
            </w:r>
          </w:p>
        </w:tc>
        <w:tc>
          <w:tcPr>
            <w:tcW w:w="478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1、频率响应：20Hz-20KHz±0.04dB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2、模拟输入：≥8路（≥123dB)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3、线性输出：≥8路（≥127dB）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4、支持MAC/Windows操作系统</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5、不少于2个雷电3接口，不少于4个话放(最大增益≥65dB)，不少于2个高阻抗输入，不少于2个耳机接口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6、支持UAD插件实时处理，支持7.1控制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7、DSP数量：≥6核</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8、总输入输出通道数量：≥18进24出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9、数字接口数量：ADAT≥8进8出</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支</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single" w:color="auto" w:sz="4" w:space="0"/>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single" w:color="auto" w:sz="4" w:space="0"/>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1680"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纠错同轴监听</w:t>
            </w:r>
          </w:p>
        </w:tc>
        <w:tc>
          <w:tcPr>
            <w:tcW w:w="4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1、频率响应：≤90Hz - ≥17000Hz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2、阻抗：8Ω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3、最大声压级：≥104dB（1m）</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4、放大器类型：A/B类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5、功率：≥60W输出功率@0.005%总谐波失真（1KHz）</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6、噪声：S/N-113dB</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7、单元规格：5.25英寸</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5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2395"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102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线材</w:t>
            </w:r>
          </w:p>
        </w:tc>
        <w:tc>
          <w:tcPr>
            <w:tcW w:w="478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left"/>
              <w:rPr>
                <w:rFonts w:ascii="宋体" w:hAnsi="宋体" w:eastAsia="宋体" w:cs="宋体"/>
                <w:color w:val="000000"/>
                <w:sz w:val="20"/>
                <w:szCs w:val="20"/>
              </w:rPr>
            </w:pPr>
            <w:r>
              <w:rPr>
                <w:rFonts w:hint="eastAsia" w:ascii="宋体" w:hAnsi="宋体" w:eastAsia="宋体" w:cs="宋体"/>
                <w:color w:val="000000"/>
                <w:sz w:val="20"/>
                <w:szCs w:val="20"/>
              </w:rPr>
              <w:t>1、CANARE话筒线20米x 8条(NEUTRIK卡农公对母）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2、ADAT线4根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3、DB25转6.35线2m x 1条(NEUTRIK6.35头）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4、CANARE过机线1m x 12条(NEUTRIK卡农公对母）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5、音箱信号线5m x 2条(NEUTRIK卡农公对母）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6、雷电3数据线2m x 1条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7、备用CANARE信号线30m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8、备用NEUTRIK卡农公对母头5对，6.35头4个</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51" w:type="dxa"/>
            <w:tcBorders>
              <w:top w:val="single" w:color="auto" w:sz="4" w:space="0"/>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c>
          <w:tcPr>
            <w:tcW w:w="850" w:type="dxa"/>
            <w:tcBorders>
              <w:top w:val="single" w:color="auto" w:sz="4" w:space="0"/>
              <w:left w:val="nil"/>
              <w:bottom w:val="single" w:color="auto" w:sz="4" w:space="0"/>
              <w:right w:val="single" w:color="auto" w:sz="4" w:space="0"/>
            </w:tcBorders>
          </w:tcPr>
          <w:p>
            <w:pPr>
              <w:spacing w:after="0" w:line="240" w:lineRule="auto"/>
              <w:jc w:val="center"/>
              <w:rPr>
                <w:rFonts w:hint="eastAsia" w:ascii="宋体" w:hAnsi="宋体" w:eastAsia="宋体" w:cs="宋体"/>
                <w:color w:val="000000"/>
                <w:sz w:val="20"/>
                <w:szCs w:val="20"/>
              </w:rPr>
            </w:pPr>
          </w:p>
        </w:tc>
      </w:tr>
      <w:tr>
        <w:tblPrEx>
          <w:tblCellMar>
            <w:top w:w="0" w:type="dxa"/>
            <w:left w:w="108" w:type="dxa"/>
            <w:bottom w:w="0" w:type="dxa"/>
            <w:right w:w="108" w:type="dxa"/>
          </w:tblCellMar>
        </w:tblPrEx>
        <w:trPr>
          <w:trHeight w:val="1025" w:hRule="atLeast"/>
        </w:trPr>
        <w:tc>
          <w:tcPr>
            <w:tcW w:w="965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rPr>
              <w:t>合计：小写：</w:t>
            </w:r>
            <w:r>
              <w:rPr>
                <w:rFonts w:hint="eastAsia" w:ascii="宋体" w:hAnsi="宋体" w:eastAsia="宋体" w:cs="宋体"/>
                <w:b/>
                <w:color w:val="000000"/>
                <w:sz w:val="20"/>
                <w:szCs w:val="20"/>
                <w:u w:val="single"/>
              </w:rPr>
              <w:t xml:space="preserve">         </w:t>
            </w:r>
            <w:r>
              <w:rPr>
                <w:rFonts w:hint="eastAsia" w:ascii="宋体" w:hAnsi="宋体" w:eastAsia="宋体" w:cs="宋体"/>
                <w:b/>
                <w:color w:val="000000"/>
                <w:sz w:val="20"/>
                <w:szCs w:val="20"/>
              </w:rPr>
              <w:t xml:space="preserve"> 元；大写：</w:t>
            </w:r>
            <w:r>
              <w:rPr>
                <w:rFonts w:hint="eastAsia" w:ascii="宋体" w:hAnsi="宋体" w:eastAsia="宋体" w:cs="宋体"/>
                <w:b/>
                <w:color w:val="000000"/>
                <w:sz w:val="20"/>
                <w:szCs w:val="20"/>
                <w:u w:val="single"/>
                <w:lang w:val="en-US" w:eastAsia="zh-CN"/>
              </w:rPr>
              <w:t xml:space="preserve">                  </w:t>
            </w:r>
          </w:p>
        </w:tc>
      </w:tr>
    </w:tbl>
    <w:p>
      <w:pPr>
        <w:spacing w:line="380" w:lineRule="exact"/>
        <w:ind w:left="147" w:leftChars="67"/>
        <w:rPr>
          <w:rFonts w:ascii="仿宋" w:hAnsi="仿宋" w:eastAsia="仿宋"/>
          <w:sz w:val="28"/>
          <w:szCs w:val="28"/>
        </w:rPr>
      </w:pPr>
    </w:p>
    <w:p>
      <w:pPr>
        <w:spacing w:line="380" w:lineRule="exact"/>
        <w:ind w:firstLine="140" w:firstLineChars="50"/>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p>
    <w:p>
      <w:pPr>
        <w:spacing w:line="360" w:lineRule="auto"/>
        <w:ind w:right="152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17891408"/>
      <w:bookmarkStart w:id="117" w:name="_Toc219800249"/>
      <w:bookmarkStart w:id="118" w:name="_Toc211917121"/>
      <w:bookmarkStart w:id="119" w:name="_Toc213756057"/>
      <w:bookmarkStart w:id="120" w:name="_Toc213755945"/>
      <w:bookmarkStart w:id="121" w:name="_Toc213756001"/>
      <w:bookmarkStart w:id="122" w:name="_Toc213755864"/>
      <w:bookmarkStart w:id="123" w:name="_Toc177985474"/>
      <w:bookmarkStart w:id="124" w:name="_Toc251613839"/>
      <w:bookmarkStart w:id="125" w:name="_Toc180302918"/>
      <w:bookmarkStart w:id="126" w:name="_Toc181436466"/>
      <w:bookmarkStart w:id="127" w:name="_Toc160880534"/>
      <w:bookmarkStart w:id="128" w:name="_Toc169332843"/>
      <w:bookmarkStart w:id="129" w:name="_Toc169332954"/>
      <w:bookmarkStart w:id="130" w:name="_Toc170798798"/>
      <w:bookmarkStart w:id="131" w:name="_Toc181436570"/>
      <w:bookmarkStart w:id="132" w:name="_Toc182372787"/>
      <w:bookmarkStart w:id="133" w:name="_Toc182805222"/>
      <w:bookmarkStart w:id="134" w:name="_Toc191783227"/>
      <w:bookmarkStart w:id="135" w:name="_Toc191789334"/>
      <w:bookmarkStart w:id="136" w:name="_Toc191802695"/>
      <w:bookmarkStart w:id="137" w:name="_Toc191803631"/>
      <w:bookmarkStart w:id="138" w:name="_Toc192663691"/>
      <w:bookmarkStart w:id="139" w:name="_Toc192663840"/>
      <w:bookmarkStart w:id="140" w:name="_Toc192664158"/>
      <w:bookmarkStart w:id="141" w:name="_Toc192996343"/>
      <w:bookmarkStart w:id="142" w:name="_Toc253066624"/>
      <w:bookmarkStart w:id="143" w:name="_Toc192996451"/>
      <w:bookmarkStart w:id="144" w:name="_Toc193160453"/>
      <w:bookmarkStart w:id="145" w:name="_Toc193165739"/>
      <w:bookmarkStart w:id="146" w:name="_Toc203355738"/>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67060462"/>
      <w:bookmarkStart w:id="183" w:name="_Toc254790910"/>
      <w:bookmarkStart w:id="184" w:name="_Toc267060217"/>
      <w:bookmarkStart w:id="185" w:name="_Toc267060077"/>
      <w:bookmarkStart w:id="186" w:name="_Toc213756058"/>
      <w:bookmarkStart w:id="187" w:name="_Toc259520875"/>
      <w:bookmarkStart w:id="188" w:name="_Toc259692657"/>
      <w:bookmarkStart w:id="189" w:name="_Toc258401266"/>
      <w:bookmarkStart w:id="190" w:name="_Toc266870917"/>
      <w:bookmarkStart w:id="191" w:name="_Toc255975017"/>
      <w:bookmarkStart w:id="192" w:name="_Toc217891409"/>
      <w:bookmarkStart w:id="193" w:name="_Toc223146615"/>
      <w:bookmarkStart w:id="194" w:name="_Toc219800250"/>
      <w:bookmarkStart w:id="195" w:name="_Toc259692750"/>
      <w:bookmarkStart w:id="196" w:name="_Toc266868680"/>
      <w:bookmarkStart w:id="197" w:name="_Toc225669329"/>
      <w:bookmarkStart w:id="198" w:name="_Toc266870442"/>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color w:val="000000" w:themeColor="text1"/>
          <w:sz w:val="28"/>
          <w:szCs w:val="28"/>
        </w:rPr>
        <w:t>济南大学泉城学院</w:t>
      </w:r>
      <w:r>
        <w:rPr>
          <w:rFonts w:hint="eastAsia" w:ascii="仿宋" w:hAnsi="仿宋" w:eastAsia="仿宋"/>
          <w:sz w:val="28"/>
          <w:szCs w:val="28"/>
        </w:rPr>
        <w:t>：</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w:t>
      </w:r>
      <w:r>
        <w:rPr>
          <w:rFonts w:hint="eastAsia" w:ascii="仿宋" w:hAnsi="仿宋" w:eastAsia="仿宋"/>
          <w:color w:val="000000" w:themeColor="text1"/>
          <w:sz w:val="28"/>
          <w:szCs w:val="28"/>
        </w:rPr>
        <w:t>正本1份，副本1份</w:t>
      </w:r>
      <w:r>
        <w:rPr>
          <w:rFonts w:hint="eastAsia" w:ascii="仿宋" w:hAnsi="仿宋" w:eastAsia="仿宋"/>
          <w:sz w:val="28"/>
          <w:szCs w:val="28"/>
        </w:rPr>
        <w:t>，随报价响应文件一同递交。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color w:val="000000" w:themeColor="text1"/>
          <w:sz w:val="28"/>
          <w:szCs w:val="28"/>
        </w:rPr>
        <w:t>济南大学泉城学院</w:t>
      </w:r>
      <w:r>
        <w:rPr>
          <w:rFonts w:hint="eastAsia" w:ascii="仿宋" w:hAnsi="仿宋" w:eastAsia="仿宋"/>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outlineLvl w:val="2"/>
        <w:rPr>
          <w:rFonts w:ascii="仿宋" w:hAnsi="仿宋" w:eastAsia="仿宋"/>
          <w:b/>
          <w:sz w:val="28"/>
          <w:szCs w:val="28"/>
        </w:rPr>
      </w:pPr>
    </w:p>
    <w:sectPr>
      <w:headerReference r:id="rId14" w:type="first"/>
      <w:headerReference r:id="rId13" w:type="default"/>
      <w:footerReference r:id="rId15" w:type="default"/>
      <w:pgSz w:w="11906" w:h="16838"/>
      <w:pgMar w:top="1418" w:right="1418" w:bottom="426" w:left="1134" w:header="851" w:footer="992" w:gutter="0"/>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0424"/>
    </w:sdtPr>
    <w:sdtContent>
      <w:sdt>
        <w:sdtPr>
          <w:id w:val="9410425"/>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8737"/>
    </w:sdtPr>
    <w:sdtContent>
      <w:sdt>
        <w:sdtPr>
          <w:id w:val="4588738"/>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0F09"/>
    <w:rsid w:val="00003BA5"/>
    <w:rsid w:val="0000490C"/>
    <w:rsid w:val="00013043"/>
    <w:rsid w:val="0004648B"/>
    <w:rsid w:val="0004687F"/>
    <w:rsid w:val="000569E1"/>
    <w:rsid w:val="00074B20"/>
    <w:rsid w:val="0008074F"/>
    <w:rsid w:val="000818B3"/>
    <w:rsid w:val="00082572"/>
    <w:rsid w:val="00091059"/>
    <w:rsid w:val="000934D4"/>
    <w:rsid w:val="000A6A08"/>
    <w:rsid w:val="000B002A"/>
    <w:rsid w:val="000D345A"/>
    <w:rsid w:val="000E7B5F"/>
    <w:rsid w:val="000F4F45"/>
    <w:rsid w:val="00103AE5"/>
    <w:rsid w:val="001275DC"/>
    <w:rsid w:val="0013118F"/>
    <w:rsid w:val="001561E9"/>
    <w:rsid w:val="00176CD4"/>
    <w:rsid w:val="00180783"/>
    <w:rsid w:val="00182C6E"/>
    <w:rsid w:val="001914AE"/>
    <w:rsid w:val="001953F9"/>
    <w:rsid w:val="00195FA5"/>
    <w:rsid w:val="001A155D"/>
    <w:rsid w:val="001A5B43"/>
    <w:rsid w:val="001A7977"/>
    <w:rsid w:val="001B719E"/>
    <w:rsid w:val="001C6943"/>
    <w:rsid w:val="00215525"/>
    <w:rsid w:val="00235C32"/>
    <w:rsid w:val="00244E90"/>
    <w:rsid w:val="002772BB"/>
    <w:rsid w:val="002C2C3D"/>
    <w:rsid w:val="002C4297"/>
    <w:rsid w:val="002F37E3"/>
    <w:rsid w:val="00302565"/>
    <w:rsid w:val="003117E2"/>
    <w:rsid w:val="00332F8E"/>
    <w:rsid w:val="00334E6F"/>
    <w:rsid w:val="003570A0"/>
    <w:rsid w:val="003C001A"/>
    <w:rsid w:val="003C60EF"/>
    <w:rsid w:val="003E6439"/>
    <w:rsid w:val="003F20A6"/>
    <w:rsid w:val="00404FA2"/>
    <w:rsid w:val="004242F4"/>
    <w:rsid w:val="0043243C"/>
    <w:rsid w:val="00441955"/>
    <w:rsid w:val="00452DD9"/>
    <w:rsid w:val="004A4900"/>
    <w:rsid w:val="004B66B1"/>
    <w:rsid w:val="004D15F1"/>
    <w:rsid w:val="004F0E68"/>
    <w:rsid w:val="00502F52"/>
    <w:rsid w:val="00545923"/>
    <w:rsid w:val="00546718"/>
    <w:rsid w:val="00577496"/>
    <w:rsid w:val="00582530"/>
    <w:rsid w:val="00590957"/>
    <w:rsid w:val="005A5A4D"/>
    <w:rsid w:val="005E3A21"/>
    <w:rsid w:val="005F1FC8"/>
    <w:rsid w:val="005F38CE"/>
    <w:rsid w:val="00630374"/>
    <w:rsid w:val="00655DD8"/>
    <w:rsid w:val="00682DA3"/>
    <w:rsid w:val="006F3C71"/>
    <w:rsid w:val="006F5FBA"/>
    <w:rsid w:val="00713F50"/>
    <w:rsid w:val="00720D5C"/>
    <w:rsid w:val="00733577"/>
    <w:rsid w:val="00733A77"/>
    <w:rsid w:val="007650F5"/>
    <w:rsid w:val="00770CF8"/>
    <w:rsid w:val="00792424"/>
    <w:rsid w:val="007B0F09"/>
    <w:rsid w:val="007B2319"/>
    <w:rsid w:val="007D57C1"/>
    <w:rsid w:val="00820F76"/>
    <w:rsid w:val="00823C96"/>
    <w:rsid w:val="00851BCC"/>
    <w:rsid w:val="00865B30"/>
    <w:rsid w:val="00874219"/>
    <w:rsid w:val="008902DC"/>
    <w:rsid w:val="008D791D"/>
    <w:rsid w:val="008D7F60"/>
    <w:rsid w:val="008E006D"/>
    <w:rsid w:val="008F5DEF"/>
    <w:rsid w:val="00916532"/>
    <w:rsid w:val="00923C7E"/>
    <w:rsid w:val="00931B2F"/>
    <w:rsid w:val="00936704"/>
    <w:rsid w:val="009606BC"/>
    <w:rsid w:val="00967E57"/>
    <w:rsid w:val="00994E59"/>
    <w:rsid w:val="00A01831"/>
    <w:rsid w:val="00A146A1"/>
    <w:rsid w:val="00A148CE"/>
    <w:rsid w:val="00A24465"/>
    <w:rsid w:val="00A266F3"/>
    <w:rsid w:val="00A40610"/>
    <w:rsid w:val="00A4220E"/>
    <w:rsid w:val="00A44A63"/>
    <w:rsid w:val="00A51E3E"/>
    <w:rsid w:val="00A64A5B"/>
    <w:rsid w:val="00A90ABE"/>
    <w:rsid w:val="00AC4F28"/>
    <w:rsid w:val="00AD29A3"/>
    <w:rsid w:val="00AF0253"/>
    <w:rsid w:val="00AF3C2A"/>
    <w:rsid w:val="00B14C37"/>
    <w:rsid w:val="00B54440"/>
    <w:rsid w:val="00B554E7"/>
    <w:rsid w:val="00B5633A"/>
    <w:rsid w:val="00B57454"/>
    <w:rsid w:val="00BA1667"/>
    <w:rsid w:val="00BA69FA"/>
    <w:rsid w:val="00BD49FB"/>
    <w:rsid w:val="00BD7232"/>
    <w:rsid w:val="00BE1921"/>
    <w:rsid w:val="00BE4701"/>
    <w:rsid w:val="00C035B5"/>
    <w:rsid w:val="00C26EE5"/>
    <w:rsid w:val="00C30302"/>
    <w:rsid w:val="00C45432"/>
    <w:rsid w:val="00C66E1E"/>
    <w:rsid w:val="00C676BA"/>
    <w:rsid w:val="00C72ACD"/>
    <w:rsid w:val="00C74705"/>
    <w:rsid w:val="00C81AB4"/>
    <w:rsid w:val="00C857BF"/>
    <w:rsid w:val="00CA41E8"/>
    <w:rsid w:val="00CC2243"/>
    <w:rsid w:val="00CC30A0"/>
    <w:rsid w:val="00CE2ECD"/>
    <w:rsid w:val="00CF49FB"/>
    <w:rsid w:val="00CF4BD4"/>
    <w:rsid w:val="00CF5064"/>
    <w:rsid w:val="00D2102C"/>
    <w:rsid w:val="00D36B85"/>
    <w:rsid w:val="00D36D52"/>
    <w:rsid w:val="00D56DEA"/>
    <w:rsid w:val="00DB49BE"/>
    <w:rsid w:val="00E11567"/>
    <w:rsid w:val="00E1249E"/>
    <w:rsid w:val="00E148C7"/>
    <w:rsid w:val="00E3310A"/>
    <w:rsid w:val="00E33A4A"/>
    <w:rsid w:val="00E33B9E"/>
    <w:rsid w:val="00E33C1C"/>
    <w:rsid w:val="00E37EE3"/>
    <w:rsid w:val="00E565EB"/>
    <w:rsid w:val="00E64AD5"/>
    <w:rsid w:val="00E95973"/>
    <w:rsid w:val="00ED11BF"/>
    <w:rsid w:val="00ED2437"/>
    <w:rsid w:val="00EE3803"/>
    <w:rsid w:val="00F0149B"/>
    <w:rsid w:val="00F65297"/>
    <w:rsid w:val="00F83E76"/>
    <w:rsid w:val="00F8646A"/>
    <w:rsid w:val="00F876DE"/>
    <w:rsid w:val="00FC2158"/>
    <w:rsid w:val="00FF1750"/>
    <w:rsid w:val="00FF6D68"/>
    <w:rsid w:val="015626DB"/>
    <w:rsid w:val="116C2693"/>
    <w:rsid w:val="174561D8"/>
    <w:rsid w:val="187A572E"/>
    <w:rsid w:val="29AC2DC9"/>
    <w:rsid w:val="2F074E46"/>
    <w:rsid w:val="4B76014C"/>
    <w:rsid w:val="4C812EBD"/>
    <w:rsid w:val="5993301D"/>
    <w:rsid w:val="6C902D04"/>
    <w:rsid w:val="71A20C67"/>
    <w:rsid w:val="77010359"/>
    <w:rsid w:val="7AF83CFD"/>
    <w:rsid w:val="7E28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customStyle="1" w:styleId="29">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6"/>
    <w:link w:val="6"/>
    <w:semiHidden/>
    <w:qFormat/>
    <w:uiPriority w:val="9"/>
    <w:rPr>
      <w:rFonts w:asciiTheme="majorHAnsi" w:hAnsiTheme="majorHAnsi" w:eastAsiaTheme="majorEastAsia" w:cstheme="majorBidi"/>
      <w:b/>
      <w:bCs/>
    </w:rPr>
  </w:style>
  <w:style w:type="character" w:customStyle="1" w:styleId="34">
    <w:name w:val="标题 6 Char"/>
    <w:basedOn w:val="26"/>
    <w:link w:val="7"/>
    <w:semiHidden/>
    <w:qFormat/>
    <w:uiPriority w:val="9"/>
    <w:rPr>
      <w:rFonts w:asciiTheme="majorHAnsi" w:hAnsiTheme="majorHAnsi" w:eastAsiaTheme="majorEastAsia" w:cstheme="majorBidi"/>
      <w:b/>
      <w:bCs/>
      <w:i/>
      <w:iCs/>
    </w:rPr>
  </w:style>
  <w:style w:type="character" w:customStyle="1" w:styleId="35">
    <w:name w:val="标题 7 Char"/>
    <w:basedOn w:val="26"/>
    <w:link w:val="8"/>
    <w:semiHidden/>
    <w:qFormat/>
    <w:uiPriority w:val="9"/>
    <w:rPr>
      <w:i/>
      <w:iCs/>
    </w:rPr>
  </w:style>
  <w:style w:type="character" w:customStyle="1" w:styleId="36">
    <w:name w:val="标题 8 Char"/>
    <w:basedOn w:val="26"/>
    <w:link w:val="9"/>
    <w:semiHidden/>
    <w:qFormat/>
    <w:uiPriority w:val="9"/>
    <w:rPr>
      <w:b/>
      <w:bCs/>
    </w:rPr>
  </w:style>
  <w:style w:type="character" w:customStyle="1" w:styleId="37">
    <w:name w:val="标题 9 Char"/>
    <w:basedOn w:val="26"/>
    <w:link w:val="10"/>
    <w:semiHidden/>
    <w:qFormat/>
    <w:uiPriority w:val="9"/>
    <w:rPr>
      <w:i/>
      <w:iCs/>
    </w:rPr>
  </w:style>
  <w:style w:type="character" w:customStyle="1" w:styleId="38">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6"/>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6"/>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6"/>
    <w:link w:val="43"/>
    <w:qFormat/>
    <w:uiPriority w:val="30"/>
    <w:rPr>
      <w:rFonts w:asciiTheme="majorHAnsi" w:hAnsiTheme="majorHAnsi" w:eastAsiaTheme="majorEastAsia" w:cstheme="majorBidi"/>
      <w:sz w:val="26"/>
      <w:szCs w:val="26"/>
    </w:rPr>
  </w:style>
  <w:style w:type="character" w:customStyle="1" w:styleId="45">
    <w:name w:val="不明显强调1"/>
    <w:basedOn w:val="26"/>
    <w:qFormat/>
    <w:uiPriority w:val="19"/>
    <w:rPr>
      <w:i/>
      <w:iCs/>
      <w:color w:val="auto"/>
    </w:rPr>
  </w:style>
  <w:style w:type="character" w:customStyle="1" w:styleId="46">
    <w:name w:val="明显强调1"/>
    <w:basedOn w:val="26"/>
    <w:qFormat/>
    <w:uiPriority w:val="21"/>
    <w:rPr>
      <w:b/>
      <w:bCs/>
      <w:i/>
      <w:iCs/>
      <w:color w:val="auto"/>
    </w:rPr>
  </w:style>
  <w:style w:type="character" w:customStyle="1" w:styleId="47">
    <w:name w:val="不明显参考1"/>
    <w:basedOn w:val="26"/>
    <w:qFormat/>
    <w:uiPriority w:val="31"/>
    <w:rPr>
      <w:smallCaps/>
      <w:color w:val="auto"/>
      <w:u w:val="single" w:color="7E7E7E" w:themeColor="text1" w:themeTint="80"/>
    </w:rPr>
  </w:style>
  <w:style w:type="character" w:customStyle="1" w:styleId="48">
    <w:name w:val="明显参考1"/>
    <w:basedOn w:val="26"/>
    <w:qFormat/>
    <w:uiPriority w:val="32"/>
    <w:rPr>
      <w:b/>
      <w:bCs/>
      <w:smallCaps/>
      <w:color w:val="auto"/>
      <w:u w:val="single"/>
    </w:rPr>
  </w:style>
  <w:style w:type="character" w:customStyle="1" w:styleId="49">
    <w:name w:val="书籍标题1"/>
    <w:basedOn w:val="26"/>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6"/>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6"/>
    <w:link w:val="18"/>
    <w:qFormat/>
    <w:uiPriority w:val="99"/>
    <w:rPr>
      <w:sz w:val="18"/>
      <w:szCs w:val="18"/>
    </w:rPr>
  </w:style>
  <w:style w:type="character" w:customStyle="1" w:styleId="54">
    <w:name w:val="页脚 Char"/>
    <w:basedOn w:val="26"/>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6"/>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6"/>
    <w:link w:val="15"/>
    <w:semiHidden/>
    <w:qFormat/>
    <w:uiPriority w:val="99"/>
    <w:rPr>
      <w:rFonts w:hAnsi="Courier New" w:cs="Courier New" w:asciiTheme="minorEastAsia"/>
    </w:rPr>
  </w:style>
  <w:style w:type="character" w:customStyle="1" w:styleId="59">
    <w:name w:val="正文文本 Char"/>
    <w:basedOn w:val="26"/>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Char"/>
    <w:basedOn w:val="26"/>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51126-2FB7-43BE-9EB6-17BE39F5CB1C}">
  <ds:schemaRefs/>
</ds:datastoreItem>
</file>

<file path=docProps/app.xml><?xml version="1.0" encoding="utf-8"?>
<Properties xmlns="http://schemas.openxmlformats.org/officeDocument/2006/extended-properties" xmlns:vt="http://schemas.openxmlformats.org/officeDocument/2006/docPropsVTypes">
  <Template>Normal</Template>
  <Pages>13</Pages>
  <Words>959</Words>
  <Characters>5472</Characters>
  <Lines>45</Lines>
  <Paragraphs>12</Paragraphs>
  <TotalTime>2</TotalTime>
  <ScaleCrop>false</ScaleCrop>
  <LinksUpToDate>false</LinksUpToDate>
  <CharactersWithSpaces>6419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2021-03-20T06:58:00Z</dcterms:created>
  <dc:creator>树亮 门</dc:creator>
  <cp:lastModifiedBy>Nano.c</cp:lastModifiedBy>
  <dcterms:modified xsi:type="dcterms:W3CDTF">2021-05-28T07:06:54Z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A99A6556C8294FE585098C5C34761A60</vt:lpwstr>
  </property>
</Properties>
</file>