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spacing w:line="600" w:lineRule="exact"/>
        <w:jc w:val="center"/>
        <w:outlineLvl w:val="0"/>
        <w:rPr>
          <w:rFonts w:ascii="仿宋" w:hAnsi="仿宋" w:eastAsia="仿宋"/>
          <w:b/>
          <w:color w:val="auto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/>
          <w:b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5163820</wp:posOffset>
            </wp:positionH>
            <wp:positionV relativeFrom="page">
              <wp:posOffset>165735</wp:posOffset>
            </wp:positionV>
            <wp:extent cx="2177415" cy="640080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14" cy="6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auto"/>
          <w:sz w:val="32"/>
          <w:szCs w:val="32"/>
        </w:rPr>
        <w:t>中国教育集团控股有限公司关于重庆外语外事学院</w:t>
      </w:r>
    </w:p>
    <w:p>
      <w:pPr>
        <w:pStyle w:val="45"/>
        <w:spacing w:line="600" w:lineRule="exact"/>
        <w:jc w:val="center"/>
        <w:outlineLvl w:val="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融媒体实验实训教学中心设备、家具采购项目</w:t>
      </w:r>
      <w:r>
        <w:rPr>
          <w:rFonts w:hint="eastAsia" w:ascii="仿宋" w:hAnsi="仿宋" w:eastAsia="仿宋"/>
          <w:b/>
          <w:sz w:val="32"/>
          <w:szCs w:val="32"/>
        </w:rPr>
        <w:t>竞争性磋商公告</w:t>
      </w:r>
    </w:p>
    <w:p>
      <w:pPr>
        <w:rPr>
          <w:rFonts w:hint="eastAsia"/>
        </w:rPr>
      </w:pPr>
    </w:p>
    <w:p>
      <w:pPr>
        <w:spacing w:after="0" w:line="440" w:lineRule="exact"/>
        <w:ind w:firstLine="560" w:firstLineChars="200"/>
        <w:rPr>
          <w:rFonts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Hlk10840310"/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教育集团控股有限公司（简称：中教集团）是一家专注于通过创新提供优质教育服务的教育集团。2017年香港联交所上市（股票代码839），在中国、澳大利亚及英国设有学校。学生来自全球近100个国家，在校生约230,000名。华教教育科技（江西）有限公司（简称：华教公司）作为中教集团内地唯一独资子公司全程承办此次项目。</w:t>
      </w:r>
    </w:p>
    <w:p>
      <w:pPr>
        <w:widowControl w:val="0"/>
        <w:numPr>
          <w:ilvl w:val="1"/>
          <w:numId w:val="1"/>
        </w:numPr>
        <w:spacing w:after="0" w:line="440" w:lineRule="exact"/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磋商编号：ZWC-2021045</w:t>
      </w:r>
    </w:p>
    <w:p>
      <w:pPr>
        <w:widowControl w:val="0"/>
        <w:numPr>
          <w:ilvl w:val="1"/>
          <w:numId w:val="1"/>
        </w:numPr>
        <w:spacing w:after="0" w:line="440" w:lineRule="exact"/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磋商货物名称：融媒体实验实训教学中心设备、家具采购项目</w:t>
      </w:r>
    </w:p>
    <w:p>
      <w:pPr>
        <w:widowControl w:val="0"/>
        <w:numPr>
          <w:ilvl w:val="1"/>
          <w:numId w:val="1"/>
        </w:numPr>
        <w:spacing w:after="0" w:line="440" w:lineRule="exact"/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数量及主要技术要求:</w:t>
      </w:r>
      <w:r>
        <w:rPr>
          <w:rFonts w:hint="eastAsia" w:ascii="仿宋" w:hAnsi="仿宋" w:eastAsia="仿宋"/>
          <w:sz w:val="28"/>
          <w:szCs w:val="28"/>
        </w:rPr>
        <w:t>9间实训室设备、家具采购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，详见《竞争性磋商货物一览表》。</w:t>
      </w:r>
    </w:p>
    <w:p>
      <w:pPr>
        <w:widowControl w:val="0"/>
        <w:numPr>
          <w:ilvl w:val="1"/>
          <w:numId w:val="1"/>
        </w:numPr>
        <w:spacing w:after="0" w:line="440" w:lineRule="exact"/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参与人资格标准：</w:t>
      </w:r>
    </w:p>
    <w:p>
      <w:pPr>
        <w:spacing w:after="0" w:line="440" w:lineRule="exact"/>
        <w:ind w:left="1410" w:leftChars="322" w:hanging="702" w:hangingChars="251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（1）参与人应具有独立法人资格，具有独立承担民事责任能力的生产厂商或授权代理商。</w:t>
      </w:r>
    </w:p>
    <w:p>
      <w:pPr>
        <w:spacing w:after="0" w:line="440" w:lineRule="exact"/>
        <w:ind w:left="1410" w:leftChars="322" w:hanging="702" w:hangingChars="251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（2）参与人应具有为影视视听类实验室设备和服务的资格及能力。在重庆市范围有固定售后服务机构。</w:t>
      </w:r>
    </w:p>
    <w:p>
      <w:pPr>
        <w:spacing w:after="0" w:line="440" w:lineRule="exact"/>
        <w:ind w:left="1130" w:leftChars="322" w:hanging="422" w:hangingChars="151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（3）参与人应遵守中国的有关法律、法规和规章的规定。</w:t>
      </w:r>
    </w:p>
    <w:p>
      <w:pPr>
        <w:spacing w:after="0" w:line="440" w:lineRule="exact"/>
        <w:ind w:left="1410" w:leftChars="322" w:hanging="702" w:hangingChars="251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（4）参与人具有三年以上（包括三年）3个以上同类项目销售和良好的售后服务应用成功案例（提供合同及发票复印件、文字或图片),近三年未发生重大安全或质量事故。</w:t>
      </w:r>
    </w:p>
    <w:p>
      <w:pPr>
        <w:spacing w:after="0" w:line="440" w:lineRule="exact"/>
        <w:ind w:left="1130" w:leftChars="322" w:hanging="422" w:hangingChars="151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（5）参与人须有良好的商业信誉和健全的财务制度。</w:t>
      </w:r>
    </w:p>
    <w:p>
      <w:pPr>
        <w:spacing w:after="0" w:line="440" w:lineRule="exact"/>
        <w:ind w:left="1130" w:leftChars="322" w:hanging="422" w:hangingChars="151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（6）参与人有依法缴纳税金的良好记录。</w:t>
      </w:r>
    </w:p>
    <w:p>
      <w:pPr>
        <w:spacing w:after="0" w:line="440" w:lineRule="exact"/>
        <w:ind w:left="422" w:leftChars="19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参与人提交的以上要求的文件或证明的复印件应是最新（有效）、清晰，注明“与原件一致”并加盖参与人公章，并有原件备查。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磋商文件购买时间：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2021年07月29日至2021年08月04日</w:t>
      </w:r>
      <w:r>
        <w:rPr>
          <w:rFonts w:hint="eastAsia" w:ascii="仿宋" w:hAnsi="仿宋" w:eastAsia="仿宋"/>
          <w:sz w:val="28"/>
          <w:szCs w:val="28"/>
        </w:rPr>
        <w:t>上午8:00至12:00、下午14:30至16:30。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正式磋商文件售价2000元人民币，购买须采用转账形式，磋商文件售出不退。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响应文件递交截止时间：2021年08月09日下午10:00前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磋商文件购买及响应文件递交地点：</w:t>
      </w:r>
    </w:p>
    <w:p>
      <w:pPr>
        <w:spacing w:after="0" w:line="460" w:lineRule="exact"/>
        <w:ind w:left="839" w:right="-440" w:rightChars="-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地点：重庆市渝北区龙石路18号学院渝北校区公办楼202室</w:t>
      </w:r>
    </w:p>
    <w:p>
      <w:pPr>
        <w:spacing w:after="0" w:line="460" w:lineRule="exact"/>
        <w:ind w:left="839"/>
        <w:rPr>
          <w:rFonts w:hint="eastAsia" w:ascii="仿宋" w:hAnsi="仿宋" w:eastAsia="仿宋"/>
          <w:b/>
          <w:bCs/>
          <w:sz w:val="28"/>
          <w:szCs w:val="28"/>
        </w:rPr>
      </w:pPr>
      <w:bookmarkStart w:id="1" w:name="_Hlk41462525"/>
      <w:r>
        <w:rPr>
          <w:rFonts w:hint="eastAsia" w:ascii="仿宋" w:hAnsi="仿宋" w:eastAsia="仿宋"/>
          <w:b/>
          <w:bCs/>
          <w:sz w:val="28"/>
          <w:szCs w:val="28"/>
        </w:rPr>
        <w:t>项目联系人：喻  峻，电话：</w:t>
      </w:r>
      <w:bookmarkEnd w:id="1"/>
      <w:r>
        <w:rPr>
          <w:rFonts w:hint="eastAsia" w:ascii="仿宋" w:hAnsi="仿宋" w:eastAsia="仿宋"/>
          <w:b/>
          <w:bCs/>
          <w:sz w:val="28"/>
          <w:szCs w:val="28"/>
        </w:rPr>
        <w:t>18502371287</w:t>
      </w:r>
    </w:p>
    <w:p>
      <w:pPr>
        <w:spacing w:after="0" w:line="460" w:lineRule="exact"/>
        <w:ind w:left="83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项目答疑人：唐时顺，电话：15823276982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正式磋商时间及地点：</w:t>
      </w:r>
    </w:p>
    <w:p>
      <w:pPr>
        <w:spacing w:after="0" w:line="500" w:lineRule="exact"/>
        <w:ind w:left="83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正式磋商时间：2021年08月09日下午15:00</w:t>
      </w:r>
    </w:p>
    <w:p>
      <w:pPr>
        <w:spacing w:after="0" w:line="460" w:lineRule="exact"/>
        <w:ind w:left="839" w:right="-220" w:rightChars="-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正式磋商地点：重庆市渝北区龙石路18号学院公办楼第二会议室</w:t>
      </w:r>
    </w:p>
    <w:p>
      <w:pPr>
        <w:widowControl w:val="0"/>
        <w:numPr>
          <w:ilvl w:val="1"/>
          <w:numId w:val="1"/>
        </w:numPr>
        <w:spacing w:after="0" w:line="500" w:lineRule="exact"/>
        <w:ind w:left="850" w:hanging="43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参加本项目的参与人须在规定的时间内到指定地点购买磋商文件，本项目不接受未购买磋商文件供应商的参与，且不予以书面通知磋商文件补充内容等。</w:t>
      </w:r>
    </w:p>
    <w:p>
      <w:pPr>
        <w:widowControl w:val="0"/>
        <w:numPr>
          <w:ilvl w:val="1"/>
          <w:numId w:val="1"/>
        </w:numPr>
        <w:spacing w:after="0" w:line="500" w:lineRule="exact"/>
        <w:ind w:left="851" w:hanging="431"/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本项目需缴纳磋商保证金4万元，成交参与人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bookmarkEnd w:id="0"/>
    <w:p>
      <w:pPr>
        <w:widowControl w:val="0"/>
        <w:numPr>
          <w:ilvl w:val="1"/>
          <w:numId w:val="1"/>
        </w:numPr>
        <w:spacing w:after="0" w:line="500" w:lineRule="exact"/>
        <w:ind w:left="851" w:hanging="431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本项目监督投诉部门：中教集团内控部；投诉电话： 0791-88102608；</w:t>
      </w:r>
    </w:p>
    <w:p>
      <w:pPr>
        <w:widowControl w:val="0"/>
        <w:spacing w:after="0" w:line="500" w:lineRule="exact"/>
        <w:ind w:left="851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投诉邮箱：Neikongbu@educationgroup.cn</w:t>
      </w:r>
    </w:p>
    <w:p>
      <w:pPr>
        <w:widowControl w:val="0"/>
        <w:spacing w:after="0" w:line="500" w:lineRule="exact"/>
        <w:ind w:left="851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22"/>
          <w:rFonts w:hint="eastAsia" w:ascii="仿宋" w:hAnsi="仿宋" w:eastAsia="仿宋"/>
          <w:b/>
          <w:bCs/>
          <w:sz w:val="28"/>
          <w:szCs w:val="28"/>
        </w:rPr>
        <w:t>www.ceghqxz.com</w:t>
      </w:r>
      <w:r>
        <w:rPr>
          <w:rStyle w:val="22"/>
          <w:rFonts w:hint="eastAsia" w:ascii="仿宋" w:hAnsi="仿宋" w:eastAsia="仿宋"/>
          <w:b/>
          <w:bCs/>
          <w:sz w:val="28"/>
          <w:szCs w:val="28"/>
        </w:rPr>
        <w:fldChar w:fldCharType="end"/>
      </w:r>
    </w:p>
    <w:p>
      <w:pPr>
        <w:widowControl w:val="0"/>
        <w:numPr>
          <w:ilvl w:val="1"/>
          <w:numId w:val="1"/>
        </w:numPr>
        <w:spacing w:after="0" w:line="500" w:lineRule="exact"/>
        <w:ind w:left="851" w:hanging="43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磋商文件购买及保证金汇款账号</w:t>
      </w:r>
    </w:p>
    <w:p>
      <w:pPr>
        <w:widowControl w:val="0"/>
        <w:spacing w:after="0" w:line="500" w:lineRule="exact"/>
        <w:ind w:left="85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开户名称：重庆外语外事学院</w:t>
      </w:r>
    </w:p>
    <w:p>
      <w:pPr>
        <w:widowControl w:val="0"/>
        <w:spacing w:after="0" w:line="500" w:lineRule="exact"/>
        <w:ind w:left="85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帐 号：5001 2404 2018 0000 28935</w:t>
      </w:r>
    </w:p>
    <w:p>
      <w:pPr>
        <w:widowControl w:val="0"/>
        <w:spacing w:after="0" w:line="500" w:lineRule="exact"/>
        <w:ind w:left="851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开户银行：交通银行重庆自由贸易试验区分行</w:t>
      </w:r>
    </w:p>
    <w:p>
      <w:pPr>
        <w:spacing w:line="440" w:lineRule="exact"/>
        <w:ind w:firstLine="5460" w:firstLineChars="195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460" w:firstLineChars="1950"/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ind w:firstLine="5460" w:firstLineChars="19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华教教育科技（江西）有限公司</w:t>
      </w:r>
    </w:p>
    <w:p>
      <w:pPr>
        <w:spacing w:line="440" w:lineRule="exact"/>
        <w:ind w:firstLine="6300" w:firstLineChars="2250"/>
      </w:pPr>
      <w:r>
        <w:rPr>
          <w:rFonts w:hint="eastAsia" w:ascii="仿宋" w:hAnsi="仿宋" w:eastAsia="仿宋"/>
          <w:sz w:val="28"/>
          <w:szCs w:val="28"/>
        </w:rPr>
        <w:t>2021年07月2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274" w:bottom="1134" w:left="1276" w:header="567" w:footer="51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rFonts w:hint="eastAsia"/>
      </w:rPr>
      <w:t>香港联交所上市（股票代码</w:t>
    </w:r>
    <w:r>
      <w:t>839</w:t>
    </w:r>
    <w:r>
      <w:rPr>
        <w:rFonts w:hint="eastAsia"/>
      </w:rPr>
      <w:t>）</w:t>
    </w:r>
    <w:r>
      <w:t>HKEx Stock Code:839</w:t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WordPictureWatermark136810955" o:spid="_x0000_s2051" o:spt="75" type="#_x0000_t75" style="position:absolute;left:0pt;height:91.25pt;width:310.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JCS0230-重庆融媒体实验实训教学中心设备、家具采购项目--门树亮-2021.07.28"/>
          <o:lock v:ext="edit" aspectratio="t"/>
        </v:shape>
      </w:pict>
    </w:r>
    <w:r>
      <w:drawing>
        <wp:inline distT="0" distB="0" distL="0" distR="0">
          <wp:extent cx="2929890" cy="43815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642" cy="4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WordPictureWatermark136810954" o:spid="_x0000_s2050" o:spt="75" type="#_x0000_t75" style="position:absolute;left:0pt;height:91.25pt;width:310.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JCS0230-重庆融媒体实验实训教学中心设备、家具采购项目--门树亮-2021.07.28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WordPictureWatermark136810953" o:spid="_x0000_s2049" o:spt="75" type="#_x0000_t75" style="position:absolute;left:0pt;height:91.25pt;width:310.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JCS0230-重庆融媒体实验实训教学中心设备、家具采购项目--门树亮-2021.07.28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A8"/>
    <w:rsid w:val="000117D6"/>
    <w:rsid w:val="00043155"/>
    <w:rsid w:val="000668EC"/>
    <w:rsid w:val="000944A8"/>
    <w:rsid w:val="0015606C"/>
    <w:rsid w:val="001E6C59"/>
    <w:rsid w:val="00232062"/>
    <w:rsid w:val="00235C32"/>
    <w:rsid w:val="002D4517"/>
    <w:rsid w:val="002E1D48"/>
    <w:rsid w:val="003206DE"/>
    <w:rsid w:val="0048151D"/>
    <w:rsid w:val="00490F8E"/>
    <w:rsid w:val="00521A80"/>
    <w:rsid w:val="005E26B3"/>
    <w:rsid w:val="006033E8"/>
    <w:rsid w:val="006608A7"/>
    <w:rsid w:val="006E7DCC"/>
    <w:rsid w:val="007758AD"/>
    <w:rsid w:val="00781E28"/>
    <w:rsid w:val="008B3CAB"/>
    <w:rsid w:val="008C59EE"/>
    <w:rsid w:val="00913219"/>
    <w:rsid w:val="009B4D7D"/>
    <w:rsid w:val="00A04D87"/>
    <w:rsid w:val="00A11DF7"/>
    <w:rsid w:val="00A27464"/>
    <w:rsid w:val="00A67585"/>
    <w:rsid w:val="00AB0DE2"/>
    <w:rsid w:val="00AD3A90"/>
    <w:rsid w:val="00B313F9"/>
    <w:rsid w:val="00B7469B"/>
    <w:rsid w:val="00BF2851"/>
    <w:rsid w:val="00C13DA1"/>
    <w:rsid w:val="00C94055"/>
    <w:rsid w:val="00CE4024"/>
    <w:rsid w:val="00D36D52"/>
    <w:rsid w:val="00D7483F"/>
    <w:rsid w:val="00E40ADD"/>
    <w:rsid w:val="00ED48A0"/>
    <w:rsid w:val="00F40885"/>
    <w:rsid w:val="00FF73DD"/>
    <w:rsid w:val="0B9B6A07"/>
    <w:rsid w:val="20832F2D"/>
    <w:rsid w:val="23FC113B"/>
    <w:rsid w:val="3D150CD0"/>
    <w:rsid w:val="57A66FDF"/>
    <w:rsid w:val="5E2F6395"/>
    <w:rsid w:val="5EEF0E30"/>
    <w:rsid w:val="61552929"/>
    <w:rsid w:val="66381DF1"/>
    <w:rsid w:val="6E773CE4"/>
    <w:rsid w:val="72B43F2B"/>
    <w:rsid w:val="77AA3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annotation text"/>
    <w:basedOn w:val="1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4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5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3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7">
    <w:name w:val="Title"/>
    <w:basedOn w:val="1"/>
    <w:next w:val="1"/>
    <w:link w:val="32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0">
    <w:name w:val="Strong"/>
    <w:basedOn w:val="19"/>
    <w:qFormat/>
    <w:uiPriority w:val="22"/>
    <w:rPr>
      <w:b/>
      <w:bCs/>
      <w:color w:val="auto"/>
    </w:rPr>
  </w:style>
  <w:style w:type="character" w:styleId="21">
    <w:name w:val="Emphasis"/>
    <w:basedOn w:val="19"/>
    <w:qFormat/>
    <w:uiPriority w:val="20"/>
    <w:rPr>
      <w:i/>
      <w:iCs/>
      <w:color w:val="auto"/>
    </w:rPr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customStyle="1" w:styleId="23">
    <w:name w:val="标题 1 字符"/>
    <w:basedOn w:val="19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4">
    <w:name w:val="标题 2 字符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5">
    <w:name w:val="标题 3 字符"/>
    <w:basedOn w:val="19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26">
    <w:name w:val="标题 4 字符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27">
    <w:name w:val="标题 5 字符"/>
    <w:basedOn w:val="19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8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9">
    <w:name w:val="标题 7 字符"/>
    <w:basedOn w:val="19"/>
    <w:link w:val="8"/>
    <w:semiHidden/>
    <w:qFormat/>
    <w:uiPriority w:val="9"/>
    <w:rPr>
      <w:i/>
      <w:iCs/>
    </w:rPr>
  </w:style>
  <w:style w:type="character" w:customStyle="1" w:styleId="30">
    <w:name w:val="标题 8 字符"/>
    <w:basedOn w:val="19"/>
    <w:link w:val="9"/>
    <w:semiHidden/>
    <w:qFormat/>
    <w:uiPriority w:val="9"/>
    <w:rPr>
      <w:b/>
      <w:bCs/>
    </w:rPr>
  </w:style>
  <w:style w:type="character" w:customStyle="1" w:styleId="31">
    <w:name w:val="标题 9 字符"/>
    <w:basedOn w:val="19"/>
    <w:link w:val="10"/>
    <w:semiHidden/>
    <w:qFormat/>
    <w:uiPriority w:val="9"/>
    <w:rPr>
      <w:i/>
      <w:iCs/>
    </w:rPr>
  </w:style>
  <w:style w:type="character" w:customStyle="1" w:styleId="32">
    <w:name w:val="标题 字符"/>
    <w:basedOn w:val="19"/>
    <w:link w:val="17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3">
    <w:name w:val="副标题 字符"/>
    <w:basedOn w:val="19"/>
    <w:link w:val="16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4">
    <w:name w:val="No Spacing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5">
    <w:name w:val="Quote"/>
    <w:basedOn w:val="1"/>
    <w:next w:val="1"/>
    <w:link w:val="36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6">
    <w:name w:val="引用 字符"/>
    <w:basedOn w:val="19"/>
    <w:link w:val="35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38">
    <w:name w:val="明显引用 字符"/>
    <w:basedOn w:val="19"/>
    <w:link w:val="37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39">
    <w:name w:val="不明显强调1"/>
    <w:basedOn w:val="19"/>
    <w:qFormat/>
    <w:uiPriority w:val="19"/>
    <w:rPr>
      <w:i/>
      <w:iCs/>
      <w:color w:val="auto"/>
    </w:rPr>
  </w:style>
  <w:style w:type="character" w:customStyle="1" w:styleId="40">
    <w:name w:val="明显强调1"/>
    <w:basedOn w:val="19"/>
    <w:qFormat/>
    <w:uiPriority w:val="21"/>
    <w:rPr>
      <w:b/>
      <w:bCs/>
      <w:i/>
      <w:iCs/>
      <w:color w:val="auto"/>
    </w:rPr>
  </w:style>
  <w:style w:type="character" w:customStyle="1" w:styleId="41">
    <w:name w:val="不明显参考1"/>
    <w:basedOn w:val="19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2">
    <w:name w:val="明显参考1"/>
    <w:basedOn w:val="19"/>
    <w:qFormat/>
    <w:uiPriority w:val="32"/>
    <w:rPr>
      <w:b/>
      <w:bCs/>
      <w:smallCaps/>
      <w:color w:val="auto"/>
      <w:u w:val="single"/>
    </w:rPr>
  </w:style>
  <w:style w:type="character" w:customStyle="1" w:styleId="43">
    <w:name w:val="书籍标题1"/>
    <w:basedOn w:val="19"/>
    <w:qFormat/>
    <w:uiPriority w:val="33"/>
    <w:rPr>
      <w:b/>
      <w:bCs/>
      <w:smallCaps/>
      <w:color w:val="auto"/>
    </w:rPr>
  </w:style>
  <w:style w:type="paragraph" w:customStyle="1" w:styleId="44">
    <w:name w:val="TOC 标题1"/>
    <w:basedOn w:val="2"/>
    <w:next w:val="1"/>
    <w:semiHidden/>
    <w:unhideWhenUsed/>
    <w:qFormat/>
    <w:uiPriority w:val="39"/>
    <w:pPr>
      <w:outlineLvl w:val="9"/>
    </w:p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6">
    <w:name w:val="页眉 字符"/>
    <w:basedOn w:val="19"/>
    <w:link w:val="15"/>
    <w:qFormat/>
    <w:uiPriority w:val="99"/>
    <w:rPr>
      <w:sz w:val="18"/>
      <w:szCs w:val="18"/>
    </w:rPr>
  </w:style>
  <w:style w:type="character" w:customStyle="1" w:styleId="47">
    <w:name w:val="页脚 字符"/>
    <w:basedOn w:val="19"/>
    <w:link w:val="14"/>
    <w:qFormat/>
    <w:uiPriority w:val="99"/>
    <w:rPr>
      <w:sz w:val="18"/>
      <w:szCs w:val="18"/>
    </w:rPr>
  </w:style>
  <w:style w:type="character" w:customStyle="1" w:styleId="48">
    <w:name w:val="批注框文本 字符"/>
    <w:basedOn w:val="19"/>
    <w:link w:val="13"/>
    <w:semiHidden/>
    <w:qFormat/>
    <w:uiPriority w:val="99"/>
    <w:rPr>
      <w:sz w:val="18"/>
      <w:szCs w:val="18"/>
    </w:rPr>
  </w:style>
  <w:style w:type="character" w:customStyle="1" w:styleId="49">
    <w:name w:val="中教磋商文件格式 字符"/>
    <w:basedOn w:val="19"/>
    <w:link w:val="50"/>
    <w:qFormat/>
    <w:uiPriority w:val="0"/>
    <w:rPr>
      <w:rFonts w:ascii="仿宋" w:hAnsi="仿宋" w:eastAsia="仿宋"/>
      <w:color w:val="000000"/>
      <w:sz w:val="28"/>
      <w:szCs w:val="28"/>
    </w:rPr>
  </w:style>
  <w:style w:type="paragraph" w:customStyle="1" w:styleId="50">
    <w:name w:val="中教磋商文件格式"/>
    <w:basedOn w:val="1"/>
    <w:link w:val="49"/>
    <w:qFormat/>
    <w:uiPriority w:val="0"/>
    <w:pPr>
      <w:spacing w:after="0" w:line="500" w:lineRule="exact"/>
      <w:ind w:firstLine="560" w:firstLineChars="200"/>
    </w:pPr>
    <w:rPr>
      <w:rFonts w:ascii="仿宋" w:hAnsi="仿宋" w:eastAsia="仿宋"/>
      <w:color w:val="000000"/>
      <w:sz w:val="28"/>
      <w:szCs w:val="28"/>
    </w:rPr>
  </w:style>
  <w:style w:type="paragraph" w:styleId="5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CCE8C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2</Pages>
  <Words>202</Words>
  <Characters>1153</Characters>
  <Lines>9</Lines>
  <Paragraphs>2</Paragraphs>
  <TotalTime>1</TotalTime>
  <ScaleCrop>false</ScaleCrop>
  <LinksUpToDate>false</LinksUpToDate>
  <CharactersWithSpaces>1353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2019-06-07T14:51:00Z</dcterms:created>
  <dc:creator>树亮 门</dc:creator>
  <cp:lastModifiedBy>il菓菓</cp:lastModifiedBy>
  <dcterms:modified xsi:type="dcterms:W3CDTF">2021-07-28T05:09:20Z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AA84F2F924354EDE81DD07E63B4687E3</vt:lpwstr>
  </property>
</Properties>
</file>