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rPr>
        <w:t>学生公寓连体床、4门衣柜采购项目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jc w:val="left"/>
        <w:rPr>
          <w:rFonts w:ascii="仿宋" w:hAnsi="仿宋" w:eastAsia="仿宋"/>
          <w:b/>
          <w:color w:val="000000" w:themeColor="text1"/>
          <w:sz w:val="36"/>
          <w:szCs w:val="36"/>
        </w:rPr>
      </w:pPr>
      <w:r>
        <w:rPr>
          <w:rFonts w:hint="eastAsia" w:ascii="仿宋" w:hAnsi="仿宋" w:eastAsia="仿宋"/>
          <w:b/>
          <w:sz w:val="36"/>
          <w:szCs w:val="36"/>
        </w:rPr>
        <w:t>项目编号：</w:t>
      </w:r>
      <w:r>
        <w:rPr>
          <w:rFonts w:hint="eastAsia" w:ascii="仿宋" w:hAnsi="仿宋" w:eastAsia="仿宋"/>
          <w:b/>
          <w:color w:val="000000" w:themeColor="text1"/>
          <w:sz w:val="36"/>
          <w:szCs w:val="36"/>
        </w:rPr>
        <w:t>JDQY20210809</w:t>
      </w:r>
    </w:p>
    <w:p>
      <w:pPr>
        <w:spacing w:line="500" w:lineRule="exact"/>
        <w:rPr>
          <w:rFonts w:ascii="仿宋" w:hAnsi="仿宋" w:eastAsia="仿宋"/>
          <w:b/>
          <w:color w:val="000000" w:themeColor="text1"/>
          <w:sz w:val="36"/>
          <w:szCs w:val="36"/>
        </w:rPr>
      </w:pPr>
      <w:bookmarkStart w:id="1" w:name="_Toc169332792"/>
      <w:bookmarkStart w:id="2" w:name="_Toc160880485"/>
      <w:bookmarkStart w:id="3" w:name="_Toc160880118"/>
      <w:r>
        <w:rPr>
          <w:rFonts w:hint="eastAsia" w:ascii="仿宋" w:hAnsi="仿宋" w:eastAsia="仿宋"/>
          <w:b/>
          <w:color w:val="000000" w:themeColor="text1"/>
          <w:sz w:val="36"/>
          <w:szCs w:val="36"/>
        </w:rPr>
        <w:t>项目名称</w:t>
      </w:r>
      <w:bookmarkEnd w:id="1"/>
      <w:bookmarkEnd w:id="2"/>
      <w:bookmarkEnd w:id="3"/>
      <w:r>
        <w:rPr>
          <w:rFonts w:hint="eastAsia" w:ascii="仿宋" w:hAnsi="仿宋" w:eastAsia="仿宋"/>
          <w:b/>
          <w:color w:val="000000" w:themeColor="text1"/>
          <w:sz w:val="36"/>
          <w:szCs w:val="36"/>
        </w:rPr>
        <w:t>：</w:t>
      </w:r>
      <w:bookmarkStart w:id="4" w:name="_Toc266868624"/>
      <w:bookmarkStart w:id="5" w:name="_Toc267059519"/>
      <w:bookmarkStart w:id="6" w:name="_Toc267059161"/>
      <w:bookmarkStart w:id="7" w:name="_Toc251613780"/>
      <w:bookmarkStart w:id="8" w:name="_Toc253066567"/>
      <w:bookmarkStart w:id="9" w:name="_Toc207014580"/>
      <w:bookmarkStart w:id="10" w:name="_Toc211937196"/>
      <w:bookmarkStart w:id="11" w:name="_Toc259692693"/>
      <w:bookmarkStart w:id="12" w:name="_Toc255974963"/>
      <w:bookmarkStart w:id="13" w:name="_Toc267059633"/>
      <w:bookmarkStart w:id="14" w:name="_Toc212454753"/>
      <w:bookmarkStart w:id="15" w:name="_Toc251586187"/>
      <w:bookmarkStart w:id="16" w:name="_Toc254790852"/>
      <w:bookmarkStart w:id="17" w:name="_Toc267060407"/>
      <w:bookmarkStart w:id="18" w:name="_Toc160880487"/>
      <w:bookmarkStart w:id="19" w:name="_Toc217891359"/>
      <w:bookmarkStart w:id="20" w:name="_Toc219800200"/>
      <w:bookmarkStart w:id="21" w:name="_Toc259692600"/>
      <w:bookmarkStart w:id="22" w:name="_Toc258401210"/>
      <w:bookmarkStart w:id="23" w:name="_Toc259520819"/>
      <w:bookmarkStart w:id="24" w:name="_Toc273178686"/>
      <w:bookmarkStart w:id="25" w:name="_Toc216241307"/>
      <w:bookmarkStart w:id="26" w:name="_Toc266870386"/>
      <w:bookmarkStart w:id="27" w:name="_Toc266870861"/>
      <w:bookmarkStart w:id="28" w:name="_Toc212526081"/>
      <w:bookmarkStart w:id="29" w:name="_Toc170798743"/>
      <w:bookmarkStart w:id="30" w:name="_Toc212456146"/>
      <w:bookmarkStart w:id="31" w:name="_Toc236021402"/>
      <w:bookmarkStart w:id="32" w:name="_Toc177985424"/>
      <w:bookmarkStart w:id="33" w:name="_Toc212530253"/>
      <w:bookmarkStart w:id="34" w:name="_Toc267059010"/>
      <w:bookmarkStart w:id="35" w:name="_Toc266868924"/>
      <w:bookmarkStart w:id="36" w:name="_Toc249325665"/>
      <w:bookmarkStart w:id="37" w:name="_Toc223146565"/>
      <w:bookmarkStart w:id="38" w:name="_Toc235438227"/>
      <w:bookmarkStart w:id="39" w:name="_Toc267060162"/>
      <w:bookmarkStart w:id="40" w:name="_Toc235437942"/>
      <w:bookmarkStart w:id="41" w:name="_Toc267059899"/>
      <w:bookmarkStart w:id="42" w:name="_Toc235438297"/>
      <w:bookmarkStart w:id="43" w:name="_Toc169332904"/>
      <w:bookmarkStart w:id="44" w:name="_Toc267059786"/>
      <w:bookmarkStart w:id="45" w:name="_Toc267060022"/>
      <w:bookmarkStart w:id="46" w:name="_Toc227058483"/>
      <w:bookmarkStart w:id="47" w:name="_Toc169332794"/>
      <w:bookmarkStart w:id="48" w:name="_Toc225669277"/>
      <w:r>
        <w:rPr>
          <w:rFonts w:hint="eastAsia" w:ascii="仿宋" w:hAnsi="仿宋" w:eastAsia="仿宋"/>
          <w:b/>
          <w:color w:val="000000" w:themeColor="text1"/>
          <w:sz w:val="36"/>
          <w:szCs w:val="36"/>
        </w:rPr>
        <w:t>学生公寓连体床、4门衣柜采购项目</w:t>
      </w:r>
    </w:p>
    <w:p>
      <w:pPr>
        <w:spacing w:line="500" w:lineRule="exact"/>
        <w:rPr>
          <w:rFonts w:ascii="仿宋" w:hAnsi="仿宋" w:eastAsia="仿宋"/>
          <w:b/>
          <w:color w:val="000000" w:themeColor="text1"/>
          <w:sz w:val="36"/>
          <w:szCs w:val="36"/>
        </w:rPr>
      </w:pPr>
    </w:p>
    <w:p>
      <w:pPr>
        <w:spacing w:line="500" w:lineRule="exact"/>
        <w:ind w:firstLine="2331" w:firstLineChars="645"/>
        <w:rPr>
          <w:rFonts w:ascii="仿宋" w:hAnsi="仿宋" w:eastAsia="仿宋"/>
          <w:b/>
          <w:color w:val="000000" w:themeColor="text1"/>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p>
    <w:p>
      <w:pPr>
        <w:pStyle w:val="52"/>
        <w:spacing w:line="360" w:lineRule="auto"/>
        <w:jc w:val="both"/>
        <w:outlineLvl w:val="0"/>
        <w:rPr>
          <w:rFonts w:ascii="仿宋" w:hAnsi="仿宋" w:eastAsia="仿宋"/>
          <w:b/>
          <w:color w:val="auto"/>
          <w:sz w:val="44"/>
          <w:szCs w:val="44"/>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9" w:name="_Hlk10840310"/>
      <w:bookmarkStart w:id="236" w:name="_GoBack"/>
      <w:r>
        <w:rPr>
          <w:rFonts w:hint="eastAsia" w:ascii="仿宋" w:hAnsi="仿宋" w:eastAsia="仿宋"/>
          <w:sz w:val="28"/>
          <w:szCs w:val="28"/>
        </w:rPr>
        <w:t>济南大学泉城学院成立于2005年，是国家教育部和山东省人民政府批准成立的全日制普通本科高校。位于人间仙境—山东蓬莱，环境优美。现有全日制在校生14000余人，根据需要，对济南大学泉城学院学生公寓连体床、4门衣柜采购项目进行公开询价，欢迎国内合格参与人参与。</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color w:val="000000" w:themeColor="text1"/>
          <w:sz w:val="28"/>
          <w:szCs w:val="28"/>
        </w:rPr>
        <w:t>一、项目说明</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项目编号：JDQY20210809</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项目名称：</w:t>
      </w:r>
      <w:r>
        <w:rPr>
          <w:rFonts w:hint="eastAsia" w:ascii="仿宋" w:hAnsi="仿宋" w:eastAsia="仿宋"/>
          <w:sz w:val="28"/>
          <w:szCs w:val="28"/>
        </w:rPr>
        <w:t>学生公寓连体床、4门衣柜</w:t>
      </w:r>
      <w:r>
        <w:rPr>
          <w:rFonts w:hint="eastAsia" w:ascii="仿宋" w:hAnsi="仿宋" w:eastAsia="仿宋"/>
          <w:color w:val="000000" w:themeColor="text1"/>
          <w:sz w:val="28"/>
          <w:szCs w:val="28"/>
        </w:rPr>
        <w:t>采购项目</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数量及主要技术要求:《公开询价货物一览表》。</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参与人资格标准：</w:t>
      </w:r>
      <w:r>
        <w:rPr>
          <w:rFonts w:ascii="仿宋" w:hAnsi="仿宋" w:eastAsia="仿宋"/>
          <w:color w:val="000000" w:themeColor="text1"/>
          <w:sz w:val="28"/>
          <w:szCs w:val="28"/>
        </w:rPr>
        <w:t xml:space="preserve"> </w:t>
      </w:r>
    </w:p>
    <w:p>
      <w:pPr>
        <w:spacing w:after="0" w:line="500" w:lineRule="exact"/>
        <w:ind w:left="1410" w:leftChars="322" w:hanging="702" w:hangingChars="251"/>
        <w:jc w:val="left"/>
        <w:rPr>
          <w:rFonts w:ascii="仿宋" w:hAnsi="仿宋" w:eastAsia="仿宋"/>
          <w:color w:val="000000" w:themeColor="text1"/>
          <w:sz w:val="28"/>
          <w:szCs w:val="28"/>
        </w:rPr>
      </w:pPr>
      <w:r>
        <w:rPr>
          <w:rFonts w:hint="eastAsia" w:ascii="仿宋" w:hAnsi="仿宋" w:eastAsia="仿宋"/>
          <w:color w:val="000000" w:themeColor="text1"/>
          <w:sz w:val="28"/>
          <w:szCs w:val="28"/>
        </w:rPr>
        <w:t>（1）参与人应具有独立法人资格。</w:t>
      </w:r>
      <w:r>
        <w:rPr>
          <w:rFonts w:ascii="仿宋" w:hAnsi="仿宋" w:eastAsia="仿宋"/>
          <w:color w:val="000000" w:themeColor="text1"/>
          <w:sz w:val="28"/>
          <w:szCs w:val="28"/>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color w:val="000000" w:themeColor="text1"/>
          <w:sz w:val="28"/>
          <w:szCs w:val="28"/>
        </w:rPr>
        <w:t>（2）供应商需提供所供产品、原材料的合格证书等。</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rPr>
      </w:pPr>
      <w:r>
        <w:rPr>
          <w:rFonts w:hint="eastAsia" w:ascii="仿宋" w:hAnsi="仿宋" w:eastAsia="仿宋"/>
          <w:color w:val="000000" w:themeColor="text1"/>
          <w:sz w:val="28"/>
          <w:szCs w:val="28"/>
        </w:rPr>
        <w:t>（4）参与人具有2年以上（包括2年）3个以上同类项目良好的售后服务应用成功案例,近三年未发生重大安全或质量事故。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rPr>
      </w:pPr>
      <w:r>
        <w:rPr>
          <w:rFonts w:hint="eastAsia" w:ascii="仿宋" w:hAnsi="仿宋" w:eastAsia="仿宋"/>
          <w:color w:val="000000" w:themeColor="text1"/>
          <w:sz w:val="28"/>
          <w:szCs w:val="28"/>
        </w:rPr>
        <w:t>（5）参与人须提供近两年经过审计的财务报表。</w:t>
      </w:r>
    </w:p>
    <w:p>
      <w:pPr>
        <w:spacing w:after="0" w:line="500" w:lineRule="exact"/>
        <w:ind w:left="1130" w:leftChars="322" w:hanging="422" w:hangingChars="151"/>
        <w:jc w:val="left"/>
        <w:rPr>
          <w:rFonts w:ascii="仿宋" w:hAnsi="仿宋" w:eastAsia="仿宋"/>
          <w:color w:val="000000" w:themeColor="text1"/>
          <w:sz w:val="28"/>
          <w:szCs w:val="28"/>
        </w:rPr>
      </w:pPr>
      <w:r>
        <w:rPr>
          <w:rFonts w:hint="eastAsia" w:ascii="仿宋" w:hAnsi="仿宋" w:eastAsia="仿宋"/>
          <w:color w:val="000000" w:themeColor="text1"/>
          <w:sz w:val="28"/>
          <w:szCs w:val="28"/>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hint="eastAsia" w:ascii="仿宋" w:hAnsi="仿宋" w:eastAsia="仿宋"/>
          <w:color w:val="000000" w:themeColor="text1"/>
          <w:sz w:val="28"/>
          <w:szCs w:val="28"/>
          <w:shd w:val="clear" w:color="auto" w:fill="FFFFFF"/>
        </w:rPr>
        <w:t>8</w:t>
      </w:r>
      <w:r>
        <w:rPr>
          <w:rFonts w:ascii="仿宋" w:hAnsi="仿宋" w:eastAsia="仿宋"/>
          <w:color w:val="000000" w:themeColor="text1"/>
          <w:sz w:val="28"/>
          <w:szCs w:val="28"/>
          <w:shd w:val="clear" w:color="auto" w:fill="FFFFFF"/>
        </w:rPr>
        <w:t>月</w:t>
      </w:r>
      <w:r>
        <w:rPr>
          <w:rFonts w:hint="eastAsia" w:ascii="仿宋" w:hAnsi="仿宋" w:eastAsia="仿宋"/>
          <w:color w:val="000000" w:themeColor="text1"/>
          <w:sz w:val="28"/>
          <w:szCs w:val="28"/>
          <w:shd w:val="clear" w:color="auto" w:fill="FFFFFF"/>
        </w:rPr>
        <w:t>13</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numPr>
          <w:ilvl w:val="1"/>
          <w:numId w:val="1"/>
        </w:numPr>
        <w:spacing w:after="0" w:line="500" w:lineRule="exact"/>
        <w:rPr>
          <w:rFonts w:ascii="仿宋" w:hAnsi="仿宋" w:eastAsia="仿宋"/>
          <w:color w:val="000000" w:themeColor="text1"/>
          <w:sz w:val="28"/>
          <w:szCs w:val="28"/>
        </w:rPr>
      </w:pPr>
      <w:r>
        <w:rPr>
          <w:rFonts w:hint="eastAsia" w:ascii="仿宋" w:hAnsi="仿宋" w:eastAsia="仿宋"/>
          <w:sz w:val="28"/>
          <w:szCs w:val="28"/>
        </w:rPr>
        <w:t>报价响应文件递交地点：</w:t>
      </w:r>
      <w:r>
        <w:rPr>
          <w:rFonts w:hint="eastAsia" w:ascii="仿宋" w:hAnsi="仿宋" w:eastAsia="仿宋"/>
          <w:color w:val="000000" w:themeColor="text1"/>
          <w:sz w:val="28"/>
          <w:szCs w:val="28"/>
        </w:rPr>
        <w:t>烟台市蓬莱区仙境西路34号济南大学泉城学院 总务处</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 xml:space="preserve">  联系人：史老师   联系电话：15762791399。</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本项目监督投诉部门:中教集团内控部</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投诉电话:0791-88102608</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投诉邮箱:Neikongbu@educationgroup.cn</w:t>
      </w:r>
    </w:p>
    <w:p>
      <w:pPr>
        <w:widowControl w:val="0"/>
        <w:spacing w:after="0" w:line="500" w:lineRule="exact"/>
        <w:ind w:left="426" w:firstLine="453" w:firstLineChars="162"/>
        <w:jc w:val="left"/>
        <w:rPr>
          <w:rFonts w:ascii="仿宋" w:hAnsi="仿宋" w:eastAsia="仿宋"/>
          <w:color w:val="000000" w:themeColor="text1"/>
          <w:sz w:val="28"/>
          <w:szCs w:val="28"/>
        </w:rPr>
      </w:pPr>
      <w:r>
        <w:rPr>
          <w:rFonts w:hint="eastAsia" w:ascii="仿宋" w:hAnsi="仿宋" w:eastAsia="仿宋"/>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000000" w:themeColor="text1"/>
          <w:sz w:val="28"/>
          <w:szCs w:val="28"/>
        </w:rPr>
        <w:t>2份，报价响应文件</w:t>
      </w:r>
      <w:r>
        <w:rPr>
          <w:rFonts w:ascii="仿宋" w:hAnsi="仿宋" w:eastAsia="仿宋"/>
          <w:color w:val="000000" w:themeColor="text1"/>
          <w:sz w:val="28"/>
          <w:szCs w:val="28"/>
        </w:rPr>
        <w:t>必须用A4幅面纸张打印</w:t>
      </w:r>
      <w:r>
        <w:rPr>
          <w:rFonts w:hint="eastAsia" w:ascii="仿宋" w:hAnsi="仿宋" w:eastAsia="仿宋"/>
          <w:color w:val="000000" w:themeColor="text1"/>
          <w:sz w:val="28"/>
          <w:szCs w:val="28"/>
        </w:rPr>
        <w:t>，须由参与人填写并加盖公章（正本1份副本1份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sz w:val="28"/>
          <w:szCs w:val="28"/>
        </w:rPr>
        <w:t>三、安装</w:t>
      </w:r>
      <w:r>
        <w:rPr>
          <w:rFonts w:hint="eastAsia" w:ascii="仿宋" w:hAnsi="仿宋" w:eastAsia="仿宋"/>
          <w:color w:val="000000" w:themeColor="text1"/>
          <w:sz w:val="28"/>
          <w:szCs w:val="28"/>
        </w:rPr>
        <w:t>要求</w:t>
      </w:r>
    </w:p>
    <w:p>
      <w:pPr>
        <w:spacing w:after="0" w:line="500" w:lineRule="exact"/>
        <w:ind w:left="425" w:leftChars="193" w:firstLine="565" w:firstLineChars="202"/>
        <w:jc w:val="left"/>
        <w:rPr>
          <w:rFonts w:ascii="仿宋" w:hAnsi="仿宋" w:eastAsia="仿宋"/>
          <w:color w:val="000000"/>
          <w:sz w:val="28"/>
          <w:szCs w:val="28"/>
        </w:rPr>
      </w:pPr>
      <w:r>
        <w:rPr>
          <w:rFonts w:hint="eastAsia" w:ascii="仿宋" w:hAnsi="仿宋" w:eastAsia="仿宋"/>
          <w:color w:val="000000"/>
          <w:sz w:val="28"/>
          <w:szCs w:val="28"/>
        </w:rPr>
        <w:t>该项目为“</w:t>
      </w:r>
      <w:r>
        <w:rPr>
          <w:rFonts w:hint="eastAsia" w:ascii="仿宋" w:hAnsi="仿宋" w:eastAsia="仿宋"/>
          <w:b/>
          <w:color w:val="000000"/>
          <w:sz w:val="28"/>
          <w:szCs w:val="28"/>
        </w:rPr>
        <w:t>交钥匙工程</w:t>
      </w:r>
      <w:r>
        <w:rPr>
          <w:rFonts w:ascii="仿宋" w:hAnsi="仿宋" w:eastAsia="仿宋"/>
          <w:b/>
          <w:color w:val="000000"/>
          <w:sz w:val="28"/>
          <w:szCs w:val="28"/>
        </w:rPr>
        <w:t>”</w:t>
      </w:r>
      <w:r>
        <w:rPr>
          <w:rFonts w:hint="eastAsia" w:ascii="仿宋" w:hAnsi="仿宋" w:eastAsia="仿宋"/>
          <w:color w:val="000000"/>
          <w:sz w:val="28"/>
          <w:szCs w:val="28"/>
        </w:rPr>
        <w:t>项目，中标方需按照校方要求搬运、安装到指定地点。</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所投设备符合采购需求、质量和服务要求,经过磋商所报价格为合理价格的参与人为成交参与人，最低报价不作为成交的保证。</w:t>
      </w:r>
    </w:p>
    <w:bookmarkEnd w:id="236"/>
    <w:p>
      <w:pPr>
        <w:spacing w:after="0" w:line="500" w:lineRule="exact"/>
        <w:ind w:firstLine="425" w:firstLineChars="152"/>
        <w:jc w:val="left"/>
        <w:rPr>
          <w:rFonts w:ascii="仿宋" w:hAnsi="仿宋" w:eastAsia="仿宋"/>
          <w:color w:val="000000" w:themeColor="text1"/>
          <w:sz w:val="28"/>
          <w:szCs w:val="28"/>
        </w:rPr>
      </w:pPr>
      <w:r>
        <w:rPr>
          <w:rFonts w:ascii="仿宋" w:hAnsi="仿宋" w:eastAsia="仿宋"/>
          <w:color w:val="000000" w:themeColor="text1"/>
          <w:sz w:val="28"/>
          <w:szCs w:val="28"/>
        </w:rPr>
        <w:br w:type="page"/>
      </w:r>
    </w:p>
    <w:p>
      <w:pPr>
        <w:pStyle w:val="52"/>
        <w:spacing w:line="360" w:lineRule="auto"/>
        <w:jc w:val="center"/>
        <w:outlineLvl w:val="0"/>
        <w:rPr>
          <w:rFonts w:ascii="仿宋" w:hAnsi="仿宋" w:eastAsia="仿宋"/>
          <w:b/>
          <w:sz w:val="36"/>
          <w:szCs w:val="36"/>
        </w:rPr>
      </w:pPr>
      <w:r>
        <w:rPr>
          <w:rFonts w:hint="eastAsia" w:ascii="仿宋" w:hAnsi="仿宋" w:eastAsia="仿宋"/>
          <w:b/>
          <w:color w:val="auto"/>
          <w:sz w:val="44"/>
          <w:szCs w:val="44"/>
        </w:rPr>
        <w:t>二、</w:t>
      </w:r>
      <w:bookmarkEnd w:id="49"/>
      <w:r>
        <w:rPr>
          <w:rFonts w:hint="eastAsia" w:ascii="仿宋" w:hAnsi="仿宋" w:eastAsia="仿宋"/>
          <w:b/>
          <w:sz w:val="36"/>
          <w:szCs w:val="36"/>
        </w:rPr>
        <w:t>公开询价货物一览表</w:t>
      </w:r>
    </w:p>
    <w:tbl>
      <w:tblPr>
        <w:tblStyle w:val="2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5"/>
        <w:gridCol w:w="1158"/>
        <w:gridCol w:w="6370"/>
        <w:gridCol w:w="723"/>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11"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605"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产品名称</w:t>
            </w:r>
          </w:p>
        </w:tc>
        <w:tc>
          <w:tcPr>
            <w:tcW w:w="3328"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参数要求</w:t>
            </w:r>
          </w:p>
        </w:tc>
        <w:tc>
          <w:tcPr>
            <w:tcW w:w="378"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378"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311"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605" w:type="pct"/>
            <w:tcBorders>
              <w:tl2br w:val="nil"/>
              <w:tr2bl w:val="nil"/>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两连体床（双层床）</w:t>
            </w:r>
          </w:p>
        </w:tc>
        <w:tc>
          <w:tcPr>
            <w:tcW w:w="3328" w:type="pct"/>
            <w:tcBorders>
              <w:tl2br w:val="nil"/>
              <w:tr2bl w:val="nil"/>
            </w:tcBorders>
          </w:tcPr>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规格：H2200*W2000*D900mm;。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1、钢质结构要求用二氧保护焊，无假焊、漏焊、过焊现象，焊接牢固、美观、无裂缝、无焊渣、无毛刺；</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2、所有钢质结构表面要求作打砂（或酸洗、磷化）、静电喷涂处理，无流痕、无掉漆、无绣点，手感柔和、平滑，色泽美观；</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3、所有钢材和五金件须选用国标产品，标注产地和品牌及提供质检报告。</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4、床头采用：40mm*40mm矩形管材，壁厚净尺寸不低于1.5mm；防滑塑料脚套采用外套，高度80mm。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5、床边：50mm*25mm矩形管材，壁厚净尺寸不低于1.5mm；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6、床屉横撑6根（不含床框）：30mm*20mm矩形管材，壁厚净尺寸不低于1.2mm；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7、床梯25mm*25mm方形矩管，壁厚净尺寸不低于1.2mm，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8、床头和床铺采用插库连接方式，插件钢板厚度不低于2.0 mm，插件和床体连接处必须满焊；</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9、护栏:25mm*25mm方形矩管，壁厚净尺寸不低于1.2mm，长1200mm,高度250mm；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10、书架：规格H300*W820*D230mm，架体采用20mm*20mm矩形管材，壁厚净尺寸不低于1.2mm，底板采用0.6mm优质冷轧钢板。</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注：壁厚均指不包括涂层的净尺寸。</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11、钣金工艺:裁剪下料-磨具冲压-折弯折边-电阻焊接；</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12、喷涂工艺：予处理-60度-80度热脱脂-冷水-清洗-除锈-冷水清洗-中和-冷水清洗-表涸-60度-70度热磷化-冷水清洗-65度-80度热钝化-静电喷涂-180度固化；</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13、须配蚊帐杆，蚊帐杆采用直径16mm*1.0mm 圆管，可上下伸缩，带塑料紧固件，顶端焊接铁圈便于挂蚊帐。</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14、技术标准：符合GB/T3325-2008《金属家具通用技术条件》标准。</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15、具体尺寸详见公寓床床位尺寸图。</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16、颜色为灰白色。</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17、床板为杉木板，厚度15mm，正反双面打磨。</w:t>
            </w:r>
          </w:p>
          <w:p>
            <w:pPr>
              <w:jc w:val="left"/>
              <w:textAlignment w:val="top"/>
              <w:rPr>
                <w:rFonts w:ascii="宋体" w:hAnsi="宋体" w:eastAsia="宋体" w:cs="宋体"/>
                <w:color w:val="000000"/>
                <w:sz w:val="21"/>
                <w:szCs w:val="21"/>
              </w:rPr>
            </w:pPr>
          </w:p>
        </w:tc>
        <w:tc>
          <w:tcPr>
            <w:tcW w:w="378"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378"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11" w:type="pct"/>
            <w:tcBorders>
              <w:tl2br w:val="nil"/>
              <w:tr2bl w:val="nil"/>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605" w:type="pct"/>
            <w:tcBorders>
              <w:tl2br w:val="nil"/>
              <w:tr2bl w:val="nil"/>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更衣柜</w:t>
            </w:r>
          </w:p>
        </w:tc>
        <w:tc>
          <w:tcPr>
            <w:tcW w:w="3328" w:type="pct"/>
            <w:tcBorders>
              <w:tl2br w:val="nil"/>
              <w:tr2bl w:val="nil"/>
            </w:tcBorders>
          </w:tcPr>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技术标准：GB/T3325-2008</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规格：H2000*W960*D600mm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材料：优质冷轧钢板，0.6mm厚度；</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锁具采用镀铬明挂锁。</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表面处理：经脱脂除锈，酸洗磷化处理静电喷涂</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钣金工艺:裁剪下料-磨具冲压-折弯折边-电阻焊接；</w:t>
            </w:r>
          </w:p>
        </w:tc>
        <w:tc>
          <w:tcPr>
            <w:tcW w:w="378"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378"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5000" w:type="pct"/>
            <w:gridSpan w:val="5"/>
            <w:tcBorders>
              <w:tl2br w:val="nil"/>
              <w:tr2bl w:val="nil"/>
            </w:tcBorders>
            <w:vAlign w:val="center"/>
          </w:tcPr>
          <w:p>
            <w:pPr>
              <w:jc w:val="left"/>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备注：该项目为“交钥匙工程”项目。中标方需按照校方要求搬运、安装到指定地点。</w:t>
            </w:r>
          </w:p>
        </w:tc>
      </w:tr>
    </w:tbl>
    <w:p>
      <w:pPr>
        <w:pStyle w:val="52"/>
        <w:spacing w:line="360" w:lineRule="auto"/>
        <w:outlineLvl w:val="0"/>
        <w:rPr>
          <w:rFonts w:ascii="仿宋" w:hAnsi="仿宋" w:eastAsia="仿宋"/>
        </w:rPr>
      </w:pPr>
      <w:r>
        <w:rPr>
          <w:rFonts w:ascii="仿宋" w:hAnsi="仿宋" w:eastAsia="仿宋"/>
        </w:rPr>
        <w:drawing>
          <wp:inline distT="0" distB="0" distL="0" distR="0">
            <wp:extent cx="4552950" cy="3686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53586" cy="3686690"/>
                    </a:xfrm>
                    <a:prstGeom prst="rect">
                      <a:avLst/>
                    </a:prstGeom>
                  </pic:spPr>
                </pic:pic>
              </a:graphicData>
            </a:graphic>
          </wp:inline>
        </w:drawing>
      </w:r>
      <w:r>
        <w:rPr>
          <w:rFonts w:ascii="仿宋" w:hAnsi="仿宋" w:eastAsia="仿宋"/>
        </w:rPr>
        <w:drawing>
          <wp:anchor distT="0" distB="0" distL="114300" distR="114300" simplePos="0" relativeHeight="251659264" behindDoc="1" locked="0" layoutInCell="1" allowOverlap="1">
            <wp:simplePos x="0" y="0"/>
            <wp:positionH relativeFrom="column">
              <wp:posOffset>4394835</wp:posOffset>
            </wp:positionH>
            <wp:positionV relativeFrom="paragraph">
              <wp:posOffset>225425</wp:posOffset>
            </wp:positionV>
            <wp:extent cx="2080260" cy="3372485"/>
            <wp:effectExtent l="19050" t="0" r="0" b="0"/>
            <wp:wrapTight wrapText="bothSides">
              <wp:wrapPolygon>
                <wp:start x="-198" y="0"/>
                <wp:lineTo x="-198" y="21474"/>
                <wp:lineTo x="21560" y="21474"/>
                <wp:lineTo x="21560" y="0"/>
                <wp:lineTo x="-198" y="0"/>
              </wp:wrapPolygon>
            </wp:wrapTight>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8" cstate="print"/>
                    <a:stretch>
                      <a:fillRect/>
                    </a:stretch>
                  </pic:blipFill>
                  <pic:spPr>
                    <a:xfrm>
                      <a:off x="0" y="0"/>
                      <a:ext cx="2080260" cy="3372485"/>
                    </a:xfrm>
                    <a:prstGeom prst="rect">
                      <a:avLst/>
                    </a:prstGeom>
                    <a:noFill/>
                    <a:ln>
                      <a:noFill/>
                    </a:ln>
                  </pic:spPr>
                </pic:pic>
              </a:graphicData>
            </a:graphic>
          </wp:anchor>
        </w:drawing>
      </w:r>
    </w:p>
    <w:tbl>
      <w:tblPr>
        <w:tblStyle w:val="24"/>
        <w:tblpPr w:leftFromText="180" w:rightFromText="180" w:vertAnchor="text" w:horzAnchor="margin" w:tblpY="171"/>
        <w:tblW w:w="60" w:type="dxa"/>
        <w:tblInd w:w="0" w:type="dxa"/>
        <w:tblLayout w:type="autofit"/>
        <w:tblCellMar>
          <w:top w:w="0" w:type="dxa"/>
          <w:left w:w="0" w:type="dxa"/>
          <w:bottom w:w="0" w:type="dxa"/>
          <w:right w:w="0" w:type="dxa"/>
        </w:tblCellMar>
      </w:tblPr>
      <w:tblGrid>
        <w:gridCol w:w="60"/>
      </w:tblGrid>
      <w:tr>
        <w:tblPrEx>
          <w:tblCellMar>
            <w:top w:w="0" w:type="dxa"/>
            <w:left w:w="0" w:type="dxa"/>
            <w:bottom w:w="0" w:type="dxa"/>
            <w:right w:w="0" w:type="dxa"/>
          </w:tblCellMar>
        </w:tblPrEx>
        <w:trPr>
          <w:trHeight w:val="148" w:hRule="atLeast"/>
        </w:trPr>
        <w:tc>
          <w:tcPr>
            <w:tcW w:w="60" w:type="dxa"/>
            <w:tcBorders>
              <w:top w:val="nil"/>
              <w:left w:val="nil"/>
              <w:bottom w:val="nil"/>
              <w:right w:val="nil"/>
            </w:tcBorders>
            <w:shd w:val="clear" w:color="auto" w:fill="auto"/>
            <w:noWrap/>
            <w:tcMar>
              <w:top w:w="15" w:type="dxa"/>
              <w:left w:w="15" w:type="dxa"/>
              <w:bottom w:w="0" w:type="dxa"/>
              <w:right w:w="15" w:type="dxa"/>
            </w:tcMar>
            <w:vAlign w:val="center"/>
          </w:tcPr>
          <w:p>
            <w:pPr>
              <w:rPr>
                <w:rFonts w:ascii="方正小标宋简体" w:hAnsi="宋体" w:eastAsia="方正小标宋简体" w:cs="宋体"/>
                <w:color w:val="000000" w:themeColor="text1"/>
                <w:sz w:val="36"/>
                <w:szCs w:val="36"/>
              </w:rPr>
            </w:pPr>
          </w:p>
        </w:tc>
      </w:tr>
    </w:tbl>
    <w:p>
      <w:pPr>
        <w:spacing w:line="1000" w:lineRule="exact"/>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关于学生公寓连体床、4门衣柜采购</w:t>
      </w:r>
      <w:r>
        <w:rPr>
          <w:rFonts w:hint="eastAsia" w:ascii="仿宋" w:hAnsi="仿宋" w:eastAsia="仿宋"/>
          <w:b/>
          <w:color w:val="000000" w:themeColor="text1"/>
          <w:sz w:val="44"/>
          <w:szCs w:val="44"/>
        </w:rPr>
        <w:t>项目</w:t>
      </w:r>
    </w:p>
    <w:p>
      <w:pPr>
        <w:spacing w:line="1000" w:lineRule="exact"/>
        <w:jc w:val="center"/>
        <w:rPr>
          <w:rFonts w:ascii="仿宋" w:hAnsi="仿宋" w:eastAsia="仿宋"/>
          <w:b/>
          <w:sz w:val="44"/>
          <w:szCs w:val="44"/>
        </w:rPr>
      </w:pP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12" w:type="first"/>
          <w:headerReference r:id="rId11" w:type="default"/>
          <w:pgSz w:w="11906" w:h="16838"/>
          <w:pgMar w:top="709" w:right="1418" w:bottom="851"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8"/>
          <w:szCs w:val="28"/>
        </w:rPr>
      </w:pPr>
      <w:bookmarkStart w:id="50" w:name="_Toc213755858"/>
      <w:bookmarkStart w:id="51" w:name="_Toc267059181"/>
      <w:bookmarkStart w:id="52" w:name="_Toc227058530"/>
      <w:bookmarkStart w:id="53" w:name="_Toc266870907"/>
      <w:bookmarkStart w:id="54" w:name="_Toc235437991"/>
      <w:bookmarkStart w:id="55" w:name="_Toc236021449"/>
      <w:bookmarkStart w:id="56" w:name="_Toc235438344"/>
      <w:bookmarkStart w:id="57" w:name="_Toc232302115"/>
      <w:bookmarkStart w:id="58" w:name="_Toc235438274"/>
      <w:bookmarkStart w:id="59" w:name="_Toc259692647"/>
      <w:bookmarkStart w:id="60" w:name="_Toc251613829"/>
      <w:bookmarkStart w:id="61" w:name="_Toc255975007"/>
      <w:bookmarkStart w:id="62" w:name="_Toc251586231"/>
      <w:bookmarkStart w:id="63" w:name="_Toc254790899"/>
      <w:bookmarkStart w:id="64" w:name="_Toc230071147"/>
      <w:bookmarkStart w:id="65" w:name="_Toc266868937"/>
      <w:bookmarkStart w:id="66" w:name="_Toc249325711"/>
      <w:bookmarkStart w:id="67" w:name="_Toc259692740"/>
      <w:bookmarkStart w:id="68" w:name="_Toc253066614"/>
      <w:bookmarkStart w:id="69" w:name="_Toc258401256"/>
      <w:bookmarkStart w:id="70" w:name="_Toc266870833"/>
      <w:bookmarkStart w:id="71" w:name="_Toc225669322"/>
      <w:bookmarkStart w:id="72" w:name="_Toc267059539"/>
      <w:bookmarkStart w:id="73" w:name="_Toc217891402"/>
      <w:bookmarkStart w:id="74" w:name="_Toc266868670"/>
      <w:bookmarkStart w:id="75" w:name="_Toc213756051"/>
      <w:bookmarkStart w:id="76" w:name="_Toc267059030"/>
      <w:bookmarkStart w:id="77" w:name="_Toc180302913"/>
      <w:bookmarkStart w:id="78" w:name="_Toc223146608"/>
      <w:bookmarkStart w:id="79" w:name="_Toc213755995"/>
      <w:bookmarkStart w:id="80" w:name="_Toc219800243"/>
      <w:bookmarkStart w:id="81" w:name="_Toc267059806"/>
      <w:bookmarkStart w:id="82" w:name="_Toc191783222"/>
      <w:bookmarkStart w:id="83" w:name="_Toc267059919"/>
      <w:bookmarkStart w:id="84" w:name="_Toc191789329"/>
      <w:bookmarkStart w:id="85" w:name="_Toc169332949"/>
      <w:bookmarkStart w:id="86" w:name="_Toc267060321"/>
      <w:bookmarkStart w:id="87" w:name="_Toc160880529"/>
      <w:bookmarkStart w:id="88" w:name="_Toc273178698"/>
      <w:bookmarkStart w:id="89" w:name="_Toc192664153"/>
      <w:bookmarkStart w:id="90" w:name="_Toc177985469"/>
      <w:bookmarkStart w:id="91" w:name="_Toc182372782"/>
      <w:bookmarkStart w:id="92" w:name="_Toc192663686"/>
      <w:bookmarkStart w:id="93" w:name="_Toc192996338"/>
      <w:bookmarkStart w:id="94" w:name="_Toc213208766"/>
      <w:bookmarkStart w:id="95" w:name="_Toc193165734"/>
      <w:bookmarkStart w:id="96" w:name="_Toc266870432"/>
      <w:bookmarkStart w:id="97" w:name="_Toc191802690"/>
      <w:bookmarkStart w:id="98" w:name="_Toc160880160"/>
      <w:bookmarkStart w:id="99" w:name="_Toc267059653"/>
      <w:bookmarkStart w:id="100" w:name="_Toc170798793"/>
      <w:bookmarkStart w:id="101" w:name="_Toc169332838"/>
      <w:bookmarkStart w:id="102" w:name="_Toc182805217"/>
      <w:bookmarkStart w:id="103" w:name="_Toc181436565"/>
      <w:bookmarkStart w:id="104" w:name="_Toc181436461"/>
      <w:bookmarkStart w:id="105" w:name="_Toc203355733"/>
      <w:bookmarkStart w:id="106" w:name="_Toc192996446"/>
      <w:bookmarkStart w:id="107" w:name="_Toc193160448"/>
      <w:bookmarkStart w:id="108" w:name="_Toc267060453"/>
      <w:bookmarkStart w:id="109" w:name="_Toc191803626"/>
      <w:bookmarkStart w:id="110" w:name="_Toc192663835"/>
      <w:bookmarkStart w:id="111" w:name="_Toc267060068"/>
      <w:bookmarkStart w:id="112" w:name="_Toc213755939"/>
      <w:bookmarkStart w:id="113" w:name="_Toc267060208"/>
      <w:bookmarkStart w:id="114" w:name="_Toc211917116"/>
      <w:bookmarkStart w:id="115" w:name="_Toc259520865"/>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color w:val="000000" w:themeColor="text1"/>
          <w:sz w:val="28"/>
          <w:szCs w:val="28"/>
        </w:rPr>
      </w:pPr>
      <w:r>
        <w:rPr>
          <w:rFonts w:hint="eastAsia" w:ascii="仿宋" w:hAnsi="仿宋" w:eastAsia="仿宋"/>
          <w:sz w:val="28"/>
          <w:szCs w:val="28"/>
        </w:rPr>
        <w:t>致：</w:t>
      </w:r>
      <w:r>
        <w:rPr>
          <w:rFonts w:hint="eastAsia" w:ascii="仿宋" w:hAnsi="仿宋" w:eastAsia="仿宋"/>
          <w:color w:val="000000" w:themeColor="text1"/>
          <w:sz w:val="28"/>
          <w:szCs w:val="28"/>
        </w:rPr>
        <w:t>济南大学泉城学院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学生公寓连体床、4门衣柜采购</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000000" w:themeColor="text1"/>
          <w:sz w:val="28"/>
          <w:szCs w:val="28"/>
        </w:rPr>
        <w:t>1份和副本1份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jc w:val="center"/>
        <w:rPr>
          <w:rFonts w:ascii="仿宋" w:hAnsi="仿宋" w:eastAsia="仿宋" w:cs="Times New Roman"/>
          <w:kern w:val="2"/>
          <w:sz w:val="28"/>
          <w:szCs w:val="28"/>
        </w:rPr>
      </w:pPr>
      <w:r>
        <w:rPr>
          <w:rFonts w:ascii="仿宋" w:hAnsi="仿宋" w:eastAsia="仿宋"/>
          <w:szCs w:val="28"/>
        </w:rPr>
        <w:br w:type="page"/>
      </w: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         货币单位：元</w:t>
      </w:r>
    </w:p>
    <w:tbl>
      <w:tblPr>
        <w:tblStyle w:val="2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80"/>
        <w:gridCol w:w="1129"/>
        <w:gridCol w:w="4888"/>
        <w:gridCol w:w="693"/>
        <w:gridCol w:w="758"/>
        <w:gridCol w:w="762"/>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3"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590"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产品名称</w:t>
            </w:r>
          </w:p>
        </w:tc>
        <w:tc>
          <w:tcPr>
            <w:tcW w:w="2554"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参数要求</w:t>
            </w:r>
          </w:p>
        </w:tc>
        <w:tc>
          <w:tcPr>
            <w:tcW w:w="362"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396" w:type="pct"/>
            <w:tcBorders>
              <w:tl2br w:val="nil"/>
              <w:tr2bl w:val="nil"/>
            </w:tcBorders>
            <w:shd w:val="clear" w:color="auto" w:fill="auto"/>
            <w:noWrap/>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数量</w:t>
            </w:r>
          </w:p>
        </w:tc>
        <w:tc>
          <w:tcPr>
            <w:tcW w:w="398" w:type="pct"/>
            <w:tcBorders>
              <w:tl2br w:val="nil"/>
              <w:tr2bl w:val="nil"/>
            </w:tcBorders>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单价</w:t>
            </w:r>
          </w:p>
        </w:tc>
        <w:tc>
          <w:tcPr>
            <w:tcW w:w="397" w:type="pct"/>
            <w:tcBorders>
              <w:tl2br w:val="nil"/>
              <w:tr2bl w:val="nil"/>
            </w:tcBorders>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5" w:hRule="atLeast"/>
        </w:trPr>
        <w:tc>
          <w:tcPr>
            <w:tcW w:w="303"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90" w:type="pct"/>
            <w:tcBorders>
              <w:tl2br w:val="nil"/>
              <w:tr2bl w:val="nil"/>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两连体床（双层床）</w:t>
            </w:r>
          </w:p>
        </w:tc>
        <w:tc>
          <w:tcPr>
            <w:tcW w:w="2554" w:type="pct"/>
            <w:tcBorders>
              <w:tl2br w:val="nil"/>
              <w:tr2bl w:val="nil"/>
            </w:tcBorders>
          </w:tcPr>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规格：H2200*W2000*D900mm;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1、钢质结构要求用二氧保护焊，无假焊、漏焊、过焊现象，焊接牢固、美观、无裂缝、无焊渣、无毛刺；</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2、所有钢质结构表面要求作打砂（或酸洗、磷化）、静电喷涂处理，无流痕、无掉漆、无绣点，手感柔和、平滑，色泽美观；</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3、所有钢材和五金件须选用国标产品，标注产地和品牌及提供质检报告。</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4、床头采用：40mm*40mm矩形管材，壁厚净尺寸不低于1.5mm；防滑塑料脚套采用外套，高度80mm。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5、床边：50mm*25mm矩形管材，壁厚净尺寸不低于1.5mm；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6、床屉横撑6根（不含床框）：30mm*20mm矩形管材，壁厚净尺寸不低于1.2mm；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7、床梯25mm*25mm方形矩管，壁厚净尺寸不低于1.2mm，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8、床头和床铺采用插库连接方式，插件钢板厚度不低于2.0 mm，插件和床体连接处必须满焊；</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9、护栏:25mm*25mm方形矩管，壁厚净尺寸不低于1.2mm，长1200mm,高度250mm；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10、书架：规格H300*W820*D230mm，架体采用20mm*20mm矩形管材，壁厚净尺寸不低于1.2mm，底板采用0.6mm优质冷轧钢板。</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注：壁厚均指不包括涂层的净尺寸。</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11、钣金工艺:裁剪下料-磨具冲压-折弯折边-电阻焊接；</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12、喷涂工艺：予处理-60度-80度热脱脂-冷水-清洗-除锈-冷水清洗-中和-冷水清洗-表涸-60度-70度热磷化-冷水清洗-65度-80度热钝化-静电喷涂-180度固化；</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13、须配蚊帐杆，蚊帐杆采用直径16mm*1.0mm 圆管，可上下伸缩，带塑料紧固件，顶端焊接铁圈便于挂蚊帐。</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14、技术标准：符合GB/T3325-2008《金属家具通用技术条件》标准。</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15、具体尺寸详见公寓床床位尺寸图。</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16、颜色为灰白色。</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17、床板为杉木板，厚度15mm，正反双面打磨。</w:t>
            </w:r>
          </w:p>
        </w:tc>
        <w:tc>
          <w:tcPr>
            <w:tcW w:w="362"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396"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41</w:t>
            </w:r>
          </w:p>
        </w:tc>
        <w:tc>
          <w:tcPr>
            <w:tcW w:w="398" w:type="pct"/>
            <w:tcBorders>
              <w:tl2br w:val="nil"/>
              <w:tr2bl w:val="nil"/>
            </w:tcBorders>
            <w:vAlign w:val="center"/>
          </w:tcPr>
          <w:p>
            <w:pPr>
              <w:jc w:val="center"/>
              <w:textAlignment w:val="center"/>
              <w:rPr>
                <w:rFonts w:ascii="宋体" w:hAnsi="宋体" w:eastAsia="宋体" w:cs="宋体"/>
                <w:color w:val="000000"/>
                <w:sz w:val="18"/>
                <w:szCs w:val="18"/>
              </w:rPr>
            </w:pPr>
          </w:p>
        </w:tc>
        <w:tc>
          <w:tcPr>
            <w:tcW w:w="397" w:type="pct"/>
            <w:tcBorders>
              <w:tl2br w:val="nil"/>
              <w:tr2bl w:val="nil"/>
            </w:tcBorders>
            <w:vAlign w:val="center"/>
          </w:tcPr>
          <w:p>
            <w:pPr>
              <w:jc w:val="center"/>
              <w:textAlignment w:val="cente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3" w:type="pct"/>
            <w:tcBorders>
              <w:tl2br w:val="nil"/>
              <w:tr2bl w:val="nil"/>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90" w:type="pct"/>
            <w:tcBorders>
              <w:tl2br w:val="nil"/>
              <w:tr2bl w:val="nil"/>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更衣柜</w:t>
            </w:r>
          </w:p>
        </w:tc>
        <w:tc>
          <w:tcPr>
            <w:tcW w:w="2554" w:type="pct"/>
            <w:tcBorders>
              <w:tl2br w:val="nil"/>
              <w:tr2bl w:val="nil"/>
            </w:tcBorders>
          </w:tcPr>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技术标准：GB/T3325-2008</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规格：H2000*W960*D600mm</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材料：优质冷轧钢板，0.6mm厚度；</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锁具采用镀铬明挂锁。</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表面处理：经脱脂除锈，酸洗磷化处理静电喷涂</w:t>
            </w:r>
          </w:p>
          <w:p>
            <w:pPr>
              <w:jc w:val="left"/>
              <w:textAlignment w:val="top"/>
              <w:rPr>
                <w:rFonts w:ascii="宋体" w:hAnsi="宋体" w:eastAsia="宋体" w:cs="宋体"/>
                <w:color w:val="000000"/>
                <w:sz w:val="21"/>
                <w:szCs w:val="21"/>
              </w:rPr>
            </w:pPr>
            <w:r>
              <w:rPr>
                <w:rFonts w:hint="eastAsia" w:ascii="宋体" w:hAnsi="宋体" w:eastAsia="宋体" w:cs="宋体"/>
                <w:color w:val="000000"/>
                <w:sz w:val="21"/>
                <w:szCs w:val="21"/>
              </w:rPr>
              <w:t>钣金工艺:裁剪下料-磨具冲压-折弯折边-电阻焊接；</w:t>
            </w:r>
          </w:p>
        </w:tc>
        <w:tc>
          <w:tcPr>
            <w:tcW w:w="362"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396" w:type="pct"/>
            <w:tcBorders>
              <w:tl2br w:val="nil"/>
              <w:tr2bl w:val="nil"/>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50</w:t>
            </w:r>
          </w:p>
        </w:tc>
        <w:tc>
          <w:tcPr>
            <w:tcW w:w="398" w:type="pct"/>
            <w:tcBorders>
              <w:tl2br w:val="nil"/>
              <w:tr2bl w:val="nil"/>
            </w:tcBorders>
            <w:vAlign w:val="center"/>
          </w:tcPr>
          <w:p>
            <w:pPr>
              <w:jc w:val="center"/>
              <w:textAlignment w:val="center"/>
              <w:rPr>
                <w:rFonts w:ascii="宋体" w:hAnsi="宋体" w:eastAsia="宋体" w:cs="宋体"/>
                <w:color w:val="000000"/>
                <w:sz w:val="18"/>
                <w:szCs w:val="18"/>
              </w:rPr>
            </w:pPr>
          </w:p>
        </w:tc>
        <w:tc>
          <w:tcPr>
            <w:tcW w:w="397" w:type="pct"/>
            <w:tcBorders>
              <w:tl2br w:val="nil"/>
              <w:tr2bl w:val="nil"/>
            </w:tcBorders>
            <w:vAlign w:val="center"/>
          </w:tcPr>
          <w:p>
            <w:pPr>
              <w:jc w:val="center"/>
              <w:textAlignment w:val="cente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5000" w:type="pct"/>
            <w:gridSpan w:val="7"/>
            <w:tcBorders>
              <w:tl2br w:val="nil"/>
              <w:tr2bl w:val="nil"/>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备注：该项目为“交钥匙工程”项目。中标方需按照校方要求搬运、安装到指定地点。</w:t>
            </w:r>
          </w:p>
        </w:tc>
      </w:tr>
    </w:tbl>
    <w:p>
      <w:pPr>
        <w:pStyle w:val="52"/>
        <w:spacing w:line="360" w:lineRule="auto"/>
        <w:outlineLvl w:val="0"/>
        <w:rPr>
          <w:rFonts w:ascii="仿宋" w:hAnsi="仿宋" w:eastAsia="仿宋"/>
          <w:b/>
          <w:sz w:val="36"/>
          <w:szCs w:val="36"/>
        </w:rPr>
      </w:pPr>
      <w:r>
        <w:rPr>
          <w:rFonts w:hint="eastAsia" w:ascii="仿宋" w:hAnsi="仿宋" w:eastAsia="仿宋"/>
          <w:sz w:val="28"/>
          <w:szCs w:val="28"/>
        </w:rPr>
        <w:t>注：1.报价包括材料费、外购、外协、生产制造、包装、保险、运杂费、安装调试费、税金等供货中的所有费用。</w:t>
      </w:r>
    </w:p>
    <w:p>
      <w:pPr>
        <w:spacing w:line="380" w:lineRule="exact"/>
        <w:ind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pStyle w:val="52"/>
        <w:spacing w:line="360" w:lineRule="auto"/>
        <w:ind w:firstLine="560" w:firstLineChars="200"/>
        <w:outlineLvl w:val="0"/>
        <w:rPr>
          <w:rFonts w:ascii="仿宋" w:hAnsi="仿宋" w:eastAsia="仿宋"/>
          <w:sz w:val="28"/>
          <w:szCs w:val="28"/>
        </w:rPr>
      </w:pPr>
      <w:r>
        <w:rPr>
          <w:rFonts w:hint="eastAsia" w:ascii="仿宋" w:hAnsi="仿宋" w:eastAsia="仿宋"/>
          <w:sz w:val="28"/>
          <w:szCs w:val="28"/>
        </w:rPr>
        <w:t>3.签订采购合同，安装完毕，验收合格后，付至合同款的95%，剩余5%作为质保金，壹年后无质量问题无息支付。</w:t>
      </w:r>
    </w:p>
    <w:p>
      <w:pPr>
        <w:spacing w:line="360" w:lineRule="auto"/>
        <w:ind w:right="2080"/>
        <w:rPr>
          <w:rFonts w:ascii="仿宋" w:hAnsi="仿宋" w:eastAsia="仿宋"/>
          <w:sz w:val="28"/>
          <w:szCs w:val="28"/>
          <w:lang w:val="zh-CN"/>
        </w:rPr>
      </w:pPr>
    </w:p>
    <w:p>
      <w:pPr>
        <w:spacing w:line="360" w:lineRule="auto"/>
        <w:ind w:right="138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480" w:firstLineChars="16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53066624"/>
      <w:bookmarkStart w:id="117" w:name="_Toc236021457"/>
      <w:bookmarkStart w:id="118" w:name="_Toc213756001"/>
      <w:bookmarkStart w:id="119" w:name="_Toc192664158"/>
      <w:bookmarkStart w:id="120" w:name="_Toc213208771"/>
      <w:bookmarkStart w:id="121" w:name="_Toc273178703"/>
      <w:bookmarkStart w:id="122" w:name="_Toc267060461"/>
      <w:bookmarkStart w:id="123" w:name="_Toc267059035"/>
      <w:bookmarkStart w:id="124" w:name="_Toc181436466"/>
      <w:bookmarkStart w:id="125" w:name="_Toc177985474"/>
      <w:bookmarkStart w:id="126" w:name="_Toc160880534"/>
      <w:bookmarkStart w:id="127" w:name="_Toc267060326"/>
      <w:bookmarkStart w:id="128" w:name="_Toc267060076"/>
      <w:bookmarkStart w:id="129" w:name="_Toc267059924"/>
      <w:bookmarkStart w:id="130" w:name="_Toc267059811"/>
      <w:bookmarkStart w:id="131" w:name="_Toc170798798"/>
      <w:bookmarkStart w:id="132" w:name="_Toc267060216"/>
      <w:bookmarkStart w:id="133" w:name="_Toc223146614"/>
      <w:bookmarkStart w:id="134" w:name="_Toc211917121"/>
      <w:bookmarkStart w:id="135" w:name="_Toc193165739"/>
      <w:bookmarkStart w:id="136" w:name="_Toc251586241"/>
      <w:bookmarkStart w:id="137" w:name="_Toc249325720"/>
      <w:bookmarkStart w:id="138" w:name="_Toc191802695"/>
      <w:bookmarkStart w:id="139" w:name="_Toc191789334"/>
      <w:bookmarkStart w:id="140" w:name="_Toc213756057"/>
      <w:bookmarkStart w:id="141" w:name="_Toc213755945"/>
      <w:bookmarkStart w:id="142" w:name="_Toc192663840"/>
      <w:bookmarkStart w:id="143" w:name="_Toc219800249"/>
      <w:bookmarkStart w:id="144" w:name="_Toc217891408"/>
      <w:bookmarkStart w:id="145" w:name="_Toc230071153"/>
      <w:bookmarkStart w:id="146" w:name="_Toc191803631"/>
      <w:bookmarkStart w:id="147" w:name="_Toc193160453"/>
      <w:bookmarkStart w:id="148" w:name="_Toc192663691"/>
      <w:bookmarkStart w:id="149" w:name="_Toc192996451"/>
      <w:bookmarkStart w:id="150" w:name="_Toc227058536"/>
      <w:bookmarkStart w:id="151" w:name="_Toc225669328"/>
      <w:bookmarkStart w:id="152" w:name="_Toc266870441"/>
      <w:bookmarkStart w:id="153" w:name="_Toc258401265"/>
      <w:bookmarkStart w:id="154" w:name="_Toc259692656"/>
      <w:bookmarkStart w:id="155" w:name="_Toc255975016"/>
      <w:bookmarkStart w:id="156" w:name="_Toc259520874"/>
      <w:bookmarkStart w:id="157" w:name="_Toc259692749"/>
      <w:bookmarkStart w:id="158" w:name="_Toc266868679"/>
      <w:bookmarkStart w:id="159" w:name="_Toc266868943"/>
      <w:bookmarkStart w:id="160" w:name="_Toc235438352"/>
      <w:bookmarkStart w:id="161" w:name="_Toc235438281"/>
      <w:bookmarkStart w:id="162" w:name="_Toc266870839"/>
      <w:bookmarkStart w:id="163" w:name="_Toc266870916"/>
      <w:bookmarkStart w:id="164" w:name="_Toc232302122"/>
      <w:bookmarkStart w:id="165" w:name="_Toc235437998"/>
      <w:bookmarkStart w:id="166" w:name="_Toc203355738"/>
      <w:bookmarkStart w:id="167" w:name="_Toc160880165"/>
      <w:bookmarkStart w:id="168" w:name="_Toc169332843"/>
      <w:bookmarkStart w:id="169" w:name="_Toc267059544"/>
      <w:bookmarkStart w:id="170" w:name="_Toc192996343"/>
      <w:bookmarkStart w:id="171" w:name="_Toc182372787"/>
      <w:bookmarkStart w:id="172" w:name="_Toc182805222"/>
      <w:bookmarkStart w:id="173" w:name="_Toc267059186"/>
      <w:bookmarkStart w:id="174" w:name="_Toc180302918"/>
      <w:bookmarkStart w:id="175" w:name="_Toc191783227"/>
      <w:bookmarkStart w:id="176" w:name="_Toc267059658"/>
      <w:bookmarkStart w:id="177" w:name="_Toc213755864"/>
      <w:bookmarkStart w:id="178" w:name="_Toc254790909"/>
      <w:bookmarkStart w:id="179" w:name="_Toc169332954"/>
      <w:bookmarkStart w:id="180" w:name="_Toc251613839"/>
      <w:bookmarkStart w:id="181" w:name="_Toc181436570"/>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4790910"/>
      <w:bookmarkStart w:id="183" w:name="_Toc266870917"/>
      <w:bookmarkStart w:id="184" w:name="_Toc251586242"/>
      <w:bookmarkStart w:id="185" w:name="_Toc253066625"/>
      <w:bookmarkStart w:id="186" w:name="_Toc230071154"/>
      <w:bookmarkStart w:id="187" w:name="_Toc219800250"/>
      <w:bookmarkStart w:id="188" w:name="_Toc266870442"/>
      <w:bookmarkStart w:id="189" w:name="_Toc259692750"/>
      <w:bookmarkStart w:id="190" w:name="_Toc227058537"/>
      <w:bookmarkStart w:id="191" w:name="_Toc255975017"/>
      <w:bookmarkStart w:id="192" w:name="_Toc251613840"/>
      <w:bookmarkStart w:id="193" w:name="_Toc235438282"/>
      <w:bookmarkStart w:id="194" w:name="_Toc267060217"/>
      <w:bookmarkStart w:id="195" w:name="_Toc232302123"/>
      <w:bookmarkStart w:id="196" w:name="_Toc223146615"/>
      <w:bookmarkStart w:id="197" w:name="_Toc217891409"/>
      <w:bookmarkStart w:id="198" w:name="_Toc235438353"/>
      <w:bookmarkStart w:id="199" w:name="_Toc259520875"/>
      <w:bookmarkStart w:id="200" w:name="_Toc267060077"/>
      <w:bookmarkStart w:id="201" w:name="_Toc235437999"/>
      <w:bookmarkStart w:id="202" w:name="_Toc213756058"/>
      <w:bookmarkStart w:id="203" w:name="_Toc258401266"/>
      <w:bookmarkStart w:id="204" w:name="_Toc259692657"/>
      <w:bookmarkStart w:id="205" w:name="_Toc267060462"/>
      <w:bookmarkStart w:id="206" w:name="_Toc266868680"/>
      <w:bookmarkStart w:id="207" w:name="_Toc236021458"/>
      <w:bookmarkStart w:id="208" w:name="_Toc249325721"/>
      <w:bookmarkStart w:id="209" w:name="_Toc225669329"/>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000000" w:themeColor="text1"/>
          <w:sz w:val="28"/>
          <w:szCs w:val="28"/>
        </w:rPr>
        <w:t>济南大学泉城学院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000000" w:themeColor="text1"/>
          <w:sz w:val="28"/>
          <w:szCs w:val="28"/>
        </w:rPr>
        <w:t>正本1份，副本1份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59692751"/>
      <w:bookmarkStart w:id="212" w:name="_Toc235438354"/>
      <w:bookmarkStart w:id="213" w:name="_Toc249325722"/>
      <w:bookmarkStart w:id="214" w:name="_Toc266870918"/>
      <w:bookmarkStart w:id="215" w:name="_Toc251613841"/>
      <w:bookmarkStart w:id="216" w:name="_Toc253066626"/>
      <w:bookmarkStart w:id="217" w:name="_Toc213756059"/>
      <w:bookmarkStart w:id="218" w:name="_Toc235438283"/>
      <w:bookmarkStart w:id="219" w:name="_Toc251586243"/>
      <w:bookmarkStart w:id="220" w:name="_Toc266870443"/>
      <w:bookmarkStart w:id="221" w:name="_Toc223146616"/>
      <w:bookmarkStart w:id="222" w:name="_Toc254790911"/>
      <w:bookmarkStart w:id="223" w:name="_Toc259520876"/>
      <w:bookmarkStart w:id="224" w:name="_Toc266868681"/>
      <w:bookmarkStart w:id="225" w:name="_Toc235438000"/>
      <w:bookmarkStart w:id="226" w:name="_Toc232302124"/>
      <w:bookmarkStart w:id="227" w:name="_Toc255975018"/>
      <w:bookmarkStart w:id="228" w:name="_Toc236021459"/>
      <w:bookmarkStart w:id="229" w:name="_Toc219800251"/>
      <w:bookmarkStart w:id="230" w:name="_Toc217891410"/>
      <w:bookmarkStart w:id="231" w:name="_Toc258401267"/>
      <w:bookmarkStart w:id="232" w:name="_Toc225669330"/>
      <w:bookmarkStart w:id="233" w:name="_Toc227058538"/>
      <w:bookmarkStart w:id="234" w:name="_Toc230071155"/>
      <w:bookmarkStart w:id="235" w:name="_Toc259692658"/>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000000" w:themeColor="text1"/>
          <w:sz w:val="28"/>
          <w:szCs w:val="28"/>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outlineLvl w:val="2"/>
        <w:rPr>
          <w:rFonts w:ascii="仿宋" w:hAnsi="仿宋" w:eastAsia="仿宋"/>
          <w:b/>
          <w:sz w:val="28"/>
          <w:szCs w:val="28"/>
        </w:rPr>
      </w:pPr>
    </w:p>
    <w:sectPr>
      <w:headerReference r:id="rId14" w:type="first"/>
      <w:headerReference r:id="rId13" w:type="default"/>
      <w:footerReference r:id="rId15" w:type="default"/>
      <w:pgSz w:w="11906" w:h="16838"/>
      <w:pgMar w:top="1276" w:right="1418" w:bottom="284" w:left="1134" w:header="851" w:footer="992" w:gutter="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0424"/>
    </w:sdtPr>
    <w:sdtContent>
      <w:sdt>
        <w:sdtPr>
          <w:id w:val="9410425"/>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8737"/>
    </w:sdtPr>
    <w:sdtContent>
      <w:sdt>
        <w:sdtPr>
          <w:id w:val="4588738"/>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3BA5"/>
    <w:rsid w:val="0000490C"/>
    <w:rsid w:val="00013043"/>
    <w:rsid w:val="000207DB"/>
    <w:rsid w:val="0004648B"/>
    <w:rsid w:val="0004687F"/>
    <w:rsid w:val="000569E1"/>
    <w:rsid w:val="00061953"/>
    <w:rsid w:val="00074B20"/>
    <w:rsid w:val="0008074F"/>
    <w:rsid w:val="000818B3"/>
    <w:rsid w:val="00082572"/>
    <w:rsid w:val="00091059"/>
    <w:rsid w:val="000934D4"/>
    <w:rsid w:val="000A6A08"/>
    <w:rsid w:val="000B002A"/>
    <w:rsid w:val="000D2204"/>
    <w:rsid w:val="000D3045"/>
    <w:rsid w:val="000D345A"/>
    <w:rsid w:val="000E25F0"/>
    <w:rsid w:val="000E7B5F"/>
    <w:rsid w:val="000F4F45"/>
    <w:rsid w:val="00103AE5"/>
    <w:rsid w:val="001269D6"/>
    <w:rsid w:val="001275DC"/>
    <w:rsid w:val="0013118F"/>
    <w:rsid w:val="001561E9"/>
    <w:rsid w:val="00164B05"/>
    <w:rsid w:val="00176CD4"/>
    <w:rsid w:val="00180783"/>
    <w:rsid w:val="00182C6E"/>
    <w:rsid w:val="001914AE"/>
    <w:rsid w:val="001953F9"/>
    <w:rsid w:val="00195FA5"/>
    <w:rsid w:val="001A155D"/>
    <w:rsid w:val="001A5B43"/>
    <w:rsid w:val="001A7977"/>
    <w:rsid w:val="001B0696"/>
    <w:rsid w:val="001B207D"/>
    <w:rsid w:val="001B3481"/>
    <w:rsid w:val="001B719E"/>
    <w:rsid w:val="001C1075"/>
    <w:rsid w:val="001C37B3"/>
    <w:rsid w:val="001C6943"/>
    <w:rsid w:val="001D033B"/>
    <w:rsid w:val="001D41E2"/>
    <w:rsid w:val="001D7CC0"/>
    <w:rsid w:val="001F0159"/>
    <w:rsid w:val="002053A0"/>
    <w:rsid w:val="00215525"/>
    <w:rsid w:val="00235C32"/>
    <w:rsid w:val="00244E90"/>
    <w:rsid w:val="002772BB"/>
    <w:rsid w:val="002945BF"/>
    <w:rsid w:val="002A31A0"/>
    <w:rsid w:val="002C2C3D"/>
    <w:rsid w:val="002C4297"/>
    <w:rsid w:val="002D6545"/>
    <w:rsid w:val="002E7C31"/>
    <w:rsid w:val="002F37E3"/>
    <w:rsid w:val="00302565"/>
    <w:rsid w:val="003117E2"/>
    <w:rsid w:val="00316AB1"/>
    <w:rsid w:val="00321C80"/>
    <w:rsid w:val="00322AD9"/>
    <w:rsid w:val="00332F8E"/>
    <w:rsid w:val="00334E6F"/>
    <w:rsid w:val="003508C5"/>
    <w:rsid w:val="003570A0"/>
    <w:rsid w:val="0038289C"/>
    <w:rsid w:val="003A1E67"/>
    <w:rsid w:val="003C001A"/>
    <w:rsid w:val="003C60EF"/>
    <w:rsid w:val="003E6439"/>
    <w:rsid w:val="003F20A6"/>
    <w:rsid w:val="00404FA2"/>
    <w:rsid w:val="00412A9A"/>
    <w:rsid w:val="004242F4"/>
    <w:rsid w:val="0043243C"/>
    <w:rsid w:val="00441955"/>
    <w:rsid w:val="00442D76"/>
    <w:rsid w:val="00452DD9"/>
    <w:rsid w:val="004A4900"/>
    <w:rsid w:val="004A5567"/>
    <w:rsid w:val="004B66B1"/>
    <w:rsid w:val="004D15F1"/>
    <w:rsid w:val="004D5230"/>
    <w:rsid w:val="004E6948"/>
    <w:rsid w:val="004F0E68"/>
    <w:rsid w:val="004F7A57"/>
    <w:rsid w:val="00502F52"/>
    <w:rsid w:val="00545923"/>
    <w:rsid w:val="00546718"/>
    <w:rsid w:val="00577496"/>
    <w:rsid w:val="00582530"/>
    <w:rsid w:val="00583187"/>
    <w:rsid w:val="005840EC"/>
    <w:rsid w:val="00586A04"/>
    <w:rsid w:val="00590957"/>
    <w:rsid w:val="005A5A4D"/>
    <w:rsid w:val="005A5FFC"/>
    <w:rsid w:val="005B19AF"/>
    <w:rsid w:val="005E3A21"/>
    <w:rsid w:val="005F1FC8"/>
    <w:rsid w:val="005F38CE"/>
    <w:rsid w:val="0061439E"/>
    <w:rsid w:val="00630374"/>
    <w:rsid w:val="0063486F"/>
    <w:rsid w:val="00643DC3"/>
    <w:rsid w:val="00655DD8"/>
    <w:rsid w:val="00682DA3"/>
    <w:rsid w:val="006C2098"/>
    <w:rsid w:val="006F3C71"/>
    <w:rsid w:val="006F589F"/>
    <w:rsid w:val="006F5FBA"/>
    <w:rsid w:val="006F6C6C"/>
    <w:rsid w:val="007006CE"/>
    <w:rsid w:val="00713F50"/>
    <w:rsid w:val="00720D5C"/>
    <w:rsid w:val="00731CC1"/>
    <w:rsid w:val="00733577"/>
    <w:rsid w:val="00733A77"/>
    <w:rsid w:val="007650F5"/>
    <w:rsid w:val="007670FD"/>
    <w:rsid w:val="00770CF8"/>
    <w:rsid w:val="00786040"/>
    <w:rsid w:val="00792424"/>
    <w:rsid w:val="007B0F09"/>
    <w:rsid w:val="007B2319"/>
    <w:rsid w:val="007B4171"/>
    <w:rsid w:val="007B5B6F"/>
    <w:rsid w:val="007D57C1"/>
    <w:rsid w:val="007F2265"/>
    <w:rsid w:val="00801E36"/>
    <w:rsid w:val="00814D21"/>
    <w:rsid w:val="00820F76"/>
    <w:rsid w:val="00823C96"/>
    <w:rsid w:val="008274F1"/>
    <w:rsid w:val="0084128A"/>
    <w:rsid w:val="008426CC"/>
    <w:rsid w:val="00851BCC"/>
    <w:rsid w:val="00865B30"/>
    <w:rsid w:val="00874219"/>
    <w:rsid w:val="008902DC"/>
    <w:rsid w:val="008B3E15"/>
    <w:rsid w:val="008D25F3"/>
    <w:rsid w:val="008D791D"/>
    <w:rsid w:val="008D7F60"/>
    <w:rsid w:val="008E006D"/>
    <w:rsid w:val="008E3439"/>
    <w:rsid w:val="008F338F"/>
    <w:rsid w:val="008F5DEF"/>
    <w:rsid w:val="00916532"/>
    <w:rsid w:val="009201F5"/>
    <w:rsid w:val="00923C7E"/>
    <w:rsid w:val="00931B2F"/>
    <w:rsid w:val="00936704"/>
    <w:rsid w:val="009606BC"/>
    <w:rsid w:val="00967E57"/>
    <w:rsid w:val="00986786"/>
    <w:rsid w:val="0099019B"/>
    <w:rsid w:val="00994E59"/>
    <w:rsid w:val="009C7F56"/>
    <w:rsid w:val="009D0B56"/>
    <w:rsid w:val="009E6ECD"/>
    <w:rsid w:val="009E6FFD"/>
    <w:rsid w:val="00A01831"/>
    <w:rsid w:val="00A146A1"/>
    <w:rsid w:val="00A148CE"/>
    <w:rsid w:val="00A17256"/>
    <w:rsid w:val="00A22A98"/>
    <w:rsid w:val="00A24465"/>
    <w:rsid w:val="00A266F3"/>
    <w:rsid w:val="00A40610"/>
    <w:rsid w:val="00A4220E"/>
    <w:rsid w:val="00A44A63"/>
    <w:rsid w:val="00A51E3E"/>
    <w:rsid w:val="00A64A5B"/>
    <w:rsid w:val="00A67786"/>
    <w:rsid w:val="00A755A3"/>
    <w:rsid w:val="00A90ABE"/>
    <w:rsid w:val="00AB7979"/>
    <w:rsid w:val="00AC4F28"/>
    <w:rsid w:val="00AD29A3"/>
    <w:rsid w:val="00AF0253"/>
    <w:rsid w:val="00AF3C2A"/>
    <w:rsid w:val="00B14C37"/>
    <w:rsid w:val="00B54440"/>
    <w:rsid w:val="00B554E7"/>
    <w:rsid w:val="00B5633A"/>
    <w:rsid w:val="00B57454"/>
    <w:rsid w:val="00B64302"/>
    <w:rsid w:val="00B920B1"/>
    <w:rsid w:val="00B976F8"/>
    <w:rsid w:val="00BA1667"/>
    <w:rsid w:val="00BA69FA"/>
    <w:rsid w:val="00BD49FB"/>
    <w:rsid w:val="00BD7232"/>
    <w:rsid w:val="00BE1921"/>
    <w:rsid w:val="00BE4701"/>
    <w:rsid w:val="00C035B5"/>
    <w:rsid w:val="00C0786D"/>
    <w:rsid w:val="00C07DD7"/>
    <w:rsid w:val="00C21D5F"/>
    <w:rsid w:val="00C26EE5"/>
    <w:rsid w:val="00C30302"/>
    <w:rsid w:val="00C30366"/>
    <w:rsid w:val="00C45432"/>
    <w:rsid w:val="00C514D2"/>
    <w:rsid w:val="00C61AA0"/>
    <w:rsid w:val="00C66E1E"/>
    <w:rsid w:val="00C676BA"/>
    <w:rsid w:val="00C72ACD"/>
    <w:rsid w:val="00C74705"/>
    <w:rsid w:val="00C81AB4"/>
    <w:rsid w:val="00C857BF"/>
    <w:rsid w:val="00CA07DE"/>
    <w:rsid w:val="00CA41E8"/>
    <w:rsid w:val="00CC2243"/>
    <w:rsid w:val="00CC30A0"/>
    <w:rsid w:val="00CC7FD7"/>
    <w:rsid w:val="00CD1FB9"/>
    <w:rsid w:val="00CE2ECD"/>
    <w:rsid w:val="00CF49FB"/>
    <w:rsid w:val="00CF4BD4"/>
    <w:rsid w:val="00CF5064"/>
    <w:rsid w:val="00D10365"/>
    <w:rsid w:val="00D12FB6"/>
    <w:rsid w:val="00D14D36"/>
    <w:rsid w:val="00D2102C"/>
    <w:rsid w:val="00D21353"/>
    <w:rsid w:val="00D33699"/>
    <w:rsid w:val="00D36B85"/>
    <w:rsid w:val="00D36D52"/>
    <w:rsid w:val="00D56DEA"/>
    <w:rsid w:val="00D902E1"/>
    <w:rsid w:val="00DA714E"/>
    <w:rsid w:val="00DB49BE"/>
    <w:rsid w:val="00DC1C99"/>
    <w:rsid w:val="00DC446C"/>
    <w:rsid w:val="00DC7FE2"/>
    <w:rsid w:val="00DF280A"/>
    <w:rsid w:val="00DF5518"/>
    <w:rsid w:val="00E11567"/>
    <w:rsid w:val="00E1249E"/>
    <w:rsid w:val="00E148C7"/>
    <w:rsid w:val="00E26DC0"/>
    <w:rsid w:val="00E3310A"/>
    <w:rsid w:val="00E33A4A"/>
    <w:rsid w:val="00E33B9E"/>
    <w:rsid w:val="00E33C1C"/>
    <w:rsid w:val="00E37EE3"/>
    <w:rsid w:val="00E565EB"/>
    <w:rsid w:val="00E64AD5"/>
    <w:rsid w:val="00E94678"/>
    <w:rsid w:val="00E95973"/>
    <w:rsid w:val="00EB7EE3"/>
    <w:rsid w:val="00EC6D4A"/>
    <w:rsid w:val="00ED11BF"/>
    <w:rsid w:val="00ED2437"/>
    <w:rsid w:val="00ED4415"/>
    <w:rsid w:val="00EE3803"/>
    <w:rsid w:val="00EF28E9"/>
    <w:rsid w:val="00F0149B"/>
    <w:rsid w:val="00F65297"/>
    <w:rsid w:val="00F71AF0"/>
    <w:rsid w:val="00F83E76"/>
    <w:rsid w:val="00F843FA"/>
    <w:rsid w:val="00F8646A"/>
    <w:rsid w:val="00F86C8D"/>
    <w:rsid w:val="00F876DE"/>
    <w:rsid w:val="00FC2158"/>
    <w:rsid w:val="00FE3787"/>
    <w:rsid w:val="00FF1750"/>
    <w:rsid w:val="00FF6D68"/>
    <w:rsid w:val="015626DB"/>
    <w:rsid w:val="116C2693"/>
    <w:rsid w:val="174561D8"/>
    <w:rsid w:val="187A572E"/>
    <w:rsid w:val="218B0DE1"/>
    <w:rsid w:val="29AC2DC9"/>
    <w:rsid w:val="2F074E46"/>
    <w:rsid w:val="4C812EBD"/>
    <w:rsid w:val="5978789A"/>
    <w:rsid w:val="6C902D04"/>
    <w:rsid w:val="70396339"/>
    <w:rsid w:val="71A20C67"/>
    <w:rsid w:val="77010359"/>
    <w:rsid w:val="7AF8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6"/>
    <w:link w:val="16"/>
    <w:semiHidden/>
    <w:qFormat/>
    <w:uiPriority w:val="99"/>
    <w:rPr>
      <w:sz w:val="18"/>
      <w:szCs w:val="18"/>
    </w:rPr>
  </w:style>
  <w:style w:type="character" w:customStyle="1" w:styleId="6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3FF50-35D0-477C-B085-CF6FBB5E4527}">
  <ds:schemaRefs/>
</ds:datastoreItem>
</file>

<file path=docProps/app.xml><?xml version="1.0" encoding="utf-8"?>
<Properties xmlns="http://schemas.openxmlformats.org/officeDocument/2006/extended-properties" xmlns:vt="http://schemas.openxmlformats.org/officeDocument/2006/docPropsVTypes">
  <Template>Normal</Template>
  <Pages>11</Pages>
  <Words>733</Words>
  <Characters>4184</Characters>
  <Lines>34</Lines>
  <Paragraphs>9</Paragraphs>
  <TotalTime>2</TotalTime>
  <ScaleCrop>false</ScaleCrop>
  <LinksUpToDate>false</LinksUpToDate>
  <CharactersWithSpaces>4908</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2021-08-10T04:06:00Z</dcterms:created>
  <dc:creator>树亮 门</dc:creator>
  <cp:lastModifiedBy>il菓菓</cp:lastModifiedBy>
  <dcterms:modified xsi:type="dcterms:W3CDTF">2021-08-11T01:41:16Z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C8AB81A0168A4894A86A5865D406473B</vt:lpwstr>
  </property>
</Properties>
</file>