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236" w:name="_GoBack"/>
      <w:bookmarkEnd w:id="236"/>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000000" w:themeColor="text1"/>
          <w:sz w:val="44"/>
          <w:szCs w:val="44"/>
        </w:rPr>
        <w:t>校园摆渡车服务项目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竞</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sz w:val="36"/>
          <w:szCs w:val="36"/>
        </w:rPr>
      </w:pPr>
    </w:p>
    <w:p>
      <w:pPr>
        <w:spacing w:line="500" w:lineRule="exact"/>
        <w:jc w:val="left"/>
        <w:rPr>
          <w:rFonts w:ascii="仿宋" w:hAnsi="仿宋" w:eastAsia="仿宋"/>
          <w:b/>
          <w:color w:val="000000" w:themeColor="text1"/>
          <w:sz w:val="36"/>
          <w:szCs w:val="36"/>
        </w:rPr>
      </w:pPr>
      <w:r>
        <w:rPr>
          <w:rFonts w:hint="eastAsia" w:ascii="仿宋" w:hAnsi="仿宋" w:eastAsia="仿宋"/>
          <w:b/>
          <w:sz w:val="36"/>
          <w:szCs w:val="36"/>
        </w:rPr>
        <w:t>项目编号：</w:t>
      </w:r>
      <w:r>
        <w:rPr>
          <w:rFonts w:hint="eastAsia" w:ascii="仿宋" w:hAnsi="仿宋" w:eastAsia="仿宋"/>
          <w:b/>
          <w:color w:val="000000" w:themeColor="text1"/>
          <w:sz w:val="36"/>
          <w:szCs w:val="36"/>
        </w:rPr>
        <w:t>JDQY20210812</w:t>
      </w:r>
    </w:p>
    <w:p>
      <w:pPr>
        <w:spacing w:line="500" w:lineRule="exact"/>
        <w:rPr>
          <w:rFonts w:ascii="仿宋" w:hAnsi="仿宋" w:eastAsia="仿宋"/>
          <w:b/>
          <w:color w:val="000000" w:themeColor="text1"/>
          <w:sz w:val="36"/>
          <w:szCs w:val="36"/>
        </w:rPr>
      </w:pPr>
      <w:bookmarkStart w:id="1" w:name="_Toc169332792"/>
      <w:bookmarkStart w:id="2" w:name="_Toc160880485"/>
      <w:bookmarkStart w:id="3" w:name="_Toc160880118"/>
      <w:r>
        <w:rPr>
          <w:rFonts w:hint="eastAsia" w:ascii="仿宋" w:hAnsi="仿宋" w:eastAsia="仿宋"/>
          <w:b/>
          <w:color w:val="000000" w:themeColor="text1"/>
          <w:sz w:val="36"/>
          <w:szCs w:val="36"/>
        </w:rPr>
        <w:t>项目名称</w:t>
      </w:r>
      <w:bookmarkEnd w:id="1"/>
      <w:bookmarkEnd w:id="2"/>
      <w:bookmarkEnd w:id="3"/>
      <w:r>
        <w:rPr>
          <w:rFonts w:hint="eastAsia" w:ascii="仿宋" w:hAnsi="仿宋" w:eastAsia="仿宋"/>
          <w:b/>
          <w:color w:val="000000" w:themeColor="text1"/>
          <w:sz w:val="36"/>
          <w:szCs w:val="36"/>
        </w:rPr>
        <w:t>：</w:t>
      </w:r>
      <w:bookmarkStart w:id="4" w:name="_Toc266868624"/>
      <w:bookmarkStart w:id="5" w:name="_Toc267059519"/>
      <w:bookmarkStart w:id="6" w:name="_Toc267059161"/>
      <w:bookmarkStart w:id="7" w:name="_Toc251613780"/>
      <w:bookmarkStart w:id="8" w:name="_Toc253066567"/>
      <w:bookmarkStart w:id="9" w:name="_Toc207014580"/>
      <w:bookmarkStart w:id="10" w:name="_Toc211937196"/>
      <w:bookmarkStart w:id="11" w:name="_Toc259692693"/>
      <w:bookmarkStart w:id="12" w:name="_Toc255974963"/>
      <w:bookmarkStart w:id="13" w:name="_Toc267059633"/>
      <w:bookmarkStart w:id="14" w:name="_Toc212454753"/>
      <w:bookmarkStart w:id="15" w:name="_Toc251586187"/>
      <w:bookmarkStart w:id="16" w:name="_Toc254790852"/>
      <w:bookmarkStart w:id="17" w:name="_Toc267060407"/>
      <w:bookmarkStart w:id="18" w:name="_Toc160880487"/>
      <w:bookmarkStart w:id="19" w:name="_Toc217891359"/>
      <w:bookmarkStart w:id="20" w:name="_Toc219800200"/>
      <w:bookmarkStart w:id="21" w:name="_Toc259692600"/>
      <w:bookmarkStart w:id="22" w:name="_Toc258401210"/>
      <w:bookmarkStart w:id="23" w:name="_Toc259520819"/>
      <w:bookmarkStart w:id="24" w:name="_Toc273178686"/>
      <w:bookmarkStart w:id="25" w:name="_Toc216241307"/>
      <w:bookmarkStart w:id="26" w:name="_Toc266870386"/>
      <w:bookmarkStart w:id="27" w:name="_Toc266870861"/>
      <w:bookmarkStart w:id="28" w:name="_Toc212526081"/>
      <w:bookmarkStart w:id="29" w:name="_Toc170798743"/>
      <w:bookmarkStart w:id="30" w:name="_Toc212456146"/>
      <w:bookmarkStart w:id="31" w:name="_Toc236021402"/>
      <w:bookmarkStart w:id="32" w:name="_Toc177985424"/>
      <w:bookmarkStart w:id="33" w:name="_Toc212530253"/>
      <w:bookmarkStart w:id="34" w:name="_Toc267059010"/>
      <w:bookmarkStart w:id="35" w:name="_Toc266868924"/>
      <w:bookmarkStart w:id="36" w:name="_Toc249325665"/>
      <w:bookmarkStart w:id="37" w:name="_Toc223146565"/>
      <w:bookmarkStart w:id="38" w:name="_Toc235438227"/>
      <w:bookmarkStart w:id="39" w:name="_Toc267060162"/>
      <w:bookmarkStart w:id="40" w:name="_Toc235437942"/>
      <w:bookmarkStart w:id="41" w:name="_Toc267059899"/>
      <w:bookmarkStart w:id="42" w:name="_Toc235438297"/>
      <w:bookmarkStart w:id="43" w:name="_Toc169332904"/>
      <w:bookmarkStart w:id="44" w:name="_Toc267059786"/>
      <w:bookmarkStart w:id="45" w:name="_Toc267060022"/>
      <w:bookmarkStart w:id="46" w:name="_Toc227058483"/>
      <w:bookmarkStart w:id="47" w:name="_Toc169332794"/>
      <w:bookmarkStart w:id="48" w:name="_Toc225669277"/>
      <w:r>
        <w:rPr>
          <w:rFonts w:hint="eastAsia" w:ascii="仿宋" w:hAnsi="仿宋" w:eastAsia="仿宋"/>
          <w:b/>
          <w:color w:val="000000" w:themeColor="text1"/>
          <w:sz w:val="36"/>
          <w:szCs w:val="36"/>
        </w:rPr>
        <w:t>校园摆渡车服务项目</w:t>
      </w:r>
      <w:r>
        <w:rPr>
          <w:rFonts w:ascii="仿宋" w:hAnsi="仿宋" w:eastAsia="仿宋"/>
          <w:b/>
          <w:color w:val="000000" w:themeColor="text1"/>
          <w:sz w:val="36"/>
          <w:szCs w:val="36"/>
        </w:rPr>
        <w:t xml:space="preserve"> </w:t>
      </w:r>
    </w:p>
    <w:p>
      <w:pPr>
        <w:spacing w:line="500" w:lineRule="exact"/>
        <w:ind w:firstLine="2331" w:firstLineChars="645"/>
        <w:rPr>
          <w:rFonts w:ascii="仿宋" w:hAnsi="仿宋" w:eastAsia="仿宋"/>
          <w:b/>
          <w:color w:val="000000" w:themeColor="text1"/>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227" w:gutter="0"/>
          <w:cols w:space="425" w:num="1"/>
          <w:titlePg/>
          <w:docGrid w:type="lines" w:linePitch="312" w:charSpace="0"/>
        </w:sectPr>
      </w:pPr>
      <w:r>
        <w:rPr>
          <w:rFonts w:ascii="仿宋" w:hAnsi="仿宋" w:eastAsia="仿宋"/>
          <w:b/>
          <w:color w:val="000000" w:themeColor="text1"/>
          <w:sz w:val="36"/>
          <w:szCs w:val="36"/>
        </w:rPr>
        <w:t xml:space="preserve"> </w:t>
      </w:r>
    </w:p>
    <w:p>
      <w:pPr>
        <w:pStyle w:val="52"/>
        <w:spacing w:line="360" w:lineRule="auto"/>
        <w:jc w:val="both"/>
        <w:outlineLvl w:val="0"/>
        <w:rPr>
          <w:rFonts w:ascii="仿宋" w:hAnsi="仿宋" w:eastAsia="仿宋"/>
          <w:b/>
          <w:color w:val="auto"/>
          <w:sz w:val="44"/>
          <w:szCs w:val="44"/>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一、竞价邀请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000000"/>
          <w:sz w:val="28"/>
          <w:szCs w:val="28"/>
        </w:rPr>
      </w:pPr>
      <w:bookmarkStart w:id="49" w:name="_Hlk10840310"/>
      <w:r>
        <w:rPr>
          <w:rFonts w:hint="eastAsia" w:ascii="仿宋" w:hAnsi="仿宋" w:eastAsia="仿宋"/>
          <w:sz w:val="28"/>
          <w:szCs w:val="28"/>
        </w:rPr>
        <w:t>济南大学泉城学院成立于2005年，是国家教育部和山东省人民政府批准成立的全日制普通本科高校。位于人间仙境—山东蓬莱，环境优美。现有全日制在校生14000余人，基础设施完备，教学科研条件优越。根据需要，对济南大学泉城学院校园摆渡车服务项目公开竞价，欢迎国内合格参与人参与。</w:t>
      </w:r>
    </w:p>
    <w:p>
      <w:pPr>
        <w:spacing w:after="0" w:line="500" w:lineRule="exact"/>
        <w:ind w:firstLine="425" w:firstLineChars="152"/>
        <w:jc w:val="left"/>
        <w:rPr>
          <w:rFonts w:ascii="仿宋" w:hAnsi="仿宋" w:eastAsia="仿宋"/>
          <w:color w:val="000000" w:themeColor="text1"/>
          <w:sz w:val="28"/>
          <w:szCs w:val="28"/>
        </w:rPr>
      </w:pPr>
      <w:r>
        <w:rPr>
          <w:rFonts w:hint="eastAsia" w:ascii="仿宋" w:hAnsi="仿宋" w:eastAsia="仿宋"/>
          <w:color w:val="000000" w:themeColor="text1"/>
          <w:sz w:val="28"/>
          <w:szCs w:val="28"/>
        </w:rPr>
        <w:t>一、项目说明</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项目编号：JDQY20210812</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项目名称：</w:t>
      </w:r>
      <w:r>
        <w:rPr>
          <w:rFonts w:ascii="仿宋" w:hAnsi="仿宋" w:eastAsia="仿宋"/>
          <w:color w:val="000000" w:themeColor="text1"/>
          <w:sz w:val="28"/>
          <w:szCs w:val="28"/>
        </w:rPr>
        <w:t xml:space="preserve"> </w:t>
      </w:r>
      <w:r>
        <w:rPr>
          <w:rFonts w:hint="eastAsia" w:ascii="仿宋" w:hAnsi="仿宋" w:eastAsia="仿宋"/>
          <w:sz w:val="28"/>
          <w:szCs w:val="28"/>
        </w:rPr>
        <w:t>校园摆渡车服务项目</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主要要求:《校园摆渡车竞价要求》。</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参与人资格标准：</w:t>
      </w:r>
      <w:r>
        <w:rPr>
          <w:rFonts w:ascii="仿宋" w:hAnsi="仿宋" w:eastAsia="仿宋"/>
          <w:color w:val="000000" w:themeColor="text1"/>
          <w:sz w:val="28"/>
          <w:szCs w:val="28"/>
        </w:rPr>
        <w:t xml:space="preserve"> </w:t>
      </w:r>
    </w:p>
    <w:p>
      <w:pPr>
        <w:spacing w:after="0" w:line="500" w:lineRule="exact"/>
        <w:ind w:left="1410" w:leftChars="322" w:hanging="702" w:hangingChars="251"/>
        <w:jc w:val="left"/>
        <w:rPr>
          <w:rFonts w:ascii="仿宋" w:hAnsi="仿宋" w:eastAsia="仿宋"/>
          <w:color w:val="000000" w:themeColor="text1"/>
          <w:sz w:val="28"/>
          <w:szCs w:val="28"/>
        </w:rPr>
      </w:pPr>
      <w:r>
        <w:rPr>
          <w:rFonts w:hint="eastAsia" w:ascii="仿宋" w:hAnsi="仿宋" w:eastAsia="仿宋"/>
          <w:color w:val="000000" w:themeColor="text1"/>
          <w:sz w:val="28"/>
          <w:szCs w:val="28"/>
        </w:rPr>
        <w:t>（1）参与人应具有独立法人资格。</w:t>
      </w:r>
      <w:r>
        <w:rPr>
          <w:rFonts w:ascii="仿宋" w:hAnsi="仿宋" w:eastAsia="仿宋"/>
          <w:color w:val="000000" w:themeColor="text1"/>
          <w:sz w:val="28"/>
          <w:szCs w:val="28"/>
        </w:rPr>
        <w:t xml:space="preserve"> </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color w:val="000000" w:themeColor="text1"/>
          <w:sz w:val="28"/>
          <w:szCs w:val="28"/>
        </w:rPr>
        <w:t>（2）参与人应提供车辆合格证书、派驻现场安全管理人员信息、各项服务承诺等。</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rPr>
      </w:pPr>
      <w:r>
        <w:rPr>
          <w:rFonts w:hint="eastAsia" w:ascii="仿宋" w:hAnsi="仿宋" w:eastAsia="仿宋"/>
          <w:color w:val="000000" w:themeColor="text1"/>
          <w:sz w:val="28"/>
          <w:szCs w:val="28"/>
        </w:rPr>
        <w:t>（4）参与人具有2年以上经营同类项目的良好服务应用成功案例,近三年未发生重大安全事故。</w:t>
      </w:r>
    </w:p>
    <w:p>
      <w:pPr>
        <w:spacing w:after="0" w:line="500" w:lineRule="exact"/>
        <w:ind w:left="1130" w:leftChars="322" w:hanging="422" w:hangingChars="151"/>
        <w:jc w:val="left"/>
        <w:rPr>
          <w:rFonts w:ascii="仿宋" w:hAnsi="仿宋" w:eastAsia="仿宋"/>
          <w:color w:val="000000" w:themeColor="text1"/>
          <w:sz w:val="28"/>
          <w:szCs w:val="28"/>
        </w:rPr>
      </w:pPr>
      <w:r>
        <w:rPr>
          <w:rFonts w:hint="eastAsia" w:ascii="仿宋" w:hAnsi="仿宋" w:eastAsia="仿宋"/>
          <w:color w:val="000000" w:themeColor="text1"/>
          <w:sz w:val="28"/>
          <w:szCs w:val="28"/>
        </w:rPr>
        <w:t>（5）参与人须提供近两年经过审计的财务报表。</w:t>
      </w:r>
    </w:p>
    <w:p>
      <w:pPr>
        <w:spacing w:after="0" w:line="500" w:lineRule="exact"/>
        <w:ind w:left="1130" w:leftChars="322" w:hanging="422" w:hangingChars="151"/>
        <w:jc w:val="left"/>
        <w:rPr>
          <w:rFonts w:ascii="仿宋" w:hAnsi="仿宋" w:eastAsia="仿宋"/>
          <w:color w:val="000000" w:themeColor="text1"/>
          <w:sz w:val="28"/>
          <w:szCs w:val="28"/>
        </w:rPr>
      </w:pPr>
      <w:r>
        <w:rPr>
          <w:rFonts w:hint="eastAsia" w:ascii="仿宋" w:hAnsi="仿宋" w:eastAsia="仿宋"/>
          <w:color w:val="000000" w:themeColor="text1"/>
          <w:sz w:val="28"/>
          <w:szCs w:val="28"/>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报价响应文件递交方式：密封报价送达或邮寄。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color w:val="000000" w:themeColor="text1"/>
          <w:sz w:val="28"/>
          <w:szCs w:val="28"/>
        </w:rPr>
        <w:t>：2021年8</w:t>
      </w:r>
      <w:r>
        <w:rPr>
          <w:rFonts w:ascii="仿宋" w:hAnsi="仿宋" w:eastAsia="仿宋"/>
          <w:color w:val="000000" w:themeColor="text1"/>
          <w:sz w:val="28"/>
          <w:szCs w:val="28"/>
        </w:rPr>
        <w:t>月</w:t>
      </w:r>
      <w:r>
        <w:rPr>
          <w:rFonts w:hint="eastAsia" w:ascii="仿宋" w:hAnsi="仿宋" w:eastAsia="仿宋"/>
          <w:color w:val="000000" w:themeColor="text1"/>
          <w:sz w:val="28"/>
          <w:szCs w:val="28"/>
        </w:rPr>
        <w:t>19</w:t>
      </w:r>
      <w:r>
        <w:rPr>
          <w:rFonts w:ascii="仿宋" w:hAnsi="仿宋" w:eastAsia="仿宋"/>
          <w:color w:val="000000" w:themeColor="text1"/>
          <w:sz w:val="28"/>
          <w:szCs w:val="28"/>
        </w:rPr>
        <w:t>日</w:t>
      </w:r>
      <w:r>
        <w:rPr>
          <w:rFonts w:hint="eastAsia" w:ascii="仿宋" w:hAnsi="仿宋" w:eastAsia="仿宋"/>
          <w:color w:val="000000" w:themeColor="text1"/>
          <w:sz w:val="28"/>
          <w:szCs w:val="28"/>
        </w:rPr>
        <w:t>下午3:</w:t>
      </w:r>
      <w:r>
        <w:rPr>
          <w:rFonts w:ascii="仿宋" w:hAnsi="仿宋" w:eastAsia="仿宋"/>
          <w:color w:val="000000" w:themeColor="text1"/>
          <w:sz w:val="28"/>
          <w:szCs w:val="28"/>
        </w:rPr>
        <w:t>00</w:t>
      </w:r>
      <w:r>
        <w:rPr>
          <w:rFonts w:hint="eastAsia" w:ascii="仿宋" w:hAnsi="仿宋" w:eastAsia="仿宋"/>
          <w:color w:val="000000" w:themeColor="text1"/>
          <w:sz w:val="28"/>
          <w:szCs w:val="28"/>
        </w:rPr>
        <w:t>前。</w:t>
      </w:r>
    </w:p>
    <w:p>
      <w:pPr>
        <w:widowControl w:val="0"/>
        <w:spacing w:after="0" w:line="480" w:lineRule="exact"/>
        <w:ind w:left="839"/>
        <w:rPr>
          <w:rFonts w:ascii="仿宋" w:hAnsi="仿宋" w:eastAsia="仿宋" w:cs="仿宋"/>
          <w:sz w:val="28"/>
          <w:szCs w:val="28"/>
        </w:rPr>
      </w:pPr>
      <w:r>
        <w:rPr>
          <w:rFonts w:hint="eastAsia" w:ascii="仿宋" w:hAnsi="仿宋" w:eastAsia="仿宋"/>
          <w:sz w:val="28"/>
          <w:szCs w:val="28"/>
        </w:rPr>
        <w:t>报价响应文件递交地点：</w:t>
      </w:r>
      <w:r>
        <w:rPr>
          <w:rFonts w:hint="eastAsia" w:ascii="仿宋" w:hAnsi="仿宋" w:eastAsia="仿宋"/>
          <w:color w:val="000000" w:themeColor="text1"/>
          <w:sz w:val="28"/>
          <w:szCs w:val="28"/>
        </w:rPr>
        <w:t>烟台市蓬莱区仙境西路34号济南大学泉城学院 联系人：史老师   联系电话：15762791399；</w:t>
      </w:r>
      <w:r>
        <w:rPr>
          <w:rFonts w:hint="eastAsia" w:ascii="仿宋" w:hAnsi="仿宋" w:eastAsia="仿宋" w:cs="仿宋"/>
          <w:sz w:val="28"/>
          <w:szCs w:val="28"/>
        </w:rPr>
        <w:t xml:space="preserve">本项目答疑联系人：毛振东、贾广峰   电 话：17658108123、18720964374。 </w:t>
      </w:r>
    </w:p>
    <w:p>
      <w:pPr>
        <w:numPr>
          <w:ilvl w:val="1"/>
          <w:numId w:val="1"/>
        </w:numPr>
        <w:spacing w:after="0" w:line="500" w:lineRule="exact"/>
        <w:rPr>
          <w:rFonts w:ascii="仿宋" w:hAnsi="仿宋" w:eastAsia="仿宋"/>
          <w:color w:val="000000" w:themeColor="text1"/>
          <w:sz w:val="28"/>
          <w:szCs w:val="28"/>
        </w:rPr>
      </w:pPr>
      <w:r>
        <w:rPr>
          <w:rFonts w:hint="eastAsia" w:ascii="仿宋" w:hAnsi="仿宋" w:eastAsia="仿宋"/>
          <w:sz w:val="28"/>
          <w:szCs w:val="28"/>
        </w:rPr>
        <w:t>本项目监督投诉部门:中教集团内控部</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投诉电话:0791-88102608</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投诉邮箱:Neikongbu@educationgroup.cn</w:t>
      </w:r>
    </w:p>
    <w:p>
      <w:pPr>
        <w:widowControl w:val="0"/>
        <w:spacing w:after="0" w:line="500" w:lineRule="exact"/>
        <w:ind w:left="426" w:firstLine="453" w:firstLineChars="162"/>
        <w:jc w:val="left"/>
        <w:rPr>
          <w:rFonts w:ascii="仿宋" w:hAnsi="仿宋" w:eastAsia="仿宋"/>
          <w:color w:val="000000" w:themeColor="text1"/>
          <w:sz w:val="28"/>
          <w:szCs w:val="28"/>
        </w:rPr>
      </w:pPr>
      <w:r>
        <w:rPr>
          <w:rFonts w:hint="eastAsia" w:ascii="仿宋" w:hAnsi="仿宋" w:eastAsia="仿宋"/>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000000" w:themeColor="text1"/>
          <w:sz w:val="28"/>
          <w:szCs w:val="28"/>
        </w:rPr>
        <w:t>2份，报价响应文件</w:t>
      </w:r>
      <w:r>
        <w:rPr>
          <w:rFonts w:ascii="仿宋" w:hAnsi="仿宋" w:eastAsia="仿宋"/>
          <w:color w:val="000000" w:themeColor="text1"/>
          <w:sz w:val="28"/>
          <w:szCs w:val="28"/>
        </w:rPr>
        <w:t>必须用A4幅面纸张打印</w:t>
      </w:r>
      <w:r>
        <w:rPr>
          <w:rFonts w:hint="eastAsia" w:ascii="仿宋" w:hAnsi="仿宋" w:eastAsia="仿宋"/>
          <w:color w:val="000000" w:themeColor="text1"/>
          <w:sz w:val="28"/>
          <w:szCs w:val="28"/>
        </w:rPr>
        <w:t>，须由参与人填写并加盖公章（正本1份副本1份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rPr>
      </w:pPr>
      <w:r>
        <w:rPr>
          <w:rFonts w:hint="eastAsia" w:ascii="仿宋" w:hAnsi="仿宋" w:eastAsia="仿宋"/>
          <w:sz w:val="28"/>
          <w:szCs w:val="28"/>
        </w:rPr>
        <w:t>三、服务</w:t>
      </w:r>
      <w:r>
        <w:rPr>
          <w:rFonts w:hint="eastAsia" w:ascii="仿宋" w:hAnsi="仿宋" w:eastAsia="仿宋"/>
          <w:color w:val="000000" w:themeColor="text1"/>
          <w:sz w:val="28"/>
          <w:szCs w:val="28"/>
        </w:rPr>
        <w:t>要求</w:t>
      </w:r>
    </w:p>
    <w:p>
      <w:pPr>
        <w:spacing w:after="0" w:line="500" w:lineRule="exact"/>
        <w:ind w:firstLine="425" w:firstLineChars="152"/>
        <w:jc w:val="lef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    按照合同执行。</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符合服务需求、质量和服务要求,经过磋商所报价格为合理价格的参与人为成交参与人，最高报价不作为成交的保证。</w:t>
      </w:r>
    </w:p>
    <w:p>
      <w:pPr>
        <w:spacing w:after="0" w:line="500" w:lineRule="exact"/>
        <w:ind w:firstLine="425" w:firstLineChars="152"/>
        <w:jc w:val="left"/>
        <w:rPr>
          <w:rFonts w:ascii="仿宋" w:hAnsi="仿宋" w:eastAsia="仿宋"/>
          <w:color w:val="000000" w:themeColor="text1"/>
          <w:sz w:val="28"/>
          <w:szCs w:val="28"/>
        </w:rPr>
      </w:pPr>
      <w:r>
        <w:rPr>
          <w:rFonts w:ascii="仿宋" w:hAnsi="仿宋" w:eastAsia="仿宋"/>
          <w:color w:val="000000" w:themeColor="text1"/>
          <w:sz w:val="28"/>
          <w:szCs w:val="28"/>
        </w:rPr>
        <w:br w:type="page"/>
      </w:r>
    </w:p>
    <w:p>
      <w:pPr>
        <w:pStyle w:val="52"/>
        <w:spacing w:line="360" w:lineRule="auto"/>
        <w:jc w:val="center"/>
        <w:outlineLvl w:val="0"/>
        <w:rPr>
          <w:rFonts w:ascii="仿宋" w:hAnsi="仿宋" w:eastAsia="仿宋"/>
          <w:b/>
          <w:sz w:val="36"/>
          <w:szCs w:val="36"/>
        </w:rPr>
      </w:pPr>
      <w:r>
        <w:rPr>
          <w:rFonts w:hint="eastAsia" w:ascii="仿宋" w:hAnsi="仿宋" w:eastAsia="仿宋"/>
          <w:b/>
          <w:color w:val="auto"/>
          <w:sz w:val="44"/>
          <w:szCs w:val="44"/>
        </w:rPr>
        <w:t>二、</w:t>
      </w:r>
      <w:bookmarkEnd w:id="49"/>
      <w:r>
        <w:rPr>
          <w:rFonts w:hint="eastAsia" w:ascii="仿宋" w:hAnsi="仿宋" w:eastAsia="仿宋"/>
          <w:b/>
          <w:sz w:val="36"/>
          <w:szCs w:val="36"/>
        </w:rPr>
        <w:t>报价一览表</w:t>
      </w:r>
    </w:p>
    <w:p>
      <w:pPr>
        <w:pStyle w:val="52"/>
        <w:spacing w:line="360" w:lineRule="auto"/>
        <w:jc w:val="center"/>
        <w:outlineLvl w:val="0"/>
        <w:rPr>
          <w:rFonts w:ascii="仿宋" w:hAnsi="仿宋" w:eastAsia="仿宋"/>
          <w:b/>
          <w:sz w:val="36"/>
          <w:szCs w:val="36"/>
        </w:rPr>
      </w:pPr>
    </w:p>
    <w:tbl>
      <w:tblPr>
        <w:tblStyle w:val="24"/>
        <w:tblW w:w="9110" w:type="dxa"/>
        <w:tblInd w:w="0" w:type="dxa"/>
        <w:tblLayout w:type="fixed"/>
        <w:tblCellMar>
          <w:top w:w="0" w:type="dxa"/>
          <w:left w:w="0" w:type="dxa"/>
          <w:bottom w:w="0" w:type="dxa"/>
          <w:right w:w="0" w:type="dxa"/>
        </w:tblCellMar>
      </w:tblPr>
      <w:tblGrid>
        <w:gridCol w:w="1805"/>
        <w:gridCol w:w="7305"/>
      </w:tblGrid>
      <w:tr>
        <w:tblPrEx>
          <w:tblCellMar>
            <w:top w:w="0" w:type="dxa"/>
            <w:left w:w="0" w:type="dxa"/>
            <w:bottom w:w="0" w:type="dxa"/>
            <w:right w:w="0" w:type="dxa"/>
          </w:tblCellMar>
        </w:tblPrEx>
        <w:trPr>
          <w:trHeight w:val="1362"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rPr>
            </w:pPr>
            <w:r>
              <w:rPr>
                <w:rFonts w:hint="eastAsia" w:ascii="仿宋" w:hAnsi="仿宋" w:eastAsia="仿宋" w:cs="宋体"/>
              </w:rPr>
              <w:t>报价内容</w:t>
            </w:r>
          </w:p>
        </w:tc>
        <w:tc>
          <w:tcPr>
            <w:tcW w:w="73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after="0"/>
              <w:jc w:val="left"/>
              <w:textAlignment w:val="center"/>
              <w:rPr>
                <w:rFonts w:ascii="仿宋" w:hAnsi="仿宋" w:eastAsia="仿宋" w:cs="宋体"/>
              </w:rPr>
            </w:pPr>
            <w:r>
              <w:rPr>
                <w:rFonts w:hint="eastAsia" w:ascii="仿宋" w:hAnsi="仿宋" w:eastAsia="仿宋" w:cs="宋体"/>
              </w:rPr>
              <w:t>管理费：</w:t>
            </w:r>
            <w:r>
              <w:rPr>
                <w:rFonts w:hint="eastAsia" w:ascii="仿宋" w:hAnsi="仿宋" w:eastAsia="仿宋" w:cs="宋体"/>
                <w:u w:val="single"/>
              </w:rPr>
              <w:t xml:space="preserve">         </w:t>
            </w:r>
            <w:r>
              <w:rPr>
                <w:rFonts w:hint="eastAsia" w:ascii="仿宋" w:hAnsi="仿宋" w:eastAsia="仿宋" w:cs="宋体"/>
              </w:rPr>
              <w:t>（元）</w:t>
            </w:r>
          </w:p>
        </w:tc>
      </w:tr>
    </w:tbl>
    <w:p>
      <w:pPr>
        <w:pStyle w:val="52"/>
        <w:spacing w:line="360" w:lineRule="auto"/>
        <w:outlineLvl w:val="0"/>
        <w:rPr>
          <w:rFonts w:ascii="仿宋" w:hAnsi="仿宋" w:eastAsia="仿宋"/>
          <w:b/>
          <w:sz w:val="36"/>
          <w:szCs w:val="36"/>
        </w:rPr>
      </w:pPr>
    </w:p>
    <w:p>
      <w:pPr>
        <w:jc w:val="center"/>
        <w:rPr>
          <w:rFonts w:ascii="仿宋" w:hAnsi="仿宋" w:eastAsia="仿宋" w:cs="方正小标宋简体"/>
          <w:b/>
          <w:color w:val="000000"/>
          <w:sz w:val="28"/>
          <w:szCs w:val="28"/>
        </w:rPr>
      </w:pPr>
      <w:r>
        <w:rPr>
          <w:rFonts w:hint="eastAsia" w:ascii="仿宋" w:hAnsi="仿宋" w:eastAsia="仿宋" w:cs="方正小标宋简体"/>
          <w:b/>
          <w:color w:val="000000"/>
          <w:sz w:val="28"/>
          <w:szCs w:val="28"/>
        </w:rPr>
        <w:t>校园摆渡车竞价要求</w:t>
      </w:r>
    </w:p>
    <w:p>
      <w:pPr>
        <w:rPr>
          <w:rFonts w:ascii="仿宋" w:hAnsi="仿宋" w:eastAsia="仿宋" w:cs="仿宋_GB2312"/>
          <w:color w:val="000000"/>
          <w:sz w:val="28"/>
          <w:szCs w:val="28"/>
        </w:rPr>
      </w:pPr>
      <w:r>
        <w:rPr>
          <w:rFonts w:hint="eastAsia" w:ascii="仿宋" w:hAnsi="仿宋" w:eastAsia="仿宋" w:cs="黑体"/>
          <w:color w:val="000000"/>
          <w:sz w:val="28"/>
          <w:szCs w:val="28"/>
        </w:rPr>
        <w:t>1</w:t>
      </w:r>
      <w:r>
        <w:rPr>
          <w:rFonts w:hint="eastAsia" w:ascii="仿宋" w:hAnsi="仿宋" w:eastAsia="仿宋" w:cs="仿宋_GB2312"/>
          <w:color w:val="000000"/>
          <w:sz w:val="28"/>
          <w:szCs w:val="28"/>
        </w:rPr>
        <w:t>.招租方式：公开竞价，管理费控制价为</w:t>
      </w:r>
      <w:r>
        <w:rPr>
          <w:rFonts w:hint="eastAsia" w:ascii="仿宋" w:hAnsi="仿宋" w:eastAsia="仿宋" w:cs="仿宋_GB2312"/>
          <w:color w:val="000000" w:themeColor="text1"/>
          <w:sz w:val="28"/>
          <w:szCs w:val="28"/>
        </w:rPr>
        <w:t>96000元/年。</w:t>
      </w:r>
    </w:p>
    <w:p>
      <w:pPr>
        <w:rPr>
          <w:rFonts w:ascii="仿宋" w:hAnsi="仿宋" w:eastAsia="仿宋" w:cs="仿宋_GB2312"/>
          <w:color w:val="000000"/>
          <w:sz w:val="28"/>
          <w:szCs w:val="28"/>
        </w:rPr>
      </w:pPr>
      <w:r>
        <w:rPr>
          <w:rFonts w:hint="eastAsia" w:ascii="仿宋" w:hAnsi="仿宋" w:eastAsia="仿宋" w:cs="仿宋_GB2312"/>
          <w:color w:val="000000"/>
          <w:sz w:val="28"/>
          <w:szCs w:val="28"/>
        </w:rPr>
        <w:t>2.经营期限：3年。</w:t>
      </w:r>
    </w:p>
    <w:p>
      <w:pPr>
        <w:rPr>
          <w:rFonts w:ascii="仿宋" w:hAnsi="仿宋" w:eastAsia="仿宋" w:cs="仿宋_GB2312"/>
          <w:color w:val="000000"/>
          <w:sz w:val="28"/>
          <w:szCs w:val="28"/>
        </w:rPr>
      </w:pPr>
      <w:r>
        <w:rPr>
          <w:rFonts w:hint="eastAsia" w:ascii="仿宋" w:hAnsi="仿宋" w:eastAsia="仿宋" w:cs="仿宋_GB2312"/>
          <w:color w:val="000000"/>
          <w:sz w:val="28"/>
          <w:szCs w:val="28"/>
        </w:rPr>
        <w:t>3.收费标准：学生乘车收费不高于1.0元/人/次，</w:t>
      </w:r>
      <w:r>
        <w:rPr>
          <w:rFonts w:hint="eastAsia" w:ascii="仿宋" w:hAnsi="仿宋" w:eastAsia="仿宋" w:cs="仿宋_GB2312"/>
          <w:color w:val="000000" w:themeColor="text1"/>
          <w:sz w:val="28"/>
          <w:szCs w:val="28"/>
        </w:rPr>
        <w:t>具体收费需双方协商定价。</w:t>
      </w:r>
      <w:r>
        <w:rPr>
          <w:rFonts w:hint="eastAsia" w:ascii="仿宋" w:hAnsi="仿宋" w:eastAsia="仿宋" w:cs="仿宋_GB2312"/>
          <w:color w:val="000000"/>
          <w:sz w:val="28"/>
          <w:szCs w:val="28"/>
        </w:rPr>
        <w:t>教师免费乘车。车辆充电期间发生的电费（按商业用电标准收费）由中标方自行承担。</w:t>
      </w:r>
    </w:p>
    <w:p>
      <w:pPr>
        <w:rPr>
          <w:rFonts w:ascii="仿宋" w:hAnsi="仿宋" w:eastAsia="仿宋" w:cs="仿宋_GB2312"/>
          <w:color w:val="000000"/>
          <w:sz w:val="28"/>
          <w:szCs w:val="28"/>
        </w:rPr>
      </w:pPr>
      <w:r>
        <w:rPr>
          <w:rFonts w:hint="eastAsia" w:ascii="仿宋" w:hAnsi="仿宋" w:eastAsia="仿宋" w:cs="仿宋_GB2312"/>
          <w:color w:val="000000"/>
          <w:sz w:val="28"/>
          <w:szCs w:val="28"/>
        </w:rPr>
        <w:t>4.车辆要求：中标方负责出资购置车辆，购置的车辆外观，技术参数及车辆性能必须符合国家相关的安全管理规定,符合学校的安全运行要求，有出厂合格证，在校园内投入不低于5台车。并定期本着“安全运行、外观大方美观”的原则对校内运行车辆进行安全检查与维修，对损坏物件及时更换，达到报废标准的车辆及时进行更换。</w:t>
      </w:r>
    </w:p>
    <w:p>
      <w:pPr>
        <w:rPr>
          <w:rFonts w:ascii="仿宋" w:hAnsi="仿宋" w:eastAsia="仿宋" w:cs="仿宋_GB2312"/>
          <w:color w:val="000000"/>
          <w:sz w:val="28"/>
          <w:szCs w:val="28"/>
        </w:rPr>
      </w:pPr>
      <w:r>
        <w:rPr>
          <w:rFonts w:hint="eastAsia" w:ascii="仿宋" w:hAnsi="仿宋" w:eastAsia="仿宋" w:cs="仿宋_GB2312"/>
          <w:color w:val="000000"/>
          <w:sz w:val="28"/>
          <w:szCs w:val="28"/>
        </w:rPr>
        <w:t>5.运营方式：开通主校区、东山校区线路，双方共同设计“摆渡车”的行驶路线和班次，可根据试运营情况对路线或班次再做调整,未征得学校同意，中标方不得随意便改运营线路。</w:t>
      </w:r>
    </w:p>
    <w:p>
      <w:pPr>
        <w:rPr>
          <w:rFonts w:ascii="仿宋" w:hAnsi="仿宋" w:eastAsia="仿宋" w:cs="仿宋_GB2312"/>
          <w:color w:val="000000"/>
          <w:sz w:val="28"/>
          <w:szCs w:val="28"/>
        </w:rPr>
      </w:pPr>
      <w:r>
        <w:rPr>
          <w:rFonts w:hint="eastAsia" w:ascii="仿宋" w:hAnsi="仿宋" w:eastAsia="仿宋" w:cs="仿宋_GB2312"/>
          <w:color w:val="000000"/>
          <w:sz w:val="28"/>
          <w:szCs w:val="28"/>
        </w:rPr>
        <w:t>6.广告宣传：“摆渡车”车体广告的宣传内容按照与学校商定的行业苑围进行招商。经协议后，规定广告招商涉及行业包括:企事业招聘信息、移动通讯行业、电子科技行业、教育培训行业、快速消费品行业、互联网行业、旅游行业，中标方在广告投放前，应征得学校书面同意,并在学校项目负责部门处备案。</w:t>
      </w:r>
    </w:p>
    <w:p>
      <w:pPr>
        <w:rPr>
          <w:rFonts w:ascii="仿宋" w:hAnsi="仿宋" w:eastAsia="仿宋" w:cs="仿宋_GB2312"/>
          <w:color w:val="000000"/>
          <w:sz w:val="28"/>
          <w:szCs w:val="28"/>
        </w:rPr>
      </w:pPr>
      <w:r>
        <w:rPr>
          <w:rFonts w:hint="eastAsia" w:ascii="仿宋" w:hAnsi="仿宋" w:eastAsia="仿宋" w:cs="仿宋_GB2312"/>
          <w:color w:val="000000"/>
          <w:sz w:val="28"/>
          <w:szCs w:val="28"/>
        </w:rPr>
        <w:t>7.其他要求：学校开学、毕业期间，要配合学校做好校内师生接送工作。同时配合学校重大活动用车调配。服从学校各项管理规定，依法经营。</w:t>
      </w:r>
    </w:p>
    <w:p>
      <w:pPr>
        <w:pStyle w:val="52"/>
        <w:spacing w:line="360" w:lineRule="auto"/>
        <w:jc w:val="center"/>
        <w:outlineLvl w:val="0"/>
        <w:rPr>
          <w:rFonts w:ascii="仿宋" w:hAnsi="仿宋" w:eastAsia="仿宋"/>
          <w:b/>
          <w:sz w:val="36"/>
          <w:szCs w:val="36"/>
        </w:rPr>
      </w:pPr>
    </w:p>
    <w:tbl>
      <w:tblPr>
        <w:tblStyle w:val="24"/>
        <w:tblpPr w:leftFromText="180" w:rightFromText="180" w:vertAnchor="text" w:horzAnchor="margin" w:tblpY="171"/>
        <w:tblW w:w="60" w:type="dxa"/>
        <w:tblInd w:w="0" w:type="dxa"/>
        <w:tblLayout w:type="autofit"/>
        <w:tblCellMar>
          <w:top w:w="0" w:type="dxa"/>
          <w:left w:w="0" w:type="dxa"/>
          <w:bottom w:w="0" w:type="dxa"/>
          <w:right w:w="0" w:type="dxa"/>
        </w:tblCellMar>
      </w:tblPr>
      <w:tblGrid>
        <w:gridCol w:w="60"/>
      </w:tblGrid>
      <w:tr>
        <w:tblPrEx>
          <w:tblCellMar>
            <w:top w:w="0" w:type="dxa"/>
            <w:left w:w="0" w:type="dxa"/>
            <w:bottom w:w="0" w:type="dxa"/>
            <w:right w:w="0" w:type="dxa"/>
          </w:tblCellMar>
        </w:tblPrEx>
        <w:trPr>
          <w:trHeight w:val="148" w:hRule="atLeast"/>
        </w:trPr>
        <w:tc>
          <w:tcPr>
            <w:tcW w:w="60" w:type="dxa"/>
            <w:tcBorders>
              <w:top w:val="nil"/>
              <w:left w:val="nil"/>
              <w:bottom w:val="nil"/>
              <w:right w:val="nil"/>
            </w:tcBorders>
            <w:shd w:val="clear" w:color="auto" w:fill="auto"/>
            <w:noWrap/>
            <w:tcMar>
              <w:top w:w="15" w:type="dxa"/>
              <w:left w:w="15" w:type="dxa"/>
              <w:bottom w:w="0" w:type="dxa"/>
              <w:right w:w="15" w:type="dxa"/>
            </w:tcMar>
            <w:vAlign w:val="center"/>
          </w:tcPr>
          <w:p>
            <w:pPr>
              <w:rPr>
                <w:rFonts w:ascii="方正小标宋简体" w:hAnsi="宋体" w:eastAsia="方正小标宋简体" w:cs="宋体"/>
                <w:color w:val="000000" w:themeColor="text1"/>
                <w:sz w:val="36"/>
                <w:szCs w:val="36"/>
              </w:rPr>
            </w:pPr>
          </w:p>
        </w:tc>
      </w:tr>
    </w:tbl>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000000" w:themeColor="text1"/>
          <w:sz w:val="44"/>
          <w:szCs w:val="44"/>
        </w:rPr>
        <w:t>校园摆渡车服务项目</w:t>
      </w:r>
    </w:p>
    <w:p>
      <w:pPr>
        <w:spacing w:line="1000" w:lineRule="exact"/>
        <w:jc w:val="center"/>
        <w:rPr>
          <w:rFonts w:ascii="仿宋" w:hAnsi="仿宋" w:eastAsia="仿宋"/>
          <w:b/>
          <w:sz w:val="44"/>
          <w:szCs w:val="44"/>
        </w:rPr>
      </w:pP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sectPr>
          <w:headerReference r:id="rId12" w:type="first"/>
          <w:headerReference r:id="rId11" w:type="default"/>
          <w:pgSz w:w="11906" w:h="16838"/>
          <w:pgMar w:top="851" w:right="1418" w:bottom="851"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center"/>
        <w:outlineLvl w:val="1"/>
        <w:rPr>
          <w:rFonts w:ascii="仿宋" w:hAnsi="仿宋" w:eastAsia="仿宋"/>
          <w:b/>
          <w:bCs/>
          <w:sz w:val="28"/>
          <w:szCs w:val="28"/>
        </w:rPr>
      </w:pPr>
      <w:bookmarkStart w:id="50" w:name="_Toc213755858"/>
      <w:bookmarkStart w:id="51" w:name="_Toc267059181"/>
      <w:bookmarkStart w:id="52" w:name="_Toc227058530"/>
      <w:bookmarkStart w:id="53" w:name="_Toc266870907"/>
      <w:bookmarkStart w:id="54" w:name="_Toc235437991"/>
      <w:bookmarkStart w:id="55" w:name="_Toc236021449"/>
      <w:bookmarkStart w:id="56" w:name="_Toc235438344"/>
      <w:bookmarkStart w:id="57" w:name="_Toc232302115"/>
      <w:bookmarkStart w:id="58" w:name="_Toc235438274"/>
      <w:bookmarkStart w:id="59" w:name="_Toc259692647"/>
      <w:bookmarkStart w:id="60" w:name="_Toc251613829"/>
      <w:bookmarkStart w:id="61" w:name="_Toc255975007"/>
      <w:bookmarkStart w:id="62" w:name="_Toc251586231"/>
      <w:bookmarkStart w:id="63" w:name="_Toc254790899"/>
      <w:bookmarkStart w:id="64" w:name="_Toc230071147"/>
      <w:bookmarkStart w:id="65" w:name="_Toc266868937"/>
      <w:bookmarkStart w:id="66" w:name="_Toc249325711"/>
      <w:bookmarkStart w:id="67" w:name="_Toc259692740"/>
      <w:bookmarkStart w:id="68" w:name="_Toc253066614"/>
      <w:bookmarkStart w:id="69" w:name="_Toc258401256"/>
      <w:bookmarkStart w:id="70" w:name="_Toc266870833"/>
      <w:bookmarkStart w:id="71" w:name="_Toc225669322"/>
      <w:bookmarkStart w:id="72" w:name="_Toc267059539"/>
      <w:bookmarkStart w:id="73" w:name="_Toc217891402"/>
      <w:bookmarkStart w:id="74" w:name="_Toc266868670"/>
      <w:bookmarkStart w:id="75" w:name="_Toc213756051"/>
      <w:bookmarkStart w:id="76" w:name="_Toc267059030"/>
      <w:bookmarkStart w:id="77" w:name="_Toc180302913"/>
      <w:bookmarkStart w:id="78" w:name="_Toc223146608"/>
      <w:bookmarkStart w:id="79" w:name="_Toc213755995"/>
      <w:bookmarkStart w:id="80" w:name="_Toc219800243"/>
      <w:bookmarkStart w:id="81" w:name="_Toc267059806"/>
      <w:bookmarkStart w:id="82" w:name="_Toc191783222"/>
      <w:bookmarkStart w:id="83" w:name="_Toc267059919"/>
      <w:bookmarkStart w:id="84" w:name="_Toc191789329"/>
      <w:bookmarkStart w:id="85" w:name="_Toc169332949"/>
      <w:bookmarkStart w:id="86" w:name="_Toc267060321"/>
      <w:bookmarkStart w:id="87" w:name="_Toc160880529"/>
      <w:bookmarkStart w:id="88" w:name="_Toc273178698"/>
      <w:bookmarkStart w:id="89" w:name="_Toc192664153"/>
      <w:bookmarkStart w:id="90" w:name="_Toc177985469"/>
      <w:bookmarkStart w:id="91" w:name="_Toc182372782"/>
      <w:bookmarkStart w:id="92" w:name="_Toc192663686"/>
      <w:bookmarkStart w:id="93" w:name="_Toc192996338"/>
      <w:bookmarkStart w:id="94" w:name="_Toc213208766"/>
      <w:bookmarkStart w:id="95" w:name="_Toc193165734"/>
      <w:bookmarkStart w:id="96" w:name="_Toc266870432"/>
      <w:bookmarkStart w:id="97" w:name="_Toc191802690"/>
      <w:bookmarkStart w:id="98" w:name="_Toc160880160"/>
      <w:bookmarkStart w:id="99" w:name="_Toc267059653"/>
      <w:bookmarkStart w:id="100" w:name="_Toc170798793"/>
      <w:bookmarkStart w:id="101" w:name="_Toc169332838"/>
      <w:bookmarkStart w:id="102" w:name="_Toc182805217"/>
      <w:bookmarkStart w:id="103" w:name="_Toc181436565"/>
      <w:bookmarkStart w:id="104" w:name="_Toc181436461"/>
      <w:bookmarkStart w:id="105" w:name="_Toc203355733"/>
      <w:bookmarkStart w:id="106" w:name="_Toc192996446"/>
      <w:bookmarkStart w:id="107" w:name="_Toc193160448"/>
      <w:bookmarkStart w:id="108" w:name="_Toc267060453"/>
      <w:bookmarkStart w:id="109" w:name="_Toc191803626"/>
      <w:bookmarkStart w:id="110" w:name="_Toc192663835"/>
      <w:bookmarkStart w:id="111" w:name="_Toc267060068"/>
      <w:bookmarkStart w:id="112" w:name="_Toc213755939"/>
      <w:bookmarkStart w:id="113" w:name="_Toc267060208"/>
      <w:bookmarkStart w:id="114" w:name="_Toc211917116"/>
      <w:bookmarkStart w:id="115" w:name="_Toc259520865"/>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竞价响应函</w:t>
      </w:r>
    </w:p>
    <w:p>
      <w:pPr>
        <w:spacing w:after="0" w:line="480" w:lineRule="exact"/>
        <w:rPr>
          <w:rFonts w:ascii="仿宋" w:hAnsi="仿宋" w:eastAsia="仿宋"/>
          <w:color w:val="000000" w:themeColor="text1"/>
          <w:sz w:val="28"/>
          <w:szCs w:val="28"/>
        </w:rPr>
      </w:pPr>
      <w:r>
        <w:rPr>
          <w:rFonts w:hint="eastAsia" w:ascii="仿宋" w:hAnsi="仿宋" w:eastAsia="仿宋"/>
          <w:sz w:val="28"/>
          <w:szCs w:val="28"/>
        </w:rPr>
        <w:t>致：</w:t>
      </w:r>
      <w:r>
        <w:rPr>
          <w:rFonts w:hint="eastAsia" w:ascii="仿宋" w:hAnsi="仿宋" w:eastAsia="仿宋"/>
          <w:color w:val="000000" w:themeColor="text1"/>
          <w:sz w:val="28"/>
          <w:szCs w:val="28"/>
        </w:rPr>
        <w:t>济南大学泉城学院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校园摆渡车服务</w:t>
      </w:r>
      <w:r>
        <w:rPr>
          <w:rFonts w:hint="eastAsia" w:ascii="仿宋" w:hAnsi="仿宋" w:eastAsia="仿宋"/>
          <w:sz w:val="28"/>
          <w:szCs w:val="28"/>
        </w:rPr>
        <w:t xml:space="preserve">项目的公开竞价邀请（编号）: </w:t>
      </w:r>
      <w:r>
        <w:rPr>
          <w:rFonts w:hint="eastAsia" w:ascii="仿宋" w:hAnsi="仿宋" w:eastAsia="仿宋"/>
          <w:color w:val="000000" w:themeColor="text1"/>
          <w:sz w:val="28"/>
          <w:szCs w:val="28"/>
          <w:u w:val="single"/>
        </w:rPr>
        <w:t>JDQY20210812</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color w:val="000000" w:themeColor="text1"/>
          <w:sz w:val="28"/>
          <w:szCs w:val="28"/>
        </w:rPr>
        <w:t>1份和副本1份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2.参与人已详细审查全部公开竞价文件，包括修改文件（如有的话）和有关附件，将自行承担因对全部竞价响应文件理解不正确或误解而产生的相应后果。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3.参与人保证遵守公开竞价文件的全部规定，参与人所提交的材料中所含的信息均为真实、准确、完整，且不具有任何误导性。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4.参与人将按公开竞价文件的规定履行合同责任和义务。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.参与人同意提供按照采购单位可能要求的与其公开竞价有关的一切数据或资料，完全理解贵方不一定要接受最低的报价或收到的任何竞价响应文件。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.与本此公开竞价有关的一切正式往来通讯请寄：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jc w:val="center"/>
        <w:rPr>
          <w:rFonts w:ascii="仿宋" w:hAnsi="仿宋" w:eastAsia="仿宋" w:cs="Times New Roman"/>
          <w:kern w:val="2"/>
          <w:sz w:val="28"/>
          <w:szCs w:val="28"/>
        </w:rPr>
      </w:pPr>
      <w:r>
        <w:rPr>
          <w:rFonts w:ascii="仿宋" w:hAnsi="仿宋" w:eastAsia="仿宋"/>
          <w:szCs w:val="28"/>
        </w:rPr>
        <w:br w:type="page"/>
      </w: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货币单位：元</w:t>
      </w:r>
    </w:p>
    <w:tbl>
      <w:tblPr>
        <w:tblStyle w:val="24"/>
        <w:tblW w:w="9110" w:type="dxa"/>
        <w:tblInd w:w="0" w:type="dxa"/>
        <w:tblLayout w:type="fixed"/>
        <w:tblCellMar>
          <w:top w:w="0" w:type="dxa"/>
          <w:left w:w="0" w:type="dxa"/>
          <w:bottom w:w="0" w:type="dxa"/>
          <w:right w:w="0" w:type="dxa"/>
        </w:tblCellMar>
      </w:tblPr>
      <w:tblGrid>
        <w:gridCol w:w="1805"/>
        <w:gridCol w:w="7305"/>
      </w:tblGrid>
      <w:tr>
        <w:tblPrEx>
          <w:tblCellMar>
            <w:top w:w="0" w:type="dxa"/>
            <w:left w:w="0" w:type="dxa"/>
            <w:bottom w:w="0" w:type="dxa"/>
            <w:right w:w="0" w:type="dxa"/>
          </w:tblCellMar>
        </w:tblPrEx>
        <w:trPr>
          <w:trHeight w:val="1362"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rPr>
            </w:pPr>
            <w:r>
              <w:rPr>
                <w:rFonts w:hint="eastAsia" w:ascii="仿宋" w:hAnsi="仿宋" w:eastAsia="仿宋" w:cs="宋体"/>
              </w:rPr>
              <w:t>报价内容</w:t>
            </w:r>
          </w:p>
        </w:tc>
        <w:tc>
          <w:tcPr>
            <w:tcW w:w="73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after="0"/>
              <w:jc w:val="left"/>
              <w:textAlignment w:val="center"/>
              <w:rPr>
                <w:rFonts w:ascii="仿宋" w:hAnsi="仿宋" w:eastAsia="仿宋" w:cs="宋体"/>
              </w:rPr>
            </w:pPr>
            <w:r>
              <w:rPr>
                <w:rFonts w:hint="eastAsia" w:ascii="仿宋" w:hAnsi="仿宋" w:eastAsia="仿宋" w:cs="宋体"/>
              </w:rPr>
              <w:t>管理费：</w:t>
            </w:r>
            <w:r>
              <w:rPr>
                <w:rFonts w:hint="eastAsia" w:ascii="仿宋" w:hAnsi="仿宋" w:eastAsia="仿宋" w:cs="宋体"/>
                <w:u w:val="single"/>
              </w:rPr>
              <w:t xml:space="preserve">         </w:t>
            </w:r>
            <w:r>
              <w:rPr>
                <w:rFonts w:hint="eastAsia" w:ascii="仿宋" w:hAnsi="仿宋" w:eastAsia="仿宋" w:cs="宋体"/>
              </w:rPr>
              <w:t>（元）</w:t>
            </w:r>
          </w:p>
        </w:tc>
      </w:tr>
    </w:tbl>
    <w:p>
      <w:pPr>
        <w:spacing w:line="380" w:lineRule="exact"/>
        <w:ind w:left="147" w:leftChars="67"/>
        <w:rPr>
          <w:rFonts w:ascii="仿宋" w:hAnsi="仿宋" w:eastAsia="仿宋"/>
          <w:sz w:val="28"/>
          <w:szCs w:val="28"/>
        </w:rPr>
      </w:pPr>
      <w:r>
        <w:rPr>
          <w:rFonts w:hint="eastAsia" w:ascii="仿宋" w:hAnsi="仿宋" w:eastAsia="仿宋"/>
          <w:sz w:val="28"/>
          <w:szCs w:val="28"/>
        </w:rPr>
        <w:t>服务承诺：（投标方可自行填写）</w:t>
      </w:r>
    </w:p>
    <w:p>
      <w:pPr>
        <w:spacing w:line="380" w:lineRule="exact"/>
        <w:ind w:firstLine="560" w:firstLineChars="200"/>
        <w:rPr>
          <w:rFonts w:ascii="仿宋" w:hAnsi="仿宋" w:eastAsia="仿宋"/>
          <w:sz w:val="28"/>
          <w:szCs w:val="28"/>
        </w:rPr>
      </w:pP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53066624"/>
      <w:bookmarkStart w:id="117" w:name="_Toc236021457"/>
      <w:bookmarkStart w:id="118" w:name="_Toc213756001"/>
      <w:bookmarkStart w:id="119" w:name="_Toc192664158"/>
      <w:bookmarkStart w:id="120" w:name="_Toc213208771"/>
      <w:bookmarkStart w:id="121" w:name="_Toc273178703"/>
      <w:bookmarkStart w:id="122" w:name="_Toc267060461"/>
      <w:bookmarkStart w:id="123" w:name="_Toc267059035"/>
      <w:bookmarkStart w:id="124" w:name="_Toc181436466"/>
      <w:bookmarkStart w:id="125" w:name="_Toc177985474"/>
      <w:bookmarkStart w:id="126" w:name="_Toc160880534"/>
      <w:bookmarkStart w:id="127" w:name="_Toc267060326"/>
      <w:bookmarkStart w:id="128" w:name="_Toc267060076"/>
      <w:bookmarkStart w:id="129" w:name="_Toc267059924"/>
      <w:bookmarkStart w:id="130" w:name="_Toc267059811"/>
      <w:bookmarkStart w:id="131" w:name="_Toc170798798"/>
      <w:bookmarkStart w:id="132" w:name="_Toc267060216"/>
      <w:bookmarkStart w:id="133" w:name="_Toc223146614"/>
      <w:bookmarkStart w:id="134" w:name="_Toc211917121"/>
      <w:bookmarkStart w:id="135" w:name="_Toc193165739"/>
      <w:bookmarkStart w:id="136" w:name="_Toc251586241"/>
      <w:bookmarkStart w:id="137" w:name="_Toc249325720"/>
      <w:bookmarkStart w:id="138" w:name="_Toc191802695"/>
      <w:bookmarkStart w:id="139" w:name="_Toc191789334"/>
      <w:bookmarkStart w:id="140" w:name="_Toc213756057"/>
      <w:bookmarkStart w:id="141" w:name="_Toc213755945"/>
      <w:bookmarkStart w:id="142" w:name="_Toc192663840"/>
      <w:bookmarkStart w:id="143" w:name="_Toc219800249"/>
      <w:bookmarkStart w:id="144" w:name="_Toc217891408"/>
      <w:bookmarkStart w:id="145" w:name="_Toc230071153"/>
      <w:bookmarkStart w:id="146" w:name="_Toc191803631"/>
      <w:bookmarkStart w:id="147" w:name="_Toc193160453"/>
      <w:bookmarkStart w:id="148" w:name="_Toc192663691"/>
      <w:bookmarkStart w:id="149" w:name="_Toc192996451"/>
      <w:bookmarkStart w:id="150" w:name="_Toc227058536"/>
      <w:bookmarkStart w:id="151" w:name="_Toc225669328"/>
      <w:bookmarkStart w:id="152" w:name="_Toc266870441"/>
      <w:bookmarkStart w:id="153" w:name="_Toc258401265"/>
      <w:bookmarkStart w:id="154" w:name="_Toc259692656"/>
      <w:bookmarkStart w:id="155" w:name="_Toc255975016"/>
      <w:bookmarkStart w:id="156" w:name="_Toc259520874"/>
      <w:bookmarkStart w:id="157" w:name="_Toc259692749"/>
      <w:bookmarkStart w:id="158" w:name="_Toc266868679"/>
      <w:bookmarkStart w:id="159" w:name="_Toc266868943"/>
      <w:bookmarkStart w:id="160" w:name="_Toc235438352"/>
      <w:bookmarkStart w:id="161" w:name="_Toc235438281"/>
      <w:bookmarkStart w:id="162" w:name="_Toc266870839"/>
      <w:bookmarkStart w:id="163" w:name="_Toc266870916"/>
      <w:bookmarkStart w:id="164" w:name="_Toc232302122"/>
      <w:bookmarkStart w:id="165" w:name="_Toc235437998"/>
      <w:bookmarkStart w:id="166" w:name="_Toc203355738"/>
      <w:bookmarkStart w:id="167" w:name="_Toc160880165"/>
      <w:bookmarkStart w:id="168" w:name="_Toc169332843"/>
      <w:bookmarkStart w:id="169" w:name="_Toc267059544"/>
      <w:bookmarkStart w:id="170" w:name="_Toc192996343"/>
      <w:bookmarkStart w:id="171" w:name="_Toc182372787"/>
      <w:bookmarkStart w:id="172" w:name="_Toc182805222"/>
      <w:bookmarkStart w:id="173" w:name="_Toc267059186"/>
      <w:bookmarkStart w:id="174" w:name="_Toc180302918"/>
      <w:bookmarkStart w:id="175" w:name="_Toc191783227"/>
      <w:bookmarkStart w:id="176" w:name="_Toc267059658"/>
      <w:bookmarkStart w:id="177" w:name="_Toc213755864"/>
      <w:bookmarkStart w:id="178" w:name="_Toc254790909"/>
      <w:bookmarkStart w:id="179" w:name="_Toc169332954"/>
      <w:bookmarkStart w:id="180" w:name="_Toc251613839"/>
      <w:bookmarkStart w:id="181" w:name="_Toc181436570"/>
    </w:p>
    <w:p>
      <w:pP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54790910"/>
      <w:bookmarkStart w:id="183" w:name="_Toc266870917"/>
      <w:bookmarkStart w:id="184" w:name="_Toc251586242"/>
      <w:bookmarkStart w:id="185" w:name="_Toc253066625"/>
      <w:bookmarkStart w:id="186" w:name="_Toc230071154"/>
      <w:bookmarkStart w:id="187" w:name="_Toc219800250"/>
      <w:bookmarkStart w:id="188" w:name="_Toc266870442"/>
      <w:bookmarkStart w:id="189" w:name="_Toc259692750"/>
      <w:bookmarkStart w:id="190" w:name="_Toc227058537"/>
      <w:bookmarkStart w:id="191" w:name="_Toc255975017"/>
      <w:bookmarkStart w:id="192" w:name="_Toc251613840"/>
      <w:bookmarkStart w:id="193" w:name="_Toc235438282"/>
      <w:bookmarkStart w:id="194" w:name="_Toc267060217"/>
      <w:bookmarkStart w:id="195" w:name="_Toc232302123"/>
      <w:bookmarkStart w:id="196" w:name="_Toc223146615"/>
      <w:bookmarkStart w:id="197" w:name="_Toc217891409"/>
      <w:bookmarkStart w:id="198" w:name="_Toc235438353"/>
      <w:bookmarkStart w:id="199" w:name="_Toc259520875"/>
      <w:bookmarkStart w:id="200" w:name="_Toc267060077"/>
      <w:bookmarkStart w:id="201" w:name="_Toc235437999"/>
      <w:bookmarkStart w:id="202" w:name="_Toc213756058"/>
      <w:bookmarkStart w:id="203" w:name="_Toc258401266"/>
      <w:bookmarkStart w:id="204" w:name="_Toc259692657"/>
      <w:bookmarkStart w:id="205" w:name="_Toc267060462"/>
      <w:bookmarkStart w:id="206" w:name="_Toc266868680"/>
      <w:bookmarkStart w:id="207" w:name="_Toc236021458"/>
      <w:bookmarkStart w:id="208" w:name="_Toc249325721"/>
      <w:bookmarkStart w:id="209" w:name="_Toc225669329"/>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color w:val="000000" w:themeColor="text1"/>
          <w:sz w:val="28"/>
          <w:szCs w:val="28"/>
        </w:rPr>
        <w:t>济南大学泉城学院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（项目编号）公开竞价邀请，本签字人愿意参加本次报价，提供公开竞价文件中规定的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1．本签字人确认资格文件中的说明以及公开竞价文件中所有提交的文件和材料是真实的、准确的。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000000" w:themeColor="text1"/>
          <w:sz w:val="28"/>
          <w:szCs w:val="28"/>
        </w:rPr>
        <w:t>正本1份，副本1份</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59692751"/>
      <w:bookmarkStart w:id="212" w:name="_Toc235438354"/>
      <w:bookmarkStart w:id="213" w:name="_Toc249325722"/>
      <w:bookmarkStart w:id="214" w:name="_Toc266870918"/>
      <w:bookmarkStart w:id="215" w:name="_Toc251613841"/>
      <w:bookmarkStart w:id="216" w:name="_Toc253066626"/>
      <w:bookmarkStart w:id="217" w:name="_Toc213756059"/>
      <w:bookmarkStart w:id="218" w:name="_Toc235438283"/>
      <w:bookmarkStart w:id="219" w:name="_Toc251586243"/>
      <w:bookmarkStart w:id="220" w:name="_Toc266870443"/>
      <w:bookmarkStart w:id="221" w:name="_Toc223146616"/>
      <w:bookmarkStart w:id="222" w:name="_Toc254790911"/>
      <w:bookmarkStart w:id="223" w:name="_Toc259520876"/>
      <w:bookmarkStart w:id="224" w:name="_Toc266868681"/>
      <w:bookmarkStart w:id="225" w:name="_Toc235438000"/>
      <w:bookmarkStart w:id="226" w:name="_Toc232302124"/>
      <w:bookmarkStart w:id="227" w:name="_Toc255975018"/>
      <w:bookmarkStart w:id="228" w:name="_Toc236021459"/>
      <w:bookmarkStart w:id="229" w:name="_Toc219800251"/>
      <w:bookmarkStart w:id="230" w:name="_Toc217891410"/>
      <w:bookmarkStart w:id="231" w:name="_Toc258401267"/>
      <w:bookmarkStart w:id="232" w:name="_Toc225669330"/>
      <w:bookmarkStart w:id="233" w:name="_Toc227058538"/>
      <w:bookmarkStart w:id="234" w:name="_Toc230071155"/>
      <w:bookmarkStart w:id="235" w:name="_Toc259692658"/>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color w:val="000000" w:themeColor="text1"/>
          <w:sz w:val="28"/>
          <w:szCs w:val="28"/>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outlineLvl w:val="2"/>
        <w:rPr>
          <w:rFonts w:ascii="仿宋" w:hAnsi="仿宋" w:eastAsia="仿宋"/>
          <w:b/>
          <w:sz w:val="28"/>
          <w:szCs w:val="28"/>
        </w:rPr>
      </w:pPr>
    </w:p>
    <w:sectPr>
      <w:headerReference r:id="rId14" w:type="first"/>
      <w:headerReference r:id="rId13" w:type="default"/>
      <w:footerReference r:id="rId15" w:type="default"/>
      <w:pgSz w:w="11906" w:h="16838"/>
      <w:pgMar w:top="1276" w:right="1418" w:bottom="284" w:left="1134" w:header="851" w:footer="992" w:gutter="0"/>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0424"/>
    </w:sdtPr>
    <w:sdtContent>
      <w:sdt>
        <w:sdtPr>
          <w:id w:val="9410425"/>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8737"/>
    </w:sdtPr>
    <w:sdtContent>
      <w:sdt>
        <w:sdtPr>
          <w:id w:val="4588738"/>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3BA5"/>
    <w:rsid w:val="0000490C"/>
    <w:rsid w:val="00013043"/>
    <w:rsid w:val="0004648B"/>
    <w:rsid w:val="0004687F"/>
    <w:rsid w:val="000569E1"/>
    <w:rsid w:val="00074B20"/>
    <w:rsid w:val="0008074F"/>
    <w:rsid w:val="000818B3"/>
    <w:rsid w:val="00082572"/>
    <w:rsid w:val="00091059"/>
    <w:rsid w:val="000934D4"/>
    <w:rsid w:val="000A6A08"/>
    <w:rsid w:val="000B002A"/>
    <w:rsid w:val="000B1699"/>
    <w:rsid w:val="000D2204"/>
    <w:rsid w:val="000D345A"/>
    <w:rsid w:val="000E25F0"/>
    <w:rsid w:val="000E45BF"/>
    <w:rsid w:val="000E7B5F"/>
    <w:rsid w:val="000F4F45"/>
    <w:rsid w:val="00103AE5"/>
    <w:rsid w:val="001269D6"/>
    <w:rsid w:val="001275DC"/>
    <w:rsid w:val="0013118F"/>
    <w:rsid w:val="001561E9"/>
    <w:rsid w:val="00176CD4"/>
    <w:rsid w:val="00180783"/>
    <w:rsid w:val="00182C6E"/>
    <w:rsid w:val="00191250"/>
    <w:rsid w:val="001914AE"/>
    <w:rsid w:val="001953F9"/>
    <w:rsid w:val="00195FA5"/>
    <w:rsid w:val="001A155D"/>
    <w:rsid w:val="001A5B43"/>
    <w:rsid w:val="001A7977"/>
    <w:rsid w:val="001B0696"/>
    <w:rsid w:val="001B719E"/>
    <w:rsid w:val="001C37B3"/>
    <w:rsid w:val="001C6943"/>
    <w:rsid w:val="001D7CC0"/>
    <w:rsid w:val="001F0159"/>
    <w:rsid w:val="001F78E2"/>
    <w:rsid w:val="002053A0"/>
    <w:rsid w:val="00215525"/>
    <w:rsid w:val="00222387"/>
    <w:rsid w:val="00235C32"/>
    <w:rsid w:val="00244E90"/>
    <w:rsid w:val="002772BB"/>
    <w:rsid w:val="00284DF8"/>
    <w:rsid w:val="002945BF"/>
    <w:rsid w:val="002C2C3D"/>
    <w:rsid w:val="002C4297"/>
    <w:rsid w:val="002F37E3"/>
    <w:rsid w:val="00302565"/>
    <w:rsid w:val="003117E2"/>
    <w:rsid w:val="00311AE3"/>
    <w:rsid w:val="00316AB1"/>
    <w:rsid w:val="00321C80"/>
    <w:rsid w:val="00332F8E"/>
    <w:rsid w:val="00334E6F"/>
    <w:rsid w:val="003570A0"/>
    <w:rsid w:val="0038289C"/>
    <w:rsid w:val="003A1E67"/>
    <w:rsid w:val="003A4FCC"/>
    <w:rsid w:val="003C001A"/>
    <w:rsid w:val="003C60EF"/>
    <w:rsid w:val="003E6439"/>
    <w:rsid w:val="003F20A6"/>
    <w:rsid w:val="00404FA2"/>
    <w:rsid w:val="004242F4"/>
    <w:rsid w:val="0043243C"/>
    <w:rsid w:val="00441955"/>
    <w:rsid w:val="00442D76"/>
    <w:rsid w:val="00452DD9"/>
    <w:rsid w:val="004801C2"/>
    <w:rsid w:val="00494EAE"/>
    <w:rsid w:val="004A4900"/>
    <w:rsid w:val="004A5567"/>
    <w:rsid w:val="004B0D26"/>
    <w:rsid w:val="004B66B1"/>
    <w:rsid w:val="004D15F1"/>
    <w:rsid w:val="004D5230"/>
    <w:rsid w:val="004E6948"/>
    <w:rsid w:val="004F0E68"/>
    <w:rsid w:val="004F7A57"/>
    <w:rsid w:val="00502F52"/>
    <w:rsid w:val="00545923"/>
    <w:rsid w:val="00546718"/>
    <w:rsid w:val="005623AD"/>
    <w:rsid w:val="00577496"/>
    <w:rsid w:val="00582530"/>
    <w:rsid w:val="005840EC"/>
    <w:rsid w:val="00586A04"/>
    <w:rsid w:val="00590957"/>
    <w:rsid w:val="005A5A4D"/>
    <w:rsid w:val="005E3A21"/>
    <w:rsid w:val="005F1FC8"/>
    <w:rsid w:val="005F38CE"/>
    <w:rsid w:val="005F4090"/>
    <w:rsid w:val="00630374"/>
    <w:rsid w:val="0063486F"/>
    <w:rsid w:val="00655DD8"/>
    <w:rsid w:val="00682DA3"/>
    <w:rsid w:val="006C2098"/>
    <w:rsid w:val="006F3C71"/>
    <w:rsid w:val="006F589F"/>
    <w:rsid w:val="006F5FBA"/>
    <w:rsid w:val="007006CE"/>
    <w:rsid w:val="00713F50"/>
    <w:rsid w:val="00720D5C"/>
    <w:rsid w:val="00733577"/>
    <w:rsid w:val="00733A77"/>
    <w:rsid w:val="007650F5"/>
    <w:rsid w:val="00770CF8"/>
    <w:rsid w:val="00786040"/>
    <w:rsid w:val="00792424"/>
    <w:rsid w:val="007B0F09"/>
    <w:rsid w:val="007B2319"/>
    <w:rsid w:val="007B4171"/>
    <w:rsid w:val="007B5B6F"/>
    <w:rsid w:val="007D57C1"/>
    <w:rsid w:val="007F2265"/>
    <w:rsid w:val="00801E36"/>
    <w:rsid w:val="00814D21"/>
    <w:rsid w:val="00817C6C"/>
    <w:rsid w:val="00820F76"/>
    <w:rsid w:val="00823C96"/>
    <w:rsid w:val="008274F1"/>
    <w:rsid w:val="0084128A"/>
    <w:rsid w:val="00851BCC"/>
    <w:rsid w:val="00865B30"/>
    <w:rsid w:val="00872F82"/>
    <w:rsid w:val="00874219"/>
    <w:rsid w:val="008902DC"/>
    <w:rsid w:val="008A1E33"/>
    <w:rsid w:val="008D791D"/>
    <w:rsid w:val="008D7F60"/>
    <w:rsid w:val="008E006D"/>
    <w:rsid w:val="008E3439"/>
    <w:rsid w:val="008F338F"/>
    <w:rsid w:val="008F5DEF"/>
    <w:rsid w:val="00916532"/>
    <w:rsid w:val="009201F5"/>
    <w:rsid w:val="00923C7E"/>
    <w:rsid w:val="00931B2F"/>
    <w:rsid w:val="00936704"/>
    <w:rsid w:val="0093789D"/>
    <w:rsid w:val="009606BC"/>
    <w:rsid w:val="00967E57"/>
    <w:rsid w:val="00986786"/>
    <w:rsid w:val="00994E59"/>
    <w:rsid w:val="009D0B56"/>
    <w:rsid w:val="009E6ECD"/>
    <w:rsid w:val="009E6FFD"/>
    <w:rsid w:val="009F29D2"/>
    <w:rsid w:val="00A01831"/>
    <w:rsid w:val="00A146A1"/>
    <w:rsid w:val="00A148CE"/>
    <w:rsid w:val="00A17256"/>
    <w:rsid w:val="00A24465"/>
    <w:rsid w:val="00A266F3"/>
    <w:rsid w:val="00A40610"/>
    <w:rsid w:val="00A4220E"/>
    <w:rsid w:val="00A44A63"/>
    <w:rsid w:val="00A46D0D"/>
    <w:rsid w:val="00A51E3E"/>
    <w:rsid w:val="00A64A5B"/>
    <w:rsid w:val="00A755A3"/>
    <w:rsid w:val="00A8187B"/>
    <w:rsid w:val="00A90ABE"/>
    <w:rsid w:val="00AB7979"/>
    <w:rsid w:val="00AC4F28"/>
    <w:rsid w:val="00AD29A3"/>
    <w:rsid w:val="00AF0253"/>
    <w:rsid w:val="00AF3C2A"/>
    <w:rsid w:val="00B14C37"/>
    <w:rsid w:val="00B342C8"/>
    <w:rsid w:val="00B54440"/>
    <w:rsid w:val="00B554E7"/>
    <w:rsid w:val="00B5633A"/>
    <w:rsid w:val="00B57454"/>
    <w:rsid w:val="00B64302"/>
    <w:rsid w:val="00B976F8"/>
    <w:rsid w:val="00BA1667"/>
    <w:rsid w:val="00BA69FA"/>
    <w:rsid w:val="00BD06A5"/>
    <w:rsid w:val="00BD49FB"/>
    <w:rsid w:val="00BD7232"/>
    <w:rsid w:val="00BE1921"/>
    <w:rsid w:val="00BE4701"/>
    <w:rsid w:val="00C035B5"/>
    <w:rsid w:val="00C07DD7"/>
    <w:rsid w:val="00C21D5F"/>
    <w:rsid w:val="00C26EE5"/>
    <w:rsid w:val="00C30302"/>
    <w:rsid w:val="00C45432"/>
    <w:rsid w:val="00C514D2"/>
    <w:rsid w:val="00C53DA9"/>
    <w:rsid w:val="00C57834"/>
    <w:rsid w:val="00C66E1E"/>
    <w:rsid w:val="00C676BA"/>
    <w:rsid w:val="00C72ACD"/>
    <w:rsid w:val="00C74705"/>
    <w:rsid w:val="00C81AB4"/>
    <w:rsid w:val="00C857BF"/>
    <w:rsid w:val="00CA07DE"/>
    <w:rsid w:val="00CA41E8"/>
    <w:rsid w:val="00CA5A2E"/>
    <w:rsid w:val="00CC2243"/>
    <w:rsid w:val="00CC30A0"/>
    <w:rsid w:val="00CD1FB9"/>
    <w:rsid w:val="00CE2ECD"/>
    <w:rsid w:val="00CF49FB"/>
    <w:rsid w:val="00CF4BD4"/>
    <w:rsid w:val="00CF5064"/>
    <w:rsid w:val="00D14D36"/>
    <w:rsid w:val="00D2102C"/>
    <w:rsid w:val="00D33699"/>
    <w:rsid w:val="00D36B85"/>
    <w:rsid w:val="00D36D52"/>
    <w:rsid w:val="00D56DEA"/>
    <w:rsid w:val="00D902E1"/>
    <w:rsid w:val="00DA714E"/>
    <w:rsid w:val="00DB49BE"/>
    <w:rsid w:val="00DC1C99"/>
    <w:rsid w:val="00DC7FE2"/>
    <w:rsid w:val="00E11567"/>
    <w:rsid w:val="00E1249E"/>
    <w:rsid w:val="00E148C7"/>
    <w:rsid w:val="00E3310A"/>
    <w:rsid w:val="00E33A4A"/>
    <w:rsid w:val="00E33B9E"/>
    <w:rsid w:val="00E33C1C"/>
    <w:rsid w:val="00E37EE3"/>
    <w:rsid w:val="00E565EB"/>
    <w:rsid w:val="00E64AD5"/>
    <w:rsid w:val="00E72ABB"/>
    <w:rsid w:val="00E95973"/>
    <w:rsid w:val="00EB7EE3"/>
    <w:rsid w:val="00ED11BF"/>
    <w:rsid w:val="00ED2437"/>
    <w:rsid w:val="00ED4415"/>
    <w:rsid w:val="00EE3803"/>
    <w:rsid w:val="00EF28E9"/>
    <w:rsid w:val="00F0149B"/>
    <w:rsid w:val="00F338F1"/>
    <w:rsid w:val="00F65297"/>
    <w:rsid w:val="00F83E76"/>
    <w:rsid w:val="00F843FA"/>
    <w:rsid w:val="00F8646A"/>
    <w:rsid w:val="00F876DE"/>
    <w:rsid w:val="00FC2158"/>
    <w:rsid w:val="00FE3787"/>
    <w:rsid w:val="00FF1750"/>
    <w:rsid w:val="00FF6D68"/>
    <w:rsid w:val="015626DB"/>
    <w:rsid w:val="116C2693"/>
    <w:rsid w:val="174561D8"/>
    <w:rsid w:val="187A572E"/>
    <w:rsid w:val="218B0DE1"/>
    <w:rsid w:val="29AC2DC9"/>
    <w:rsid w:val="2F074E46"/>
    <w:rsid w:val="4C812EBD"/>
    <w:rsid w:val="632B2499"/>
    <w:rsid w:val="6C902D04"/>
    <w:rsid w:val="70396339"/>
    <w:rsid w:val="71A20C67"/>
    <w:rsid w:val="77010359"/>
    <w:rsid w:val="7AF8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semiHidden/>
    <w:unhideWhenUsed/>
    <w:qFormat/>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6"/>
    <w:link w:val="43"/>
    <w:qFormat/>
    <w:uiPriority w:val="30"/>
    <w:rPr>
      <w:rFonts w:asciiTheme="majorHAnsi" w:hAnsiTheme="majorHAnsi" w:eastAsiaTheme="majorEastAsia" w:cstheme="majorBidi"/>
      <w:sz w:val="26"/>
      <w:szCs w:val="26"/>
    </w:rPr>
  </w:style>
  <w:style w:type="character" w:customStyle="1" w:styleId="45">
    <w:name w:val="不明显强调1"/>
    <w:basedOn w:val="26"/>
    <w:qFormat/>
    <w:uiPriority w:val="19"/>
    <w:rPr>
      <w:i/>
      <w:iCs/>
      <w:color w:val="auto"/>
    </w:rPr>
  </w:style>
  <w:style w:type="character" w:customStyle="1" w:styleId="46">
    <w:name w:val="明显强调1"/>
    <w:basedOn w:val="26"/>
    <w:qFormat/>
    <w:uiPriority w:val="21"/>
    <w:rPr>
      <w:b/>
      <w:bCs/>
      <w:i/>
      <w:iCs/>
      <w:color w:val="auto"/>
    </w:rPr>
  </w:style>
  <w:style w:type="character" w:customStyle="1" w:styleId="47">
    <w:name w:val="不明显参考1"/>
    <w:basedOn w:val="26"/>
    <w:qFormat/>
    <w:uiPriority w:val="31"/>
    <w:rPr>
      <w:smallCaps/>
      <w:color w:val="auto"/>
      <w:u w:val="single" w:color="7E7E7E" w:themeColor="text1" w:themeTint="80"/>
    </w:rPr>
  </w:style>
  <w:style w:type="character" w:customStyle="1" w:styleId="48">
    <w:name w:val="明显参考1"/>
    <w:basedOn w:val="26"/>
    <w:qFormat/>
    <w:uiPriority w:val="32"/>
    <w:rPr>
      <w:b/>
      <w:bCs/>
      <w:smallCaps/>
      <w:color w:val="auto"/>
      <w:u w:val="single"/>
    </w:rPr>
  </w:style>
  <w:style w:type="character" w:customStyle="1" w:styleId="49">
    <w:name w:val="书籍标题1"/>
    <w:basedOn w:val="26"/>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6"/>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6"/>
    <w:link w:val="18"/>
    <w:qFormat/>
    <w:uiPriority w:val="99"/>
    <w:rPr>
      <w:sz w:val="18"/>
      <w:szCs w:val="18"/>
    </w:rPr>
  </w:style>
  <w:style w:type="character" w:customStyle="1" w:styleId="54">
    <w:name w:val="页脚 Char"/>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Char"/>
    <w:basedOn w:val="26"/>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6"/>
    <w:link w:val="15"/>
    <w:semiHidden/>
    <w:qFormat/>
    <w:uiPriority w:val="99"/>
    <w:rPr>
      <w:rFonts w:hAnsi="Courier New" w:cs="Courier New" w:asciiTheme="minorEastAsia"/>
    </w:rPr>
  </w:style>
  <w:style w:type="character" w:customStyle="1" w:styleId="59">
    <w:name w:val="正文文本 Char"/>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Char"/>
    <w:basedOn w:val="26"/>
    <w:link w:val="16"/>
    <w:semiHidden/>
    <w:qFormat/>
    <w:uiPriority w:val="99"/>
    <w:rPr>
      <w:sz w:val="18"/>
      <w:szCs w:val="18"/>
    </w:rPr>
  </w:style>
  <w:style w:type="character" w:customStyle="1" w:styleId="6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C1A6F-3819-4640-901D-9032115983C9}">
  <ds:schemaRefs/>
</ds:datastoreItem>
</file>

<file path=docProps/app.xml><?xml version="1.0" encoding="utf-8"?>
<Properties xmlns="http://schemas.openxmlformats.org/officeDocument/2006/extended-properties" xmlns:vt="http://schemas.openxmlformats.org/officeDocument/2006/docPropsVTypes">
  <Template>Normal</Template>
  <Pages>10</Pages>
  <Words>509</Words>
  <Characters>2906</Characters>
  <Lines>24</Lines>
  <Paragraphs>6</Paragraphs>
  <TotalTime>1</TotalTime>
  <ScaleCrop>false</ScaleCrop>
  <LinksUpToDate>false</LinksUpToDate>
  <CharactersWithSpaces>3409</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2021-08-16T02:12:00Z</dcterms:created>
  <dc:creator>树亮 门</dc:creator>
  <cp:lastModifiedBy>il菓菓</cp:lastModifiedBy>
  <dcterms:modified xsi:type="dcterms:W3CDTF">2021-08-16T10:20:21Z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836EFBC7B0A94F828DCA54F796D7E64D</vt:lpwstr>
  </property>
</Properties>
</file>