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48"/>
          <w:szCs w:val="48"/>
        </w:rPr>
      </w:pPr>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1403985</wp:posOffset>
            </wp:positionH>
            <wp:positionV relativeFrom="paragraph">
              <wp:posOffset>523875</wp:posOffset>
            </wp:positionV>
            <wp:extent cx="2819400" cy="58864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19400" cy="588645"/>
                    </a:xfrm>
                    <a:prstGeom prst="rect">
                      <a:avLst/>
                    </a:prstGeom>
                    <a:noFill/>
                    <a:ln>
                      <a:noFill/>
                    </a:ln>
                  </pic:spPr>
                </pic:pic>
              </a:graphicData>
            </a:graphic>
          </wp:anchor>
        </w:drawing>
      </w:r>
    </w:p>
    <w:p>
      <w:pPr>
        <w:spacing w:line="1000" w:lineRule="exact"/>
        <w:rPr>
          <w:rFonts w:ascii="仿宋" w:hAnsi="仿宋" w:eastAsia="仿宋"/>
          <w:b/>
          <w:sz w:val="48"/>
          <w:szCs w:val="48"/>
        </w:rPr>
      </w:pPr>
    </w:p>
    <w:p>
      <w:pPr>
        <w:spacing w:line="800" w:lineRule="exact"/>
        <w:jc w:val="center"/>
        <w:rPr>
          <w:rFonts w:ascii="仿宋" w:hAnsi="仿宋" w:eastAsia="仿宋"/>
          <w:b/>
          <w:sz w:val="52"/>
          <w:szCs w:val="52"/>
        </w:rPr>
      </w:pPr>
      <w:r>
        <w:rPr>
          <w:rFonts w:hint="eastAsia" w:ascii="仿宋" w:hAnsi="仿宋" w:eastAsia="仿宋"/>
          <w:b/>
          <w:sz w:val="36"/>
          <w:szCs w:val="36"/>
        </w:rPr>
        <w:t>广东白云学院关于</w:t>
      </w:r>
      <w:bookmarkStart w:id="0" w:name="_Hlk64359213"/>
      <w:r>
        <w:rPr>
          <w:rFonts w:hint="eastAsia" w:ascii="仿宋" w:hAnsi="仿宋" w:eastAsia="仿宋"/>
          <w:b/>
          <w:sz w:val="36"/>
          <w:szCs w:val="36"/>
        </w:rPr>
        <w:t>北校区一期消防设备设施维护保养项目</w:t>
      </w:r>
      <w:bookmarkEnd w:id="0"/>
    </w:p>
    <w:p>
      <w:pPr>
        <w:spacing w:line="800" w:lineRule="exact"/>
        <w:jc w:val="center"/>
        <w:rPr>
          <w:rFonts w:hint="eastAsia" w:ascii="仿宋" w:hAnsi="仿宋" w:eastAsia="仿宋"/>
          <w:b/>
          <w:sz w:val="52"/>
          <w:szCs w:val="52"/>
        </w:rPr>
      </w:pPr>
    </w:p>
    <w:p>
      <w:pPr>
        <w:spacing w:line="800" w:lineRule="exact"/>
        <w:jc w:val="center"/>
        <w:rPr>
          <w:rFonts w:ascii="仿宋" w:hAnsi="仿宋" w:eastAsia="仿宋"/>
          <w:b/>
          <w:sz w:val="52"/>
          <w:szCs w:val="52"/>
        </w:rPr>
      </w:pPr>
      <w:r>
        <w:rPr>
          <w:rFonts w:hint="eastAsia" w:ascii="仿宋" w:hAnsi="仿宋" w:eastAsia="仿宋"/>
          <w:b/>
          <w:sz w:val="52"/>
          <w:szCs w:val="52"/>
        </w:rPr>
        <w:t>公</w:t>
      </w:r>
    </w:p>
    <w:p>
      <w:pPr>
        <w:spacing w:line="800" w:lineRule="exact"/>
        <w:jc w:val="center"/>
        <w:rPr>
          <w:rFonts w:ascii="仿宋" w:hAnsi="仿宋" w:eastAsia="仿宋"/>
          <w:b/>
          <w:sz w:val="52"/>
          <w:szCs w:val="52"/>
        </w:rPr>
      </w:pPr>
      <w:r>
        <w:rPr>
          <w:rFonts w:hint="eastAsia" w:ascii="仿宋" w:hAnsi="仿宋" w:eastAsia="仿宋"/>
          <w:b/>
          <w:sz w:val="52"/>
          <w:szCs w:val="52"/>
        </w:rPr>
        <w:t>开</w:t>
      </w:r>
    </w:p>
    <w:p>
      <w:pPr>
        <w:spacing w:line="800" w:lineRule="exact"/>
        <w:jc w:val="center"/>
        <w:rPr>
          <w:rFonts w:ascii="仿宋" w:hAnsi="仿宋" w:eastAsia="仿宋"/>
          <w:b/>
          <w:sz w:val="52"/>
          <w:szCs w:val="52"/>
        </w:rPr>
      </w:pPr>
      <w:r>
        <w:rPr>
          <w:rFonts w:hint="eastAsia" w:ascii="仿宋" w:hAnsi="仿宋" w:eastAsia="仿宋"/>
          <w:b/>
          <w:sz w:val="52"/>
          <w:szCs w:val="52"/>
        </w:rPr>
        <w:t>询</w:t>
      </w:r>
    </w:p>
    <w:p>
      <w:pPr>
        <w:spacing w:line="800" w:lineRule="exact"/>
        <w:jc w:val="center"/>
        <w:rPr>
          <w:rFonts w:ascii="仿宋" w:hAnsi="仿宋" w:eastAsia="仿宋"/>
          <w:b/>
          <w:sz w:val="52"/>
          <w:szCs w:val="52"/>
        </w:rPr>
      </w:pPr>
      <w:r>
        <w:rPr>
          <w:rFonts w:hint="eastAsia" w:ascii="仿宋" w:hAnsi="仿宋" w:eastAsia="仿宋"/>
          <w:b/>
          <w:sz w:val="52"/>
          <w:szCs w:val="52"/>
        </w:rPr>
        <w:t>价</w:t>
      </w:r>
    </w:p>
    <w:p>
      <w:pPr>
        <w:spacing w:line="800" w:lineRule="exact"/>
        <w:jc w:val="center"/>
        <w:rPr>
          <w:rFonts w:ascii="仿宋" w:hAnsi="仿宋" w:eastAsia="仿宋"/>
          <w:b/>
          <w:sz w:val="52"/>
          <w:szCs w:val="52"/>
        </w:rPr>
      </w:pPr>
      <w:r>
        <w:rPr>
          <w:rFonts w:hint="eastAsia" w:ascii="仿宋" w:hAnsi="仿宋" w:eastAsia="仿宋"/>
          <w:b/>
          <w:sz w:val="52"/>
          <w:szCs w:val="52"/>
        </w:rPr>
        <w:t>邀</w:t>
      </w:r>
    </w:p>
    <w:p>
      <w:pPr>
        <w:spacing w:line="800" w:lineRule="exact"/>
        <w:jc w:val="center"/>
        <w:rPr>
          <w:rFonts w:ascii="仿宋" w:hAnsi="仿宋" w:eastAsia="仿宋"/>
          <w:b/>
          <w:sz w:val="52"/>
          <w:szCs w:val="52"/>
        </w:rPr>
      </w:pPr>
      <w:r>
        <w:rPr>
          <w:rFonts w:hint="eastAsia" w:ascii="仿宋" w:hAnsi="仿宋" w:eastAsia="仿宋"/>
          <w:b/>
          <w:sz w:val="52"/>
          <w:szCs w:val="52"/>
        </w:rPr>
        <w:t>请</w:t>
      </w:r>
    </w:p>
    <w:p>
      <w:pPr>
        <w:spacing w:line="800" w:lineRule="exact"/>
        <w:jc w:val="center"/>
        <w:rPr>
          <w:rFonts w:ascii="仿宋" w:hAnsi="仿宋" w:eastAsia="仿宋"/>
          <w:b/>
          <w:sz w:val="32"/>
          <w:szCs w:val="32"/>
        </w:rPr>
      </w:pPr>
      <w:r>
        <w:rPr>
          <w:rFonts w:hint="eastAsia" w:ascii="仿宋" w:hAnsi="仿宋" w:eastAsia="仿宋"/>
          <w:b/>
          <w:sz w:val="52"/>
          <w:szCs w:val="52"/>
        </w:rPr>
        <w:t>函</w:t>
      </w:r>
    </w:p>
    <w:p>
      <w:pPr>
        <w:spacing w:line="500" w:lineRule="exact"/>
        <w:ind w:firstLine="843" w:firstLineChars="300"/>
        <w:rPr>
          <w:rFonts w:ascii="仿宋" w:hAnsi="仿宋" w:eastAsia="仿宋"/>
          <w:b/>
          <w:sz w:val="28"/>
          <w:szCs w:val="28"/>
        </w:rPr>
      </w:pPr>
    </w:p>
    <w:p>
      <w:pPr>
        <w:spacing w:line="500" w:lineRule="exact"/>
        <w:ind w:firstLine="843" w:firstLineChars="300"/>
        <w:rPr>
          <w:rFonts w:ascii="仿宋" w:hAnsi="仿宋" w:eastAsia="仿宋"/>
          <w:b/>
          <w:sz w:val="28"/>
          <w:szCs w:val="28"/>
        </w:rPr>
      </w:pPr>
    </w:p>
    <w:p>
      <w:pPr>
        <w:spacing w:line="500" w:lineRule="exact"/>
        <w:ind w:firstLine="1813" w:firstLineChars="645"/>
        <w:rPr>
          <w:rFonts w:ascii="仿宋" w:hAnsi="仿宋" w:eastAsia="仿宋"/>
          <w:b/>
          <w:color w:val="000000" w:themeColor="text1"/>
          <w:sz w:val="28"/>
          <w:szCs w:val="28"/>
          <w14:textFill>
            <w14:solidFill>
              <w14:schemeClr w14:val="tx1"/>
            </w14:solidFill>
          </w14:textFill>
        </w:rPr>
      </w:pPr>
      <w:r>
        <w:rPr>
          <w:rFonts w:hint="eastAsia" w:ascii="仿宋" w:hAnsi="仿宋" w:eastAsia="仿宋"/>
          <w:b/>
          <w:sz w:val="28"/>
          <w:szCs w:val="28"/>
        </w:rPr>
        <w:t>项目编号：</w:t>
      </w:r>
      <w:bookmarkStart w:id="1" w:name="_Toc160880118"/>
      <w:bookmarkStart w:id="2" w:name="_Toc169332792"/>
      <w:bookmarkStart w:id="3" w:name="_Toc160880485"/>
      <w:r>
        <w:rPr>
          <w:rFonts w:hint="eastAsia" w:ascii="仿宋" w:hAnsi="仿宋" w:eastAsia="仿宋"/>
          <w:b/>
          <w:color w:val="000000" w:themeColor="text1"/>
          <w:sz w:val="28"/>
          <w:szCs w:val="28"/>
          <w14:textFill>
            <w14:solidFill>
              <w14:schemeClr w14:val="tx1"/>
            </w14:solidFill>
          </w14:textFill>
        </w:rPr>
        <w:t>A20210809</w:t>
      </w:r>
    </w:p>
    <w:p>
      <w:pPr>
        <w:spacing w:line="500" w:lineRule="exact"/>
        <w:ind w:firstLine="1813" w:firstLineChars="645"/>
        <w:rPr>
          <w:rFonts w:hint="eastAsia" w:ascii="仿宋" w:hAnsi="仿宋" w:eastAsia="仿宋"/>
          <w:b/>
          <w:color w:val="auto"/>
          <w:sz w:val="36"/>
          <w:szCs w:val="36"/>
        </w:rPr>
      </w:pPr>
      <w:r>
        <w:rPr>
          <w:rFonts w:hint="eastAsia" w:ascii="仿宋" w:hAnsi="仿宋" w:eastAsia="仿宋"/>
          <w:b/>
          <w:color w:val="000000" w:themeColor="text1"/>
          <w:sz w:val="28"/>
          <w:szCs w:val="28"/>
          <w14:textFill>
            <w14:solidFill>
              <w14:schemeClr w14:val="tx1"/>
            </w14:solidFill>
          </w14:textFill>
        </w:rPr>
        <w:t>项目名称</w:t>
      </w:r>
      <w:bookmarkEnd w:id="1"/>
      <w:bookmarkEnd w:id="2"/>
      <w:bookmarkEnd w:id="3"/>
      <w:r>
        <w:rPr>
          <w:rFonts w:hint="eastAsia" w:ascii="仿宋" w:hAnsi="仿宋" w:eastAsia="仿宋"/>
          <w:b/>
          <w:color w:val="000000" w:themeColor="text1"/>
          <w:sz w:val="28"/>
          <w:szCs w:val="28"/>
          <w14:textFill>
            <w14:solidFill>
              <w14:schemeClr w14:val="tx1"/>
            </w14:solidFill>
          </w14:textFill>
        </w:rPr>
        <w:t>：</w:t>
      </w:r>
      <w:bookmarkStart w:id="4" w:name="_Toc267059633"/>
      <w:bookmarkStart w:id="5" w:name="_Toc170798743"/>
      <w:bookmarkStart w:id="6" w:name="_Toc273178686"/>
      <w:bookmarkStart w:id="7" w:name="_Toc207014580"/>
      <w:bookmarkStart w:id="8" w:name="_Toc259692693"/>
      <w:bookmarkStart w:id="9" w:name="_Toc267059010"/>
      <w:bookmarkStart w:id="10" w:name="_Toc169332794"/>
      <w:bookmarkStart w:id="11" w:name="_Toc212454753"/>
      <w:bookmarkStart w:id="12" w:name="_Toc212530253"/>
      <w:bookmarkStart w:id="13" w:name="_Toc235437942"/>
      <w:bookmarkStart w:id="14" w:name="_Toc267060407"/>
      <w:bookmarkStart w:id="15" w:name="_Toc219800200"/>
      <w:bookmarkStart w:id="16" w:name="_Toc266868924"/>
      <w:bookmarkStart w:id="17" w:name="_Toc160880487"/>
      <w:bookmarkStart w:id="18" w:name="_Toc267059161"/>
      <w:bookmarkStart w:id="19" w:name="_Toc216241307"/>
      <w:bookmarkStart w:id="20" w:name="_Toc254790852"/>
      <w:bookmarkStart w:id="21" w:name="_Toc267060162"/>
      <w:bookmarkStart w:id="22" w:name="_Toc212526081"/>
      <w:bookmarkStart w:id="23" w:name="_Toc267060022"/>
      <w:bookmarkStart w:id="24" w:name="_Toc249325665"/>
      <w:bookmarkStart w:id="25" w:name="_Toc217891359"/>
      <w:bookmarkStart w:id="26" w:name="_Toc251586187"/>
      <w:bookmarkStart w:id="27" w:name="_Toc177985424"/>
      <w:bookmarkStart w:id="28" w:name="_Toc235438227"/>
      <w:bookmarkStart w:id="29" w:name="_Toc255974963"/>
      <w:bookmarkStart w:id="30" w:name="_Toc212456146"/>
      <w:bookmarkStart w:id="31" w:name="_Toc259520819"/>
      <w:bookmarkStart w:id="32" w:name="_Toc236021402"/>
      <w:bookmarkStart w:id="33" w:name="_Toc258401210"/>
      <w:bookmarkStart w:id="34" w:name="_Toc267059786"/>
      <w:bookmarkStart w:id="35" w:name="_Toc211937196"/>
      <w:bookmarkStart w:id="36" w:name="_Toc223146565"/>
      <w:bookmarkStart w:id="37" w:name="_Toc267059899"/>
      <w:bookmarkStart w:id="38" w:name="_Toc253066567"/>
      <w:bookmarkStart w:id="39" w:name="_Toc169332904"/>
      <w:bookmarkStart w:id="40" w:name="_Toc267059519"/>
      <w:bookmarkStart w:id="41" w:name="_Toc266868624"/>
      <w:bookmarkStart w:id="42" w:name="_Toc259692600"/>
      <w:bookmarkStart w:id="43" w:name="_Toc266870861"/>
      <w:bookmarkStart w:id="44" w:name="_Toc266870386"/>
      <w:bookmarkStart w:id="45" w:name="_Toc251613780"/>
      <w:bookmarkStart w:id="46" w:name="_Toc235438297"/>
      <w:bookmarkStart w:id="47" w:name="_Toc227058483"/>
      <w:bookmarkStart w:id="48" w:name="_Toc225669277"/>
      <w:r>
        <w:rPr>
          <w:rFonts w:hint="eastAsia" w:ascii="仿宋" w:hAnsi="仿宋" w:eastAsia="仿宋"/>
          <w:b/>
          <w:color w:val="000000" w:themeColor="text1"/>
          <w:sz w:val="28"/>
          <w:szCs w:val="28"/>
          <w14:textFill>
            <w14:solidFill>
              <w14:schemeClr w14:val="tx1"/>
            </w14:solidFill>
          </w14:textFill>
        </w:rPr>
        <w:t>北校区一期消防设备设施维护保养项目</w:t>
      </w:r>
      <w:bookmarkStart w:id="428" w:name="_GoBack"/>
      <w:bookmarkEnd w:id="428"/>
    </w:p>
    <w:p>
      <w:pPr>
        <w:pStyle w:val="61"/>
        <w:spacing w:line="360" w:lineRule="auto"/>
        <w:jc w:val="center"/>
        <w:outlineLvl w:val="0"/>
        <w:rPr>
          <w:rFonts w:ascii="仿宋" w:hAnsi="仿宋" w:eastAsia="仿宋"/>
          <w:b/>
          <w:color w:val="auto"/>
          <w:sz w:val="36"/>
          <w:szCs w:val="36"/>
        </w:rPr>
      </w:pPr>
      <w:r>
        <w:rPr>
          <w:rFonts w:hint="eastAsia" w:ascii="仿宋" w:hAnsi="仿宋" w:eastAsia="仿宋"/>
          <w:b/>
          <w:color w:val="auto"/>
          <w:sz w:val="36"/>
          <w:szCs w:val="36"/>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36"/>
          <w:szCs w:val="36"/>
        </w:rPr>
        <w:t>函</w:t>
      </w:r>
    </w:p>
    <w:p>
      <w:pPr>
        <w:spacing w:line="480" w:lineRule="exact"/>
        <w:ind w:firstLine="700" w:firstLineChars="250"/>
        <w:rPr>
          <w:rFonts w:ascii="仿宋" w:hAnsi="仿宋" w:eastAsia="仿宋"/>
          <w:color w:val="000000"/>
          <w:sz w:val="28"/>
          <w:szCs w:val="28"/>
        </w:rPr>
      </w:pPr>
      <w:bookmarkStart w:id="49" w:name="_Hlk10840310"/>
      <w:r>
        <w:rPr>
          <w:rFonts w:ascii="仿宋" w:hAnsi="仿宋" w:eastAsia="仿宋"/>
          <w:color w:val="000000"/>
          <w:sz w:val="28"/>
          <w:szCs w:val="28"/>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w:t>
      </w:r>
      <w:r>
        <w:rPr>
          <w:rFonts w:hint="eastAsia" w:ascii="仿宋" w:hAnsi="仿宋" w:eastAsia="仿宋"/>
          <w:color w:val="000000"/>
          <w:sz w:val="28"/>
          <w:szCs w:val="28"/>
        </w:rPr>
        <w:t>。根据需要，对广东白云学院北校区一期消防设备设施维护保养项目进行公开询价，欢迎国内合格参与人参与。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color w:val="000000" w:themeColor="text1"/>
          <w:sz w:val="28"/>
          <w:szCs w:val="28"/>
          <w14:textFill>
            <w14:solidFill>
              <w14:schemeClr w14:val="tx1"/>
            </w14:solidFill>
          </w14:textFill>
        </w:rPr>
        <w:t>A20210809</w:t>
      </w:r>
    </w:p>
    <w:p>
      <w:pPr>
        <w:widowControl w:val="0"/>
        <w:numPr>
          <w:ilvl w:val="1"/>
          <w:numId w:val="1"/>
        </w:numPr>
        <w:spacing w:after="0" w:line="500" w:lineRule="exac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项目名称：广东白云学院北校区一期消防设备设施维护保养</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数量及主要技术要求:详见《公开询价需求一览表》。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r>
        <w:rPr>
          <w:rFonts w:ascii="仿宋" w:hAnsi="仿宋" w:eastAsia="仿宋"/>
          <w:sz w:val="28"/>
          <w:szCs w:val="28"/>
        </w:rPr>
        <w:t xml:space="preserve"> </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w:t>
      </w:r>
      <w:r>
        <w:rPr>
          <w:rFonts w:hint="eastAsia" w:ascii="仿宋" w:hAnsi="仿宋" w:eastAsia="仿宋"/>
          <w:sz w:val="28"/>
          <w:szCs w:val="28"/>
        </w:rPr>
        <w:t>具有独立承担民事责任能力的服务商或授权代理商</w:t>
      </w:r>
      <w:r>
        <w:rPr>
          <w:rFonts w:hint="eastAsia" w:ascii="仿宋" w:hAnsi="仿宋" w:eastAsia="仿宋"/>
          <w:color w:val="000000" w:themeColor="text1"/>
          <w:sz w:val="28"/>
          <w:szCs w:val="28"/>
          <w14:textFill>
            <w14:solidFill>
              <w14:schemeClr w14:val="tx1"/>
            </w14:solidFill>
          </w14:textFill>
        </w:rPr>
        <w:t>。</w:t>
      </w:r>
    </w:p>
    <w:p>
      <w:pPr>
        <w:widowControl w:val="0"/>
        <w:spacing w:after="0" w:line="500" w:lineRule="exact"/>
        <w:ind w:left="420" w:firstLine="280" w:firstLineChars="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（2）参与人应具</w:t>
      </w:r>
      <w:r>
        <w:rPr>
          <w:rFonts w:ascii="仿宋" w:hAnsi="仿宋" w:eastAsia="仿宋"/>
          <w:color w:val="000000" w:themeColor="text1"/>
          <w:sz w:val="28"/>
          <w:szCs w:val="28"/>
          <w14:textFill>
            <w14:solidFill>
              <w14:schemeClr w14:val="tx1"/>
            </w14:solidFill>
          </w14:textFill>
        </w:rPr>
        <w:t>有</w:t>
      </w:r>
      <w:r>
        <w:rPr>
          <w:rFonts w:hint="eastAsia" w:ascii="仿宋" w:hAnsi="仿宋" w:eastAsia="仿宋"/>
          <w:color w:val="000000" w:themeColor="text1"/>
          <w:sz w:val="28"/>
          <w:szCs w:val="28"/>
          <w14:textFill>
            <w14:solidFill>
              <w14:schemeClr w14:val="tx1"/>
            </w14:solidFill>
          </w14:textFill>
        </w:rPr>
        <w:t>提供消防设施维护保养的资格及能力。</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（4）参与人具有三年以上（包括三年）三个以上同类项目销售和良好的售后服务应用成功案例。</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（6）参与人有依法缴纳税金和社会保障资金的良好记录。在经营活动中没有重大违法记录。</w:t>
      </w:r>
    </w:p>
    <w:p>
      <w:pPr>
        <w:widowControl w:val="0"/>
        <w:tabs>
          <w:tab w:val="left" w:pos="839"/>
          <w:tab w:val="left" w:pos="1469"/>
        </w:tabs>
        <w:spacing w:after="0" w:line="500" w:lineRule="exact"/>
        <w:ind w:firstLine="420" w:firstLineChars="150"/>
        <w:jc w:val="left"/>
        <w:rPr>
          <w:rFonts w:ascii="仿宋" w:hAnsi="仿宋" w:eastAsia="仿宋"/>
          <w:sz w:val="28"/>
          <w:szCs w:val="28"/>
          <w:shd w:val="clear" w:color="auto" w:fill="FFFFFF"/>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报价响应文件递交方式：密封报价送达或邮寄。</w:t>
      </w:r>
    </w:p>
    <w:p>
      <w:pPr>
        <w:widowControl w:val="0"/>
        <w:tabs>
          <w:tab w:val="left" w:pos="839"/>
          <w:tab w:val="left" w:pos="1469"/>
        </w:tabs>
        <w:spacing w:after="0" w:line="500" w:lineRule="exact"/>
        <w:ind w:left="842" w:leftChars="192" w:hanging="420" w:hangingChars="150"/>
        <w:rPr>
          <w:rFonts w:ascii="仿宋" w:hAnsi="仿宋" w:eastAsia="仿宋"/>
          <w:sz w:val="28"/>
          <w:szCs w:val="28"/>
          <w:shd w:val="clear" w:color="auto" w:fill="FFFFFF"/>
        </w:rPr>
      </w:pPr>
      <w:r>
        <w:rPr>
          <w:rFonts w:hint="eastAsia" w:ascii="仿宋" w:hAnsi="仿宋" w:eastAsia="仿宋"/>
          <w:sz w:val="28"/>
          <w:szCs w:val="28"/>
        </w:rPr>
        <w:t>6. 报价响应文件递交截止时间</w:t>
      </w:r>
      <w:r>
        <w:rPr>
          <w:rFonts w:hint="eastAsia" w:ascii="仿宋" w:hAnsi="仿宋" w:eastAsia="仿宋"/>
          <w:sz w:val="28"/>
          <w:szCs w:val="28"/>
          <w:shd w:val="clear" w:color="auto" w:fill="FFFFFF"/>
        </w:rPr>
        <w:t>：</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年08</w:t>
      </w:r>
      <w:r>
        <w:rPr>
          <w:rFonts w:ascii="仿宋" w:hAnsi="仿宋" w:eastAsia="仿宋"/>
          <w:sz w:val="28"/>
          <w:szCs w:val="28"/>
        </w:rPr>
        <w:t>月</w:t>
      </w:r>
      <w:r>
        <w:rPr>
          <w:rFonts w:hint="eastAsia" w:ascii="仿宋" w:hAnsi="仿宋" w:eastAsia="仿宋"/>
          <w:sz w:val="28"/>
          <w:szCs w:val="28"/>
        </w:rPr>
        <w:t>23</w:t>
      </w:r>
      <w:r>
        <w:rPr>
          <w:rFonts w:ascii="仿宋" w:hAnsi="仿宋" w:eastAsia="仿宋"/>
          <w:sz w:val="28"/>
          <w:szCs w:val="28"/>
        </w:rPr>
        <w:t>日</w:t>
      </w:r>
      <w:r>
        <w:rPr>
          <w:rFonts w:hint="eastAsia" w:ascii="仿宋" w:hAnsi="仿宋" w:eastAsia="仿宋"/>
          <w:sz w:val="28"/>
          <w:szCs w:val="28"/>
        </w:rPr>
        <w:t>下午16:00点前</w:t>
      </w:r>
      <w:r>
        <w:rPr>
          <w:rFonts w:hint="eastAsia" w:ascii="仿宋" w:hAnsi="仿宋" w:eastAsia="仿宋"/>
          <w:sz w:val="28"/>
          <w:szCs w:val="28"/>
          <w:shd w:val="clear" w:color="auto" w:fill="FFFFFF"/>
        </w:rPr>
        <w:t>（以参与人快递寄出时间为准）。</w:t>
      </w:r>
    </w:p>
    <w:p>
      <w:pPr>
        <w:spacing w:after="0" w:line="500" w:lineRule="exact"/>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7. 报价响应文件递交地点：</w:t>
      </w:r>
      <w:r>
        <w:rPr>
          <w:rFonts w:hint="eastAsia" w:ascii="仿宋" w:hAnsi="仿宋" w:eastAsia="仿宋"/>
          <w:color w:val="000000" w:themeColor="text1"/>
          <w:sz w:val="28"/>
          <w:szCs w:val="28"/>
          <w14:textFill>
            <w14:solidFill>
              <w14:schemeClr w14:val="tx1"/>
            </w14:solidFill>
          </w14:textFill>
        </w:rPr>
        <w:t>广州市白云区钟落潭镇九佛西路280号。</w:t>
      </w:r>
    </w:p>
    <w:p>
      <w:pPr>
        <w:spacing w:after="0" w:line="500" w:lineRule="exact"/>
        <w:ind w:left="838" w:leftChars="381"/>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 xml:space="preserve">联系人：黄灿俞，电话：13826471351；                  </w:t>
      </w:r>
    </w:p>
    <w:p>
      <w:pPr>
        <w:spacing w:after="0" w:line="480" w:lineRule="exact"/>
        <w:ind w:left="839" w:leftChars="254" w:hanging="280" w:hangingChars="100"/>
        <w:rPr>
          <w:rFonts w:ascii="仿宋" w:hAnsi="仿宋" w:eastAsia="仿宋"/>
          <w:sz w:val="28"/>
          <w:szCs w:val="28"/>
        </w:rPr>
      </w:pPr>
      <w:r>
        <w:rPr>
          <w:rFonts w:hint="eastAsia" w:ascii="仿宋" w:hAnsi="仿宋" w:eastAsia="仿宋"/>
          <w:sz w:val="28"/>
          <w:szCs w:val="28"/>
        </w:rPr>
        <w:t>8.本项目最终成交结果会在中教集团后勤贤知平台“中标信息公示”板块公示，网址：</w:t>
      </w:r>
      <w:r>
        <w:fldChar w:fldCharType="begin"/>
      </w:r>
      <w:r>
        <w:instrText xml:space="preserve"> HYPERLINK "http://www.ceghqxz.com" </w:instrText>
      </w:r>
      <w:r>
        <w:fldChar w:fldCharType="separate"/>
      </w:r>
      <w:r>
        <w:rPr>
          <w:rFonts w:hint="eastAsia" w:ascii="仿宋" w:hAnsi="仿宋" w:eastAsia="仿宋"/>
          <w:sz w:val="28"/>
          <w:szCs w:val="28"/>
        </w:rPr>
        <w:t>www.ceghqxz.com</w:t>
      </w:r>
      <w:r>
        <w:rPr>
          <w:rFonts w:hint="eastAsia" w:ascii="仿宋" w:hAnsi="仿宋" w:eastAsia="仿宋"/>
          <w:sz w:val="28"/>
          <w:szCs w:val="28"/>
        </w:rPr>
        <w:fldChar w:fldCharType="end"/>
      </w:r>
      <w:r>
        <w:rPr>
          <w:rFonts w:hint="eastAsia" w:ascii="仿宋" w:hAnsi="仿宋" w:eastAsia="仿宋"/>
          <w:sz w:val="28"/>
          <w:szCs w:val="28"/>
        </w:rPr>
        <w:t>。本项目监督投诉部门：中教集团内控部；投诉电话： 0791-88102608。投诉邮箱：Neikongbu@educationgroup.cn</w:t>
      </w:r>
    </w:p>
    <w:p>
      <w:pPr>
        <w:spacing w:after="0" w:line="480" w:lineRule="exact"/>
        <w:ind w:firstLine="420" w:firstLineChars="150"/>
        <w:rPr>
          <w:rFonts w:ascii="仿宋" w:hAnsi="仿宋" w:eastAsia="仿宋"/>
          <w:sz w:val="28"/>
          <w:szCs w:val="28"/>
        </w:rPr>
      </w:pPr>
      <w:r>
        <w:rPr>
          <w:rFonts w:hint="eastAsia" w:ascii="仿宋" w:hAnsi="仿宋" w:eastAsia="仿宋"/>
          <w:sz w:val="28"/>
          <w:szCs w:val="28"/>
        </w:rPr>
        <w:t>二、参与人须知</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三、确定成交参与人标准及原则</w:t>
      </w:r>
    </w:p>
    <w:p>
      <w:pPr>
        <w:widowControl w:val="0"/>
        <w:spacing w:after="0" w:line="48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所投项目符合消防维护需求和服务要求,经过磋商所报价格为合理价格的参与人为成交参与人，最低报价不作为成交的保证。</w:t>
      </w:r>
    </w:p>
    <w:p>
      <w:pPr>
        <w:spacing w:after="0" w:line="480" w:lineRule="exact"/>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rPr>
          <w:rFonts w:ascii="仿宋" w:hAnsi="仿宋" w:eastAsia="仿宋"/>
          <w:b/>
          <w:sz w:val="36"/>
          <w:szCs w:val="36"/>
        </w:rPr>
      </w:pPr>
    </w:p>
    <w:p>
      <w:pPr>
        <w:widowControl w:val="0"/>
        <w:spacing w:after="0" w:line="480" w:lineRule="exact"/>
        <w:ind w:left="426"/>
        <w:jc w:val="center"/>
        <w:rPr>
          <w:b/>
          <w:bCs/>
          <w:sz w:val="40"/>
          <w:szCs w:val="40"/>
        </w:rPr>
      </w:pPr>
    </w:p>
    <w:p>
      <w:pPr>
        <w:widowControl w:val="0"/>
        <w:spacing w:after="0" w:line="480" w:lineRule="exact"/>
        <w:jc w:val="center"/>
        <w:rPr>
          <w:b/>
          <w:bCs/>
          <w:sz w:val="40"/>
          <w:szCs w:val="40"/>
        </w:rPr>
      </w:pPr>
    </w:p>
    <w:p>
      <w:pPr>
        <w:widowControl w:val="0"/>
        <w:spacing w:after="0" w:line="480" w:lineRule="exact"/>
        <w:jc w:val="center"/>
        <w:rPr>
          <w:b/>
          <w:bCs/>
          <w:sz w:val="40"/>
          <w:szCs w:val="40"/>
        </w:rPr>
      </w:pPr>
      <w:r>
        <w:rPr>
          <w:rFonts w:hint="eastAsia"/>
          <w:b/>
          <w:bCs/>
          <w:sz w:val="40"/>
          <w:szCs w:val="40"/>
        </w:rPr>
        <w:t>二、公开询价一览表</w:t>
      </w:r>
    </w:p>
    <w:tbl>
      <w:tblPr>
        <w:tblStyle w:val="25"/>
        <w:tblW w:w="9639" w:type="dxa"/>
        <w:tblInd w:w="250" w:type="dxa"/>
        <w:tblLayout w:type="fixed"/>
        <w:tblCellMar>
          <w:top w:w="0" w:type="dxa"/>
          <w:left w:w="108" w:type="dxa"/>
          <w:bottom w:w="0" w:type="dxa"/>
          <w:right w:w="108" w:type="dxa"/>
        </w:tblCellMar>
      </w:tblPr>
      <w:tblGrid>
        <w:gridCol w:w="2552"/>
        <w:gridCol w:w="1984"/>
        <w:gridCol w:w="2693"/>
        <w:gridCol w:w="2410"/>
      </w:tblGrid>
      <w:tr>
        <w:tblPrEx>
          <w:tblCellMar>
            <w:top w:w="0" w:type="dxa"/>
            <w:left w:w="108" w:type="dxa"/>
            <w:bottom w:w="0" w:type="dxa"/>
            <w:right w:w="108" w:type="dxa"/>
          </w:tblCellMar>
        </w:tblPrEx>
        <w:trPr>
          <w:trHeight w:val="637" w:hRule="atLeast"/>
        </w:trPr>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学校名称</w:t>
            </w:r>
          </w:p>
        </w:tc>
        <w:tc>
          <w:tcPr>
            <w:tcW w:w="198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firstLine="360" w:firstLineChars="150"/>
              <w:rPr>
                <w:rFonts w:ascii="仿宋" w:hAnsi="仿宋" w:eastAsia="仿宋" w:cs="宋体"/>
                <w:sz w:val="24"/>
                <w:szCs w:val="24"/>
              </w:rPr>
            </w:pPr>
            <w:r>
              <w:rPr>
                <w:rFonts w:hint="eastAsia" w:ascii="仿宋" w:hAnsi="仿宋" w:eastAsia="仿宋" w:cs="宋体"/>
                <w:sz w:val="24"/>
                <w:szCs w:val="24"/>
              </w:rPr>
              <w:t>项目名称</w:t>
            </w:r>
          </w:p>
        </w:tc>
        <w:tc>
          <w:tcPr>
            <w:tcW w:w="2693"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本项目总包干</w:t>
            </w:r>
          </w:p>
          <w:p>
            <w:pPr>
              <w:spacing w:after="0" w:line="240" w:lineRule="auto"/>
              <w:jc w:val="center"/>
              <w:rPr>
                <w:rFonts w:ascii="仿宋" w:hAnsi="仿宋" w:eastAsia="仿宋" w:cs="宋体"/>
                <w:sz w:val="24"/>
                <w:szCs w:val="24"/>
              </w:rPr>
            </w:pPr>
            <w:r>
              <w:rPr>
                <w:rFonts w:hint="eastAsia" w:ascii="仿宋" w:hAnsi="仿宋" w:eastAsia="仿宋" w:cs="宋体"/>
                <w:sz w:val="24"/>
                <w:szCs w:val="24"/>
              </w:rPr>
              <w:t>总价（元）</w:t>
            </w:r>
          </w:p>
        </w:tc>
        <w:tc>
          <w:tcPr>
            <w:tcW w:w="2410"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备注</w:t>
            </w:r>
          </w:p>
        </w:tc>
      </w:tr>
      <w:tr>
        <w:tblPrEx>
          <w:tblCellMar>
            <w:top w:w="0" w:type="dxa"/>
            <w:left w:w="108" w:type="dxa"/>
            <w:bottom w:w="0" w:type="dxa"/>
            <w:right w:w="108" w:type="dxa"/>
          </w:tblCellMar>
        </w:tblPrEx>
        <w:trPr>
          <w:trHeight w:val="1000" w:hRule="atLeast"/>
        </w:trPr>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广东白云学院</w:t>
            </w:r>
          </w:p>
          <w:p>
            <w:pPr>
              <w:spacing w:after="0" w:line="240" w:lineRule="auto"/>
              <w:jc w:val="center"/>
              <w:rPr>
                <w:rFonts w:ascii="仿宋" w:hAnsi="仿宋" w:eastAsia="仿宋" w:cs="宋体"/>
                <w:sz w:val="24"/>
                <w:szCs w:val="24"/>
              </w:rPr>
            </w:pPr>
            <w:r>
              <w:rPr>
                <w:rFonts w:hint="eastAsia" w:ascii="仿宋" w:hAnsi="仿宋" w:eastAsia="仿宋" w:cs="宋体"/>
                <w:sz w:val="24"/>
                <w:szCs w:val="24"/>
              </w:rPr>
              <w:t>北校区</w:t>
            </w:r>
          </w:p>
        </w:tc>
        <w:tc>
          <w:tcPr>
            <w:tcW w:w="198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消防维</w:t>
            </w:r>
          </w:p>
          <w:p>
            <w:pPr>
              <w:spacing w:after="0" w:line="240" w:lineRule="auto"/>
              <w:jc w:val="center"/>
              <w:rPr>
                <w:rFonts w:ascii="仿宋" w:hAnsi="仿宋" w:eastAsia="仿宋" w:cs="宋体"/>
                <w:sz w:val="28"/>
                <w:szCs w:val="28"/>
              </w:rPr>
            </w:pPr>
            <w:r>
              <w:rPr>
                <w:rFonts w:hint="eastAsia" w:ascii="仿宋" w:hAnsi="仿宋" w:eastAsia="仿宋" w:cs="宋体"/>
                <w:sz w:val="24"/>
                <w:szCs w:val="24"/>
              </w:rPr>
              <w:t>护保养</w:t>
            </w:r>
          </w:p>
        </w:tc>
        <w:tc>
          <w:tcPr>
            <w:tcW w:w="2693"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8"/>
                <w:szCs w:val="28"/>
              </w:rPr>
            </w:pPr>
          </w:p>
        </w:tc>
        <w:tc>
          <w:tcPr>
            <w:tcW w:w="2410"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维护一年。具体消防维保需求内容见附件</w:t>
            </w:r>
          </w:p>
        </w:tc>
      </w:tr>
    </w:tbl>
    <w:p>
      <w:pPr>
        <w:widowControl w:val="0"/>
        <w:spacing w:after="0" w:line="480" w:lineRule="exact"/>
        <w:ind w:firstLine="2923" w:firstLineChars="1040"/>
        <w:jc w:val="left"/>
        <w:rPr>
          <w:rFonts w:ascii="仿宋" w:hAnsi="仿宋" w:eastAsia="仿宋"/>
          <w:b/>
          <w:bCs/>
          <w:sz w:val="28"/>
          <w:szCs w:val="28"/>
        </w:rPr>
      </w:pPr>
      <w:r>
        <w:rPr>
          <w:rFonts w:hint="eastAsia" w:ascii="仿宋" w:hAnsi="仿宋" w:eastAsia="仿宋"/>
          <w:b/>
          <w:bCs/>
          <w:sz w:val="28"/>
          <w:szCs w:val="28"/>
        </w:rPr>
        <w:t>附件：具体消防维保需求内容</w:t>
      </w:r>
    </w:p>
    <w:p>
      <w:pPr>
        <w:widowControl w:val="0"/>
        <w:spacing w:after="0" w:line="480" w:lineRule="exact"/>
        <w:ind w:firstLine="472" w:firstLineChars="196"/>
        <w:jc w:val="left"/>
        <w:rPr>
          <w:rFonts w:ascii="仿宋" w:hAnsi="仿宋" w:eastAsia="仿宋"/>
          <w:b/>
          <w:bCs/>
          <w:sz w:val="24"/>
          <w:szCs w:val="24"/>
        </w:rPr>
      </w:pPr>
      <w:r>
        <w:rPr>
          <w:rFonts w:hint="eastAsia" w:ascii="仿宋" w:hAnsi="仿宋" w:eastAsia="仿宋"/>
          <w:b/>
          <w:bCs/>
          <w:sz w:val="24"/>
          <w:szCs w:val="24"/>
        </w:rPr>
        <w:t>一、</w:t>
      </w:r>
      <w:r>
        <w:rPr>
          <w:rFonts w:ascii="仿宋" w:hAnsi="仿宋" w:eastAsia="仿宋"/>
          <w:b/>
          <w:bCs/>
          <w:sz w:val="24"/>
          <w:szCs w:val="24"/>
        </w:rPr>
        <w:t>消防维护保养范围和内容</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(一) 范围</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1.白云楼消防系统:</w:t>
      </w:r>
      <w:r>
        <w:rPr>
          <w:rFonts w:hint="eastAsia" w:ascii="仿宋" w:hAnsi="仿宋" w:eastAsia="仿宋"/>
          <w:sz w:val="24"/>
          <w:szCs w:val="24"/>
        </w:rPr>
        <w:t>①</w:t>
      </w:r>
      <w:r>
        <w:rPr>
          <w:rFonts w:ascii="仿宋" w:hAnsi="仿宋" w:eastAsia="仿宋"/>
          <w:sz w:val="24"/>
          <w:szCs w:val="24"/>
        </w:rPr>
        <w:t>消防自动报警系统;</w:t>
      </w:r>
      <w:r>
        <w:rPr>
          <w:rFonts w:hint="eastAsia" w:ascii="仿宋" w:hAnsi="仿宋" w:eastAsia="仿宋"/>
          <w:sz w:val="24"/>
          <w:szCs w:val="24"/>
        </w:rPr>
        <w:t>②</w:t>
      </w:r>
      <w:r>
        <w:rPr>
          <w:rFonts w:ascii="仿宋" w:hAnsi="仿宋" w:eastAsia="仿宋"/>
          <w:sz w:val="24"/>
          <w:szCs w:val="24"/>
        </w:rPr>
        <w:t>消防栓系统;</w:t>
      </w:r>
      <w:r>
        <w:rPr>
          <w:rFonts w:hint="eastAsia" w:ascii="仿宋" w:hAnsi="仿宋" w:eastAsia="仿宋"/>
          <w:sz w:val="24"/>
          <w:szCs w:val="24"/>
        </w:rPr>
        <w:t>③</w:t>
      </w:r>
      <w:r>
        <w:rPr>
          <w:rFonts w:ascii="仿宋" w:hAnsi="仿宋" w:eastAsia="仿宋"/>
          <w:sz w:val="24"/>
          <w:szCs w:val="24"/>
        </w:rPr>
        <w:t>自动喷淋系统;</w:t>
      </w:r>
      <w:r>
        <w:rPr>
          <w:rFonts w:hint="eastAsia" w:ascii="仿宋" w:hAnsi="仿宋" w:eastAsia="仿宋"/>
          <w:sz w:val="24"/>
          <w:szCs w:val="24"/>
        </w:rPr>
        <w:t>④</w:t>
      </w:r>
      <w:r>
        <w:rPr>
          <w:rFonts w:ascii="仿宋" w:hAnsi="仿宋" w:eastAsia="仿宋"/>
          <w:sz w:val="24"/>
          <w:szCs w:val="24"/>
        </w:rPr>
        <w:t>气体灭火系统</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2.教学区(明德楼、博艺楼、致用楼、科创楼)、宿舍楼(学思楼)、体育馆、饭堂、电房等共6大栋楼宇的消防栓系统、消防自动报警系统、气体灭火系统，</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3.一期建筑面积共 30 万平方米。</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(二)维护保养项目要求及计划</w:t>
      </w:r>
    </w:p>
    <w:p>
      <w:pPr>
        <w:widowControl w:val="0"/>
        <w:spacing w:after="0" w:line="480" w:lineRule="exact"/>
        <w:ind w:left="426"/>
        <w:jc w:val="center"/>
        <w:rPr>
          <w:rFonts w:ascii="仿宋" w:hAnsi="仿宋" w:eastAsia="仿宋"/>
          <w:b/>
          <w:bCs/>
          <w:sz w:val="24"/>
          <w:szCs w:val="24"/>
        </w:rPr>
      </w:pPr>
      <w:r>
        <w:rPr>
          <w:rFonts w:ascii="仿宋" w:hAnsi="仿宋" w:eastAsia="仿宋"/>
          <w:b/>
          <w:bCs/>
          <w:sz w:val="24"/>
          <w:szCs w:val="24"/>
        </w:rPr>
        <w:t>消防自动报警系统</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1.定期检查火灾报警控制器的功能，并填写系统运行和控制器检查登记表。</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2.每月对消防中心的设备进行清洁、吸尘，接线端子紧固。</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3.每月检查系统传输、消防联动控制、消防通信和警报线路，发现故障及时维修。</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4.每季度试验火灾警报装置的声光显示。</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5.每月对备用电源后备电池进行充放电试验;1-3次主电源和消防系统的备用电源后备电池自动切换试验。</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6.每季度用自动及手动检查下列消防控制设备的控制显示功能:室内消防栓系统、自动喷水灭火系统的控制设备，气体自动灭火系统的控制设备，火灾事故照明灯及疏散指示标志灯，电池连续供电时间是否达到要求。</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7.每月检查所有的控制开关及指示灯。</w:t>
      </w:r>
    </w:p>
    <w:p>
      <w:pPr>
        <w:widowControl w:val="0"/>
        <w:spacing w:after="0" w:line="480" w:lineRule="exact"/>
        <w:ind w:left="426"/>
        <w:jc w:val="center"/>
        <w:rPr>
          <w:rFonts w:ascii="仿宋" w:hAnsi="仿宋" w:eastAsia="仿宋"/>
          <w:b/>
          <w:bCs/>
          <w:sz w:val="24"/>
          <w:szCs w:val="24"/>
        </w:rPr>
      </w:pPr>
      <w:r>
        <w:rPr>
          <w:rFonts w:ascii="仿宋" w:hAnsi="仿宋" w:eastAsia="仿宋"/>
          <w:b/>
          <w:bCs/>
          <w:sz w:val="24"/>
          <w:szCs w:val="24"/>
        </w:rPr>
        <w:t>消火栓系统</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8.每月清洁各消火栓箱及检查配件是否齐全完好，并包括检查室内消火栓和消防卷盘供水闸阀是否渗漏，，破玻按钮玻璃是否完好。</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9</w:t>
      </w:r>
      <w:r>
        <w:rPr>
          <w:rFonts w:hint="eastAsia" w:ascii="仿宋" w:hAnsi="仿宋" w:eastAsia="仿宋"/>
          <w:sz w:val="24"/>
          <w:szCs w:val="24"/>
        </w:rPr>
        <w:t>.</w:t>
      </w:r>
      <w:r>
        <w:rPr>
          <w:rFonts w:ascii="仿宋" w:hAnsi="仿宋" w:eastAsia="仿宋"/>
          <w:sz w:val="24"/>
          <w:szCs w:val="24"/>
        </w:rPr>
        <w:t>每月检查个阀门是否处于正常工作状态，是否完好不渗漏，系统上所有的控制阀门均应采用铅封或锁链固定在开启或规定的状态。</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10.每月检查消防水泵结合器的接口及附件，并应保证接口完好，无渗漏、门盖齐全。</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11.消防水池、消防水箱及消防气压给水设备每月检查一次，对其消防储备水危机保证消防用水不作他用的措施进行检查，发现故障，及时进行处理。</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12.各类泵组每月分别以自动/手动状态启动运转一次，检查流量读数、运行频率、运行电流情况。</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13.每月检查各控制柜到消防中心信号是否正常，及控制消防水泵、恒压泵各功能是否正常。</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14.每月检查各控制柜内部电路，测试其功能是否正常。</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15.每月检查测试报警系统，试验破玻按钮，警铃是否有动作信号，指示灯是否亮，消防水泵是否有启动信号，消防中心是否有指示，上、下两层是否同时动作。确保破玻按钮、指示灯及控制线路功能正常、无故障。</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16，每月对天面消防栓进行水压试验，启动消防栓泵，检查水枪的充实水柱是否达到消防规范要求，并于报告中表达测试结果是否达标。</w:t>
      </w:r>
    </w:p>
    <w:p>
      <w:pPr>
        <w:widowControl w:val="0"/>
        <w:spacing w:after="0" w:line="480" w:lineRule="exact"/>
        <w:ind w:left="426"/>
        <w:jc w:val="center"/>
        <w:rPr>
          <w:rFonts w:ascii="仿宋" w:hAnsi="仿宋" w:eastAsia="仿宋"/>
          <w:b/>
          <w:bCs/>
          <w:sz w:val="24"/>
          <w:szCs w:val="24"/>
        </w:rPr>
      </w:pPr>
      <w:r>
        <w:rPr>
          <w:rFonts w:ascii="仿宋" w:hAnsi="仿宋" w:eastAsia="仿宋"/>
          <w:b/>
          <w:bCs/>
          <w:sz w:val="24"/>
          <w:szCs w:val="24"/>
        </w:rPr>
        <w:t>自动喷淋系统</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17.每月对喷头进行一次外观检查，当发现不正常的喷头应及时更换，当喷头上有异物时应及时清除，更换或安装喷头均应使用专用扳手。</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18.每月检查各阀门是否处于正常工作状态，是否完好不渗涌，系统上所有的控制阀门，均应采用铅封或锁链固定在开启或规定的状态，每月应对铅封、锁链进行一次检查，当有破坏或损坏时应及时修理更换。</w:t>
      </w:r>
    </w:p>
    <w:p>
      <w:pPr>
        <w:widowControl w:val="0"/>
        <w:spacing w:after="0" w:line="480" w:lineRule="exact"/>
        <w:ind w:left="426"/>
        <w:jc w:val="center"/>
        <w:rPr>
          <w:rFonts w:ascii="仿宋" w:hAnsi="仿宋" w:eastAsia="仿宋"/>
          <w:b/>
          <w:bCs/>
          <w:sz w:val="24"/>
          <w:szCs w:val="24"/>
        </w:rPr>
      </w:pPr>
      <w:r>
        <w:rPr>
          <w:rFonts w:ascii="仿宋" w:hAnsi="仿宋" w:eastAsia="仿宋"/>
          <w:b/>
          <w:bCs/>
          <w:sz w:val="24"/>
          <w:szCs w:val="24"/>
        </w:rPr>
        <w:t>气体灭火系统</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19.每月对气体灭火系统的瓶组、选择闵、液体单向阀、高压软管、集流管、启动瓶组、管网和喷嘴等系统组建进行外观检查，系统组件硬物碰撞变形及其他机械性损伤，表明应无锈蚀，保护涂层应完好，名牌应清晰，手动操作装置的保险销、铅封和安全标志应完整。</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20.每月检查灭火剂储存容器内的压力，当经温度校正后小于设计储存压力的90%时，应及时检修、补充。</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21.每月检查气体驱动装置的气动源的压力，当经温度校正后小于设计储存压力的90%时，应及时检修、补充。</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22.每月检查气体灭火控制器的功能，并填写系统运行和控制器月检登记表。</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23.每季度采用专用检测仪器分期分批试验防护区内探测器和声光报警器等外围部件的动作。</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24，每季度检查试验手动和自动放气装置是否正常。</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25.每半年对气体灭火系统防护区的开口情况、防护区的用途及可燃物的种类、数量、分布情况进行检查，应符合原设计规定。</w:t>
      </w:r>
    </w:p>
    <w:p>
      <w:pPr>
        <w:widowControl w:val="0"/>
        <w:spacing w:after="0" w:line="480" w:lineRule="exact"/>
        <w:ind w:left="426"/>
        <w:jc w:val="left"/>
        <w:rPr>
          <w:rFonts w:ascii="仿宋" w:hAnsi="仿宋" w:eastAsia="仿宋"/>
          <w:sz w:val="24"/>
          <w:szCs w:val="24"/>
        </w:rPr>
      </w:pPr>
      <w:r>
        <w:rPr>
          <w:rFonts w:ascii="仿宋" w:hAnsi="仿宋" w:eastAsia="仿宋"/>
          <w:sz w:val="24"/>
          <w:szCs w:val="24"/>
        </w:rPr>
        <w:t>26.每半年对气体灭火系统的储瓶间设备、灭火剂输送管道和支、吊架的固定进行检查，应无松动。</w:t>
      </w:r>
    </w:p>
    <w:p>
      <w:pPr>
        <w:widowControl w:val="0"/>
        <w:spacing w:after="0" w:line="480" w:lineRule="exact"/>
        <w:ind w:left="426"/>
        <w:jc w:val="left"/>
        <w:rPr>
          <w:rFonts w:ascii="仿宋" w:hAnsi="仿宋" w:eastAsia="仿宋"/>
          <w:sz w:val="28"/>
          <w:szCs w:val="28"/>
        </w:rPr>
      </w:pP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 xml:space="preserve"> </w:t>
      </w:r>
    </w:p>
    <w:p>
      <w:pPr>
        <w:spacing w:line="240" w:lineRule="auto"/>
        <w:rPr>
          <w:rFonts w:ascii="仿宋" w:hAnsi="仿宋" w:eastAsia="仿宋"/>
          <w:b/>
          <w:sz w:val="36"/>
          <w:szCs w:val="36"/>
        </w:rPr>
      </w:pPr>
    </w:p>
    <w:bookmarkEnd w:id="49"/>
    <w:p>
      <w:pPr>
        <w:spacing w:line="1000" w:lineRule="exact"/>
        <w:rPr>
          <w:rFonts w:ascii="仿宋" w:hAnsi="仿宋" w:eastAsia="仿宋"/>
          <w:b/>
          <w:sz w:val="44"/>
          <w:szCs w:val="44"/>
        </w:rPr>
      </w:pPr>
    </w:p>
    <w:p>
      <w:pPr>
        <w:spacing w:line="1000" w:lineRule="exact"/>
        <w:rPr>
          <w:rFonts w:ascii="仿宋" w:hAnsi="仿宋" w:eastAsia="仿宋"/>
          <w:b/>
          <w:sz w:val="44"/>
          <w:szCs w:val="44"/>
        </w:rPr>
      </w:pPr>
    </w:p>
    <w:p>
      <w:pPr>
        <w:spacing w:line="1000" w:lineRule="exact"/>
        <w:rPr>
          <w:rFonts w:ascii="仿宋" w:hAnsi="仿宋" w:eastAsia="仿宋"/>
          <w:b/>
          <w:sz w:val="44"/>
          <w:szCs w:val="44"/>
        </w:rPr>
      </w:pPr>
    </w:p>
    <w:p>
      <w:pPr>
        <w:spacing w:line="1000" w:lineRule="exact"/>
        <w:rPr>
          <w:rFonts w:ascii="仿宋" w:hAnsi="仿宋" w:eastAsia="仿宋"/>
          <w:b/>
          <w:sz w:val="44"/>
          <w:szCs w:val="44"/>
        </w:rPr>
      </w:pPr>
    </w:p>
    <w:p>
      <w:pPr>
        <w:spacing w:line="1000" w:lineRule="exact"/>
        <w:rPr>
          <w:rFonts w:ascii="仿宋" w:hAnsi="仿宋" w:eastAsia="仿宋"/>
          <w:b/>
          <w:sz w:val="44"/>
          <w:szCs w:val="44"/>
        </w:rPr>
      </w:pPr>
    </w:p>
    <w:p>
      <w:pPr>
        <w:spacing w:line="1000" w:lineRule="exact"/>
        <w:rPr>
          <w:rFonts w:ascii="仿宋" w:hAnsi="仿宋" w:eastAsia="仿宋"/>
          <w:b/>
          <w:sz w:val="44"/>
          <w:szCs w:val="44"/>
        </w:rPr>
      </w:pPr>
    </w:p>
    <w:p>
      <w:pPr>
        <w:spacing w:line="1000" w:lineRule="exact"/>
        <w:rPr>
          <w:rFonts w:ascii="仿宋" w:hAnsi="仿宋" w:eastAsia="仿宋"/>
          <w:b/>
          <w:sz w:val="44"/>
          <w:szCs w:val="44"/>
        </w:rPr>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1604010</wp:posOffset>
            </wp:positionH>
            <wp:positionV relativeFrom="paragraph">
              <wp:posOffset>489585</wp:posOffset>
            </wp:positionV>
            <wp:extent cx="2743200" cy="5727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43200" cy="572770"/>
                    </a:xfrm>
                    <a:prstGeom prst="rect">
                      <a:avLst/>
                    </a:prstGeom>
                    <a:noFill/>
                    <a:ln>
                      <a:noFill/>
                    </a:ln>
                  </pic:spPr>
                </pic:pic>
              </a:graphicData>
            </a:graphic>
          </wp:anchor>
        </w:drawing>
      </w:r>
    </w:p>
    <w:p>
      <w:pPr>
        <w:spacing w:line="1000" w:lineRule="exact"/>
        <w:rPr>
          <w:rFonts w:ascii="仿宋" w:hAnsi="仿宋" w:eastAsia="仿宋"/>
          <w:b/>
          <w:sz w:val="40"/>
          <w:szCs w:val="40"/>
        </w:rPr>
      </w:pPr>
    </w:p>
    <w:p>
      <w:pPr>
        <w:spacing w:line="740" w:lineRule="exact"/>
        <w:jc w:val="center"/>
        <w:rPr>
          <w:rFonts w:ascii="仿宋" w:hAnsi="仿宋" w:eastAsia="仿宋"/>
          <w:b/>
          <w:sz w:val="36"/>
          <w:szCs w:val="36"/>
        </w:rPr>
      </w:pPr>
      <w:r>
        <w:rPr>
          <w:rFonts w:hint="eastAsia" w:ascii="仿宋" w:hAnsi="仿宋" w:eastAsia="仿宋"/>
          <w:b/>
          <w:sz w:val="36"/>
          <w:szCs w:val="36"/>
        </w:rPr>
        <w:t>广东白云学院关于北校区一期消防设备设施维护保养项目</w:t>
      </w:r>
    </w:p>
    <w:p>
      <w:pPr>
        <w:spacing w:line="640" w:lineRule="exact"/>
        <w:jc w:val="center"/>
        <w:rPr>
          <w:rFonts w:ascii="仿宋" w:hAnsi="仿宋" w:eastAsia="仿宋"/>
          <w:b/>
          <w:sz w:val="52"/>
          <w:szCs w:val="52"/>
        </w:rPr>
      </w:pPr>
    </w:p>
    <w:p>
      <w:pPr>
        <w:spacing w:line="640" w:lineRule="exact"/>
        <w:jc w:val="center"/>
        <w:rPr>
          <w:rFonts w:ascii="仿宋" w:hAnsi="仿宋" w:eastAsia="仿宋"/>
          <w:b/>
          <w:sz w:val="52"/>
          <w:szCs w:val="52"/>
        </w:rPr>
      </w:pPr>
      <w:r>
        <w:rPr>
          <w:rFonts w:hint="eastAsia" w:ascii="仿宋" w:hAnsi="仿宋" w:eastAsia="仿宋"/>
          <w:b/>
          <w:sz w:val="52"/>
          <w:szCs w:val="52"/>
        </w:rPr>
        <w:t>报</w:t>
      </w:r>
    </w:p>
    <w:p>
      <w:pPr>
        <w:spacing w:line="640" w:lineRule="exact"/>
        <w:jc w:val="center"/>
        <w:rPr>
          <w:rFonts w:ascii="仿宋" w:hAnsi="仿宋" w:eastAsia="仿宋"/>
          <w:b/>
          <w:sz w:val="52"/>
          <w:szCs w:val="52"/>
        </w:rPr>
      </w:pPr>
      <w:r>
        <w:rPr>
          <w:rFonts w:hint="eastAsia" w:ascii="仿宋" w:hAnsi="仿宋" w:eastAsia="仿宋"/>
          <w:b/>
          <w:sz w:val="52"/>
          <w:szCs w:val="52"/>
        </w:rPr>
        <w:t>价</w:t>
      </w:r>
    </w:p>
    <w:p>
      <w:pPr>
        <w:spacing w:line="640" w:lineRule="exact"/>
        <w:jc w:val="center"/>
        <w:rPr>
          <w:rFonts w:ascii="仿宋" w:hAnsi="仿宋" w:eastAsia="仿宋"/>
          <w:b/>
          <w:sz w:val="52"/>
          <w:szCs w:val="52"/>
        </w:rPr>
      </w:pPr>
      <w:r>
        <w:rPr>
          <w:rFonts w:hint="eastAsia" w:ascii="仿宋" w:hAnsi="仿宋" w:eastAsia="仿宋"/>
          <w:b/>
          <w:sz w:val="52"/>
          <w:szCs w:val="52"/>
        </w:rPr>
        <w:t>响</w:t>
      </w:r>
    </w:p>
    <w:p>
      <w:pPr>
        <w:spacing w:line="640" w:lineRule="exact"/>
        <w:jc w:val="center"/>
        <w:rPr>
          <w:rFonts w:ascii="仿宋" w:hAnsi="仿宋" w:eastAsia="仿宋"/>
          <w:b/>
          <w:sz w:val="52"/>
          <w:szCs w:val="52"/>
        </w:rPr>
      </w:pPr>
      <w:r>
        <w:rPr>
          <w:rFonts w:hint="eastAsia" w:ascii="仿宋" w:hAnsi="仿宋" w:eastAsia="仿宋"/>
          <w:b/>
          <w:sz w:val="52"/>
          <w:szCs w:val="52"/>
        </w:rPr>
        <w:t>应</w:t>
      </w:r>
    </w:p>
    <w:p>
      <w:pPr>
        <w:spacing w:line="640" w:lineRule="exact"/>
        <w:jc w:val="center"/>
        <w:rPr>
          <w:rFonts w:ascii="仿宋" w:hAnsi="仿宋" w:eastAsia="仿宋"/>
          <w:b/>
          <w:sz w:val="52"/>
          <w:szCs w:val="52"/>
        </w:rPr>
      </w:pPr>
      <w:r>
        <w:rPr>
          <w:rFonts w:hint="eastAsia" w:ascii="仿宋" w:hAnsi="仿宋" w:eastAsia="仿宋"/>
          <w:b/>
          <w:sz w:val="52"/>
          <w:szCs w:val="52"/>
        </w:rPr>
        <w:t>文</w:t>
      </w:r>
    </w:p>
    <w:p>
      <w:pPr>
        <w:spacing w:line="64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rPr>
          <w:rFonts w:ascii="仿宋" w:hAnsi="仿宋" w:eastAsia="仿宋"/>
          <w:b/>
          <w:bCs/>
          <w:sz w:val="30"/>
          <w:szCs w:val="30"/>
        </w:rPr>
      </w:pPr>
    </w:p>
    <w:p>
      <w:pPr>
        <w:jc w:val="center"/>
        <w:rPr>
          <w:rFonts w:ascii="仿宋" w:hAnsi="仿宋" w:eastAsia="仿宋"/>
          <w:b/>
          <w:bCs/>
          <w:sz w:val="30"/>
          <w:szCs w:val="30"/>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ind w:firstLine="3907" w:firstLineChars="1390"/>
        <w:outlineLvl w:val="1"/>
        <w:rPr>
          <w:rFonts w:ascii="仿宋" w:hAnsi="仿宋" w:eastAsia="仿宋"/>
          <w:b/>
          <w:bCs/>
          <w:sz w:val="28"/>
          <w:szCs w:val="28"/>
        </w:rPr>
      </w:pPr>
      <w:bookmarkStart w:id="50" w:name="_Toc217891402"/>
      <w:bookmarkStart w:id="51" w:name="_Toc181436565"/>
      <w:bookmarkStart w:id="52" w:name="_Toc192996446"/>
      <w:bookmarkStart w:id="53" w:name="_Toc182372782"/>
      <w:bookmarkStart w:id="54" w:name="_Toc169332949"/>
      <w:bookmarkStart w:id="55" w:name="_Toc225669322"/>
      <w:bookmarkStart w:id="56" w:name="_Toc235437991"/>
      <w:bookmarkStart w:id="57" w:name="_Toc192664153"/>
      <w:bookmarkStart w:id="58" w:name="_Toc266870833"/>
      <w:bookmarkStart w:id="59" w:name="_Toc266870432"/>
      <w:bookmarkStart w:id="60" w:name="_Toc236021449"/>
      <w:bookmarkStart w:id="61" w:name="_Toc251586231"/>
      <w:bookmarkStart w:id="62" w:name="_Toc273178698"/>
      <w:bookmarkStart w:id="63" w:name="_Toc191789329"/>
      <w:bookmarkStart w:id="64" w:name="_Toc266868670"/>
      <w:bookmarkStart w:id="65" w:name="_Toc169332838"/>
      <w:bookmarkStart w:id="66" w:name="_Toc259692647"/>
      <w:bookmarkStart w:id="67" w:name="_Toc267059919"/>
      <w:bookmarkStart w:id="68" w:name="_Toc193160448"/>
      <w:bookmarkStart w:id="69" w:name="_Toc160880529"/>
      <w:bookmarkStart w:id="70" w:name="_Toc267059030"/>
      <w:bookmarkStart w:id="71" w:name="_Toc203355733"/>
      <w:bookmarkStart w:id="72" w:name="_Toc213755939"/>
      <w:bookmarkStart w:id="73" w:name="_Toc259692740"/>
      <w:bookmarkStart w:id="74" w:name="_Toc267060453"/>
      <w:bookmarkStart w:id="75" w:name="_Toc232302115"/>
      <w:bookmarkStart w:id="76" w:name="_Toc267060068"/>
      <w:bookmarkStart w:id="77" w:name="_Toc213208766"/>
      <w:bookmarkStart w:id="78" w:name="_Toc191803626"/>
      <w:bookmarkStart w:id="79" w:name="_Toc160880160"/>
      <w:bookmarkStart w:id="80" w:name="_Toc191783222"/>
      <w:bookmarkStart w:id="81" w:name="_Toc251613829"/>
      <w:bookmarkStart w:id="82" w:name="_Toc235438274"/>
      <w:bookmarkStart w:id="83" w:name="_Toc258401256"/>
      <w:bookmarkStart w:id="84" w:name="_Toc249325711"/>
      <w:bookmarkStart w:id="85" w:name="_Toc213756051"/>
      <w:bookmarkStart w:id="86" w:name="_Toc227058530"/>
      <w:bookmarkStart w:id="87" w:name="_Toc267059653"/>
      <w:bookmarkStart w:id="88" w:name="_Toc267059806"/>
      <w:bookmarkStart w:id="89" w:name="_Toc266870907"/>
      <w:bookmarkStart w:id="90" w:name="_Toc255975007"/>
      <w:bookmarkStart w:id="91" w:name="_Toc267060208"/>
      <w:bookmarkStart w:id="92" w:name="_Toc193165734"/>
      <w:bookmarkStart w:id="93" w:name="_Toc177985469"/>
      <w:bookmarkStart w:id="94" w:name="_Toc223146608"/>
      <w:bookmarkStart w:id="95" w:name="_Toc267060321"/>
      <w:bookmarkStart w:id="96" w:name="_Toc219800243"/>
      <w:bookmarkStart w:id="97" w:name="_Toc211917116"/>
      <w:bookmarkStart w:id="98" w:name="_Toc213755858"/>
      <w:bookmarkStart w:id="99" w:name="_Toc266868937"/>
      <w:bookmarkStart w:id="100" w:name="_Toc192663835"/>
      <w:bookmarkStart w:id="101" w:name="_Toc253066614"/>
      <w:bookmarkStart w:id="102" w:name="_Toc182805217"/>
      <w:bookmarkStart w:id="103" w:name="_Toc192996338"/>
      <w:bookmarkStart w:id="104" w:name="_Toc230071147"/>
      <w:bookmarkStart w:id="105" w:name="_Toc235438344"/>
      <w:bookmarkStart w:id="106" w:name="_Toc192663686"/>
      <w:bookmarkStart w:id="107" w:name="_Toc213755995"/>
      <w:bookmarkStart w:id="108" w:name="_Toc267059181"/>
      <w:bookmarkStart w:id="109" w:name="_Toc267059539"/>
      <w:bookmarkStart w:id="110" w:name="_Toc170798793"/>
      <w:bookmarkStart w:id="111" w:name="_Toc191802690"/>
      <w:bookmarkStart w:id="112" w:name="_Toc254790899"/>
      <w:bookmarkStart w:id="113" w:name="_Toc181436461"/>
      <w:bookmarkStart w:id="114" w:name="_Toc259520865"/>
      <w:bookmarkStart w:id="115" w:name="_Toc180302913"/>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致：广东白云学院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提交下述文件正本一份和副本一份。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(1) 报价一览表</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63"/>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p>
    <w:p>
      <w:pPr>
        <w:ind w:firstLine="3767" w:firstLineChars="1340"/>
        <w:outlineLvl w:val="1"/>
        <w:rPr>
          <w:rFonts w:ascii="仿宋" w:hAnsi="仿宋" w:eastAsia="仿宋"/>
          <w:b/>
          <w:bCs/>
          <w:sz w:val="28"/>
          <w:szCs w:val="28"/>
        </w:rPr>
      </w:pPr>
      <w:bookmarkStart w:id="116" w:name="_Toc211937240"/>
      <w:bookmarkStart w:id="117" w:name="_Toc213660611"/>
      <w:bookmarkStart w:id="118" w:name="_Toc234571614"/>
      <w:bookmarkStart w:id="119" w:name="_Toc223419697"/>
      <w:bookmarkStart w:id="120" w:name="_Toc212366409"/>
      <w:bookmarkStart w:id="121" w:name="_Toc229194189"/>
      <w:bookmarkStart w:id="122" w:name="_Toc213660543"/>
      <w:bookmarkStart w:id="123" w:name="_Toc229194618"/>
      <w:bookmarkStart w:id="124" w:name="_Toc226881942"/>
      <w:bookmarkStart w:id="125" w:name="_Toc170798794"/>
      <w:bookmarkStart w:id="126" w:name="_Toc233281301"/>
      <w:bookmarkStart w:id="127" w:name="_Toc207014625"/>
      <w:bookmarkStart w:id="128" w:name="_Toc229194406"/>
      <w:bookmarkStart w:id="129" w:name="_Toc214431344"/>
      <w:bookmarkStart w:id="130" w:name="_Toc214787060"/>
      <w:bookmarkStart w:id="131" w:name="_Toc177985470"/>
      <w:bookmarkStart w:id="132" w:name="_Toc229451435"/>
      <w:bookmarkStart w:id="133" w:name="_Toc253066615"/>
      <w:bookmarkStart w:id="134" w:name="_Toc255975008"/>
      <w:bookmarkStart w:id="135" w:name="_Toc266870834"/>
      <w:bookmarkStart w:id="136" w:name="_Toc254790900"/>
      <w:bookmarkStart w:id="137" w:name="_Toc259692741"/>
      <w:bookmarkStart w:id="138" w:name="_Toc267060322"/>
      <w:bookmarkStart w:id="139" w:name="_Toc267059031"/>
      <w:bookmarkStart w:id="140" w:name="_Toc235438345"/>
      <w:bookmarkStart w:id="141" w:name="_Toc251613830"/>
      <w:bookmarkStart w:id="142" w:name="_Toc273178699"/>
      <w:bookmarkStart w:id="143" w:name="_Toc258401257"/>
      <w:bookmarkStart w:id="144" w:name="_Toc251586232"/>
      <w:bookmarkStart w:id="145" w:name="_Toc267059920"/>
      <w:bookmarkStart w:id="146" w:name="_Toc235438275"/>
      <w:bookmarkStart w:id="147" w:name="_Toc266870433"/>
      <w:bookmarkStart w:id="148" w:name="_Toc232302116"/>
      <w:bookmarkStart w:id="149" w:name="_Toc266868938"/>
      <w:bookmarkStart w:id="150" w:name="_Toc249325712"/>
      <w:bookmarkStart w:id="151" w:name="_Toc236021450"/>
      <w:bookmarkStart w:id="152" w:name="_Toc267060454"/>
      <w:bookmarkStart w:id="153" w:name="_Toc267059182"/>
      <w:bookmarkStart w:id="154" w:name="_Toc235437992"/>
      <w:bookmarkStart w:id="155" w:name="_Toc267060069"/>
      <w:bookmarkStart w:id="156" w:name="_Toc267059540"/>
      <w:bookmarkStart w:id="157" w:name="_Toc267059807"/>
      <w:bookmarkStart w:id="158" w:name="_Toc266868671"/>
      <w:bookmarkStart w:id="159" w:name="_Toc266870908"/>
      <w:bookmarkStart w:id="160" w:name="_Toc267059654"/>
      <w:bookmarkStart w:id="161" w:name="_Toc259520866"/>
      <w:bookmarkStart w:id="162" w:name="_Toc259692648"/>
      <w:bookmarkStart w:id="163" w:name="_Toc267060209"/>
      <w:r>
        <w:rPr>
          <w:rFonts w:hint="eastAsia" w:ascii="仿宋" w:hAnsi="仿宋" w:eastAsia="仿宋"/>
          <w:b/>
          <w:bCs/>
          <w:sz w:val="28"/>
          <w:szCs w:val="28"/>
        </w:rPr>
        <w:t>2、</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ascii="仿宋" w:hAnsi="仿宋" w:eastAsia="仿宋"/>
          <w:b/>
          <w:bCs/>
          <w:sz w:val="28"/>
          <w:szCs w:val="28"/>
        </w:rPr>
        <w:t>报价一览表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356" w:type="dxa"/>
        <w:tblInd w:w="25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59"/>
        <w:gridCol w:w="2127"/>
        <w:gridCol w:w="2693"/>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jc w:val="center"/>
              <w:rPr>
                <w:rFonts w:ascii="仿宋" w:hAnsi="仿宋" w:eastAsia="仿宋"/>
                <w:sz w:val="24"/>
              </w:rPr>
            </w:pPr>
            <w:r>
              <w:rPr>
                <w:rFonts w:hint="eastAsia" w:ascii="仿宋" w:hAnsi="仿宋" w:eastAsia="仿宋"/>
                <w:sz w:val="24"/>
              </w:rPr>
              <w:t>序号</w:t>
            </w:r>
          </w:p>
        </w:tc>
        <w:tc>
          <w:tcPr>
            <w:tcW w:w="1559" w:type="dxa"/>
            <w:vAlign w:val="center"/>
          </w:tcPr>
          <w:p>
            <w:pPr>
              <w:jc w:val="center"/>
              <w:rPr>
                <w:rFonts w:ascii="仿宋" w:hAnsi="仿宋" w:eastAsia="仿宋"/>
                <w:sz w:val="24"/>
              </w:rPr>
            </w:pPr>
            <w:r>
              <w:rPr>
                <w:rFonts w:ascii="仿宋" w:hAnsi="仿宋" w:eastAsia="仿宋"/>
                <w:sz w:val="24"/>
              </w:rPr>
              <w:t>总报价</w:t>
            </w:r>
          </w:p>
        </w:tc>
        <w:tc>
          <w:tcPr>
            <w:tcW w:w="2127" w:type="dxa"/>
            <w:vAlign w:val="center"/>
          </w:tcPr>
          <w:p>
            <w:pPr>
              <w:jc w:val="center"/>
              <w:rPr>
                <w:rFonts w:ascii="仿宋" w:hAnsi="仿宋" w:eastAsia="仿宋"/>
                <w:sz w:val="24"/>
              </w:rPr>
            </w:pPr>
            <w:r>
              <w:rPr>
                <w:rFonts w:hint="eastAsia" w:ascii="仿宋" w:hAnsi="仿宋" w:eastAsia="仿宋"/>
                <w:sz w:val="24"/>
              </w:rPr>
              <w:t>报价</w:t>
            </w:r>
            <w:r>
              <w:rPr>
                <w:rFonts w:ascii="仿宋" w:hAnsi="仿宋" w:eastAsia="仿宋"/>
                <w:sz w:val="24"/>
              </w:rPr>
              <w:t>声明</w:t>
            </w:r>
          </w:p>
        </w:tc>
        <w:tc>
          <w:tcPr>
            <w:tcW w:w="2693" w:type="dxa"/>
            <w:vAlign w:val="center"/>
          </w:tcPr>
          <w:p>
            <w:pPr>
              <w:jc w:val="center"/>
              <w:rPr>
                <w:rFonts w:ascii="仿宋" w:hAnsi="仿宋" w:eastAsia="仿宋"/>
                <w:sz w:val="24"/>
              </w:rPr>
            </w:pPr>
            <w:r>
              <w:rPr>
                <w:rFonts w:ascii="仿宋" w:hAnsi="仿宋" w:eastAsia="仿宋"/>
                <w:sz w:val="24"/>
              </w:rPr>
              <w:t>保证金</w:t>
            </w:r>
          </w:p>
          <w:p>
            <w:pPr>
              <w:jc w:val="center"/>
              <w:rPr>
                <w:rFonts w:ascii="仿宋" w:hAnsi="仿宋" w:eastAsia="仿宋"/>
                <w:sz w:val="24"/>
              </w:rPr>
            </w:pPr>
            <w:r>
              <w:rPr>
                <w:rFonts w:hint="eastAsia" w:ascii="仿宋" w:hAnsi="仿宋" w:eastAsia="仿宋"/>
                <w:sz w:val="24"/>
              </w:rPr>
              <w:t>（如有的话）</w:t>
            </w:r>
          </w:p>
        </w:tc>
        <w:tc>
          <w:tcPr>
            <w:tcW w:w="1843" w:type="dxa"/>
            <w:vAlign w:val="center"/>
          </w:tcPr>
          <w:p>
            <w:pPr>
              <w:jc w:val="center"/>
              <w:rPr>
                <w:rFonts w:ascii="仿宋" w:hAnsi="仿宋" w:eastAsia="仿宋"/>
                <w:sz w:val="24"/>
              </w:rPr>
            </w:pPr>
            <w:r>
              <w:rPr>
                <w:rFonts w:ascii="仿宋" w:hAnsi="仿宋" w:eastAsia="仿宋"/>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bl>
    <w:p>
      <w:pPr>
        <w:rPr>
          <w:rFonts w:ascii="仿宋" w:hAnsi="仿宋" w:eastAsia="仿宋"/>
          <w:sz w:val="28"/>
          <w:szCs w:val="28"/>
        </w:rPr>
      </w:pPr>
    </w:p>
    <w:p>
      <w:pPr>
        <w:rPr>
          <w:rFonts w:ascii="仿宋" w:hAnsi="仿宋" w:eastAsia="仿宋"/>
          <w:sz w:val="28"/>
          <w:szCs w:val="28"/>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Cs/>
          <w:sz w:val="28"/>
          <w:szCs w:val="28"/>
          <w:u w:val="single"/>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469" w:type="dxa"/>
        <w:tblInd w:w="-5" w:type="dxa"/>
        <w:tblLayout w:type="fixed"/>
        <w:tblCellMar>
          <w:top w:w="0" w:type="dxa"/>
          <w:left w:w="108" w:type="dxa"/>
          <w:bottom w:w="0" w:type="dxa"/>
          <w:right w:w="108" w:type="dxa"/>
        </w:tblCellMar>
      </w:tblPr>
      <w:tblGrid>
        <w:gridCol w:w="667"/>
        <w:gridCol w:w="1776"/>
        <w:gridCol w:w="1068"/>
        <w:gridCol w:w="1426"/>
        <w:gridCol w:w="617"/>
        <w:gridCol w:w="738"/>
        <w:gridCol w:w="1156"/>
        <w:gridCol w:w="1027"/>
        <w:gridCol w:w="994"/>
      </w:tblGrid>
      <w:tr>
        <w:tblPrEx>
          <w:tblCellMar>
            <w:top w:w="0" w:type="dxa"/>
            <w:left w:w="108" w:type="dxa"/>
            <w:bottom w:w="0" w:type="dxa"/>
            <w:right w:w="108" w:type="dxa"/>
          </w:tblCellMar>
        </w:tblPrEx>
        <w:trPr>
          <w:trHeight w:val="556"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77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06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426" w:type="dxa"/>
            <w:tcBorders>
              <w:top w:val="single" w:color="auto" w:sz="4" w:space="0"/>
              <w:left w:val="nil"/>
              <w:bottom w:val="single" w:color="auto" w:sz="4" w:space="0"/>
              <w:right w:val="single" w:color="auto" w:sz="4" w:space="0"/>
            </w:tcBorders>
            <w:vAlign w:val="center"/>
          </w:tcPr>
          <w:p>
            <w:pPr>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17"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7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5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27"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金额（元）</w:t>
            </w:r>
          </w:p>
        </w:tc>
        <w:tc>
          <w:tcPr>
            <w:tcW w:w="99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529"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426"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1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66"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426"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1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566"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426"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1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564"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426"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1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31"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426"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1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67"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426"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1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567"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426"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1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1"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426"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1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44" w:hRule="atLeast"/>
        </w:trPr>
        <w:tc>
          <w:tcPr>
            <w:tcW w:w="493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17"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440" w:lineRule="exact"/>
        <w:jc w:val="left"/>
        <w:rPr>
          <w:rFonts w:ascii="仿宋" w:hAnsi="仿宋" w:eastAsia="仿宋" w:cs="仿宋"/>
          <w:bCs/>
          <w:sz w:val="24"/>
          <w:szCs w:val="24"/>
        </w:rPr>
      </w:pPr>
      <w:r>
        <w:rPr>
          <w:rFonts w:ascii="仿宋" w:hAnsi="仿宋" w:eastAsia="仿宋"/>
          <w:sz w:val="24"/>
          <w:szCs w:val="24"/>
        </w:rPr>
        <w:t>注：</w:t>
      </w:r>
      <w:r>
        <w:rPr>
          <w:rFonts w:hint="eastAsia" w:ascii="仿宋" w:hAnsi="仿宋" w:eastAsia="仿宋" w:cs="仿宋"/>
          <w:bCs/>
          <w:sz w:val="24"/>
          <w:szCs w:val="24"/>
        </w:rPr>
        <w:t>1、以上报价包含税费，卖方需开具足额的增值税普通发票。</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64" w:name="_Toc180302918"/>
      <w:bookmarkStart w:id="165" w:name="_Toc251586241"/>
      <w:bookmarkStart w:id="166" w:name="_Toc223146614"/>
      <w:bookmarkStart w:id="167" w:name="_Toc193165739"/>
      <w:bookmarkStart w:id="168" w:name="_Toc267060326"/>
      <w:bookmarkStart w:id="169" w:name="_Toc266868943"/>
      <w:bookmarkStart w:id="170" w:name="_Toc267060076"/>
      <w:bookmarkStart w:id="171" w:name="_Toc267059035"/>
      <w:bookmarkStart w:id="172" w:name="_Toc259520874"/>
      <w:bookmarkStart w:id="173" w:name="_Toc266870916"/>
      <w:bookmarkStart w:id="174" w:name="_Toc213755945"/>
      <w:bookmarkStart w:id="175" w:name="_Toc219800249"/>
      <w:bookmarkStart w:id="176" w:name="_Toc177985474"/>
      <w:bookmarkStart w:id="177" w:name="_Toc255975016"/>
      <w:bookmarkStart w:id="178" w:name="_Toc235438352"/>
      <w:bookmarkStart w:id="179" w:name="_Toc258401265"/>
      <w:bookmarkStart w:id="180" w:name="_Toc182372787"/>
      <w:bookmarkStart w:id="181" w:name="_Toc191783227"/>
      <w:bookmarkStart w:id="182" w:name="_Toc191789334"/>
      <w:bookmarkStart w:id="183" w:name="_Toc203355738"/>
      <w:bookmarkStart w:id="184" w:name="_Toc160880165"/>
      <w:bookmarkStart w:id="185" w:name="_Toc267059924"/>
      <w:bookmarkStart w:id="186" w:name="_Toc211917121"/>
      <w:bookmarkStart w:id="187" w:name="_Toc267059186"/>
      <w:bookmarkStart w:id="188" w:name="_Toc169332843"/>
      <w:bookmarkStart w:id="189" w:name="_Toc267060216"/>
      <w:bookmarkStart w:id="190" w:name="_Toc217891408"/>
      <w:bookmarkStart w:id="191" w:name="_Toc267060461"/>
      <w:bookmarkStart w:id="192" w:name="_Toc236021457"/>
      <w:bookmarkStart w:id="193" w:name="_Toc192663691"/>
      <w:bookmarkStart w:id="194" w:name="_Toc254790909"/>
      <w:bookmarkStart w:id="195" w:name="_Toc193160453"/>
      <w:bookmarkStart w:id="196" w:name="_Toc160880534"/>
      <w:bookmarkStart w:id="197" w:name="_Toc266868679"/>
      <w:bookmarkStart w:id="198" w:name="_Toc267059811"/>
      <w:bookmarkStart w:id="199" w:name="_Toc232302122"/>
      <w:bookmarkStart w:id="200" w:name="_Toc182805222"/>
      <w:bookmarkStart w:id="201" w:name="_Toc169332954"/>
      <w:bookmarkStart w:id="202" w:name="_Toc253066624"/>
      <w:bookmarkStart w:id="203" w:name="_Toc213756001"/>
      <w:bookmarkStart w:id="204" w:name="_Toc191803631"/>
      <w:bookmarkStart w:id="205" w:name="_Toc273178703"/>
      <w:bookmarkStart w:id="206" w:name="_Toc259692749"/>
      <w:bookmarkStart w:id="207" w:name="_Toc259692656"/>
      <w:bookmarkStart w:id="208" w:name="_Toc181436570"/>
      <w:bookmarkStart w:id="209" w:name="_Toc181436466"/>
      <w:bookmarkStart w:id="210" w:name="_Toc235438281"/>
      <w:bookmarkStart w:id="211" w:name="_Toc213756057"/>
      <w:bookmarkStart w:id="212" w:name="_Toc249325720"/>
      <w:bookmarkStart w:id="213" w:name="_Toc192996343"/>
      <w:bookmarkStart w:id="214" w:name="_Toc251613839"/>
      <w:bookmarkStart w:id="215" w:name="_Toc192996451"/>
      <w:bookmarkStart w:id="216" w:name="_Toc230071153"/>
      <w:bookmarkStart w:id="217" w:name="_Toc213755864"/>
      <w:bookmarkStart w:id="218" w:name="_Toc191802695"/>
      <w:bookmarkStart w:id="219" w:name="_Toc170798798"/>
      <w:bookmarkStart w:id="220" w:name="_Toc213208771"/>
      <w:bookmarkStart w:id="221" w:name="_Toc267059544"/>
      <w:bookmarkStart w:id="222" w:name="_Toc227058536"/>
      <w:bookmarkStart w:id="223" w:name="_Toc192664158"/>
      <w:bookmarkStart w:id="224" w:name="_Toc225669328"/>
      <w:bookmarkStart w:id="225" w:name="_Toc192663840"/>
      <w:bookmarkStart w:id="226" w:name="_Toc266870441"/>
      <w:bookmarkStart w:id="227" w:name="_Toc267059658"/>
      <w:bookmarkStart w:id="228" w:name="_Toc266870839"/>
      <w:bookmarkStart w:id="229" w:name="_Toc235437998"/>
    </w:p>
    <w:p>
      <w:pPr>
        <w:spacing w:line="380" w:lineRule="exact"/>
        <w:ind w:right="1120" w:firstLine="4200" w:firstLineChars="1500"/>
        <w:outlineLvl w:val="2"/>
        <w:rPr>
          <w:rFonts w:ascii="仿宋" w:hAnsi="仿宋" w:eastAsia="仿宋"/>
          <w:bCs/>
          <w:sz w:val="28"/>
          <w:szCs w:val="28"/>
          <w:u w:val="single"/>
        </w:rPr>
      </w:pPr>
    </w:p>
    <w:p>
      <w:pP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4</w:t>
      </w:r>
      <w:r>
        <w:rPr>
          <w:rFonts w:hint="eastAsia" w:ascii="仿宋" w:hAnsi="仿宋" w:eastAsia="仿宋"/>
          <w:b/>
          <w:bCs/>
          <w:sz w:val="28"/>
          <w:szCs w:val="28"/>
        </w:rPr>
        <w:t>、参与人的资格证明文件</w:t>
      </w:r>
    </w:p>
    <w:p>
      <w:pPr>
        <w:pStyle w:val="63"/>
        <w:rPr>
          <w:rFonts w:ascii="仿宋" w:hAnsi="仿宋" w:eastAsia="仿宋"/>
          <w:szCs w:val="28"/>
        </w:rPr>
      </w:pPr>
    </w:p>
    <w:p>
      <w:pPr>
        <w:spacing w:line="380" w:lineRule="exact"/>
        <w:jc w:val="center"/>
        <w:outlineLvl w:val="2"/>
        <w:rPr>
          <w:rFonts w:ascii="仿宋" w:hAnsi="仿宋" w:eastAsia="仿宋"/>
          <w:b/>
          <w:sz w:val="28"/>
          <w:szCs w:val="28"/>
        </w:rPr>
      </w:pPr>
      <w:bookmarkStart w:id="230" w:name="_Toc266868680"/>
      <w:bookmarkStart w:id="231" w:name="_Toc230071154"/>
      <w:bookmarkStart w:id="232" w:name="_Toc227058537"/>
      <w:bookmarkStart w:id="233" w:name="_Toc217891409"/>
      <w:bookmarkStart w:id="234" w:name="_Toc267060217"/>
      <w:bookmarkStart w:id="235" w:name="_Toc253066625"/>
      <w:bookmarkStart w:id="236" w:name="_Toc258401266"/>
      <w:bookmarkStart w:id="237" w:name="_Toc254790910"/>
      <w:bookmarkStart w:id="238" w:name="_Toc235437999"/>
      <w:bookmarkStart w:id="239" w:name="_Toc219800250"/>
      <w:bookmarkStart w:id="240" w:name="_Toc259692750"/>
      <w:bookmarkStart w:id="241" w:name="_Toc255975017"/>
      <w:bookmarkStart w:id="242" w:name="_Toc251613840"/>
      <w:bookmarkStart w:id="243" w:name="_Toc236021458"/>
      <w:bookmarkStart w:id="244" w:name="_Toc259520875"/>
      <w:bookmarkStart w:id="245" w:name="_Toc251586242"/>
      <w:bookmarkStart w:id="246" w:name="_Toc223146615"/>
      <w:bookmarkStart w:id="247" w:name="_Toc225669329"/>
      <w:bookmarkStart w:id="248" w:name="_Toc232302123"/>
      <w:bookmarkStart w:id="249" w:name="_Toc267060077"/>
      <w:bookmarkStart w:id="250" w:name="_Toc266870917"/>
      <w:bookmarkStart w:id="251" w:name="_Toc235438353"/>
      <w:bookmarkStart w:id="252" w:name="_Toc259692657"/>
      <w:bookmarkStart w:id="253" w:name="_Toc267060462"/>
      <w:bookmarkStart w:id="254" w:name="_Toc213756058"/>
      <w:bookmarkStart w:id="255" w:name="_Toc249325721"/>
      <w:bookmarkStart w:id="256" w:name="_Toc266870442"/>
      <w:bookmarkStart w:id="257" w:name="_Toc235438282"/>
      <w:r>
        <w:rPr>
          <w:rFonts w:ascii="仿宋" w:hAnsi="仿宋" w:eastAsia="仿宋"/>
          <w:b/>
          <w:sz w:val="28"/>
          <w:szCs w:val="28"/>
        </w:rPr>
        <w:t>4</w:t>
      </w:r>
      <w:r>
        <w:rPr>
          <w:rFonts w:hint="eastAsia" w:ascii="仿宋" w:hAnsi="仿宋" w:eastAsia="仿宋"/>
          <w:b/>
          <w:sz w:val="28"/>
          <w:szCs w:val="28"/>
        </w:rPr>
        <w:t>-1关于资格的声明函</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spacing w:line="380" w:lineRule="exact"/>
        <w:jc w:val="center"/>
        <w:outlineLvl w:val="2"/>
        <w:rPr>
          <w:rFonts w:ascii="仿宋" w:hAnsi="仿宋" w:eastAsia="仿宋"/>
          <w:b/>
          <w:sz w:val="28"/>
          <w:szCs w:val="28"/>
        </w:rPr>
      </w:pPr>
    </w:p>
    <w:p>
      <w:pPr>
        <w:spacing w:after="0" w:line="480" w:lineRule="exact"/>
        <w:rPr>
          <w:rFonts w:ascii="仿宋" w:hAnsi="仿宋" w:eastAsia="仿宋"/>
          <w:sz w:val="28"/>
          <w:szCs w:val="28"/>
        </w:rPr>
      </w:pPr>
      <w:bookmarkStart w:id="258" w:name="_Hlk511663739"/>
      <w:r>
        <w:rPr>
          <w:rFonts w:hint="eastAsia" w:ascii="仿宋" w:hAnsi="仿宋" w:eastAsia="仿宋"/>
          <w:sz w:val="28"/>
          <w:szCs w:val="28"/>
        </w:rPr>
        <w:t>广东白云学院</w:t>
      </w:r>
      <w:bookmarkEnd w:id="258"/>
      <w:r>
        <w:rPr>
          <w:rFonts w:hint="eastAsia" w:ascii="仿宋" w:hAnsi="仿宋" w:eastAsia="仿宋"/>
          <w:sz w:val="28"/>
          <w:szCs w:val="28"/>
        </w:rPr>
        <w:t>：</w:t>
      </w:r>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2．我方的资格声明正本一份，副本一份，随报价响应文件一同递交。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59" w:name="_Toc219800251"/>
      <w:bookmarkStart w:id="260" w:name="_Toc253066626"/>
      <w:bookmarkStart w:id="261" w:name="_Toc266868681"/>
      <w:bookmarkStart w:id="262" w:name="_Toc217891410"/>
      <w:bookmarkStart w:id="263" w:name="_Toc251613841"/>
      <w:bookmarkStart w:id="264" w:name="_Toc227058538"/>
      <w:bookmarkStart w:id="265" w:name="_Toc232302124"/>
      <w:bookmarkStart w:id="266" w:name="_Toc225669330"/>
      <w:bookmarkStart w:id="267" w:name="_Toc259692751"/>
      <w:bookmarkStart w:id="268" w:name="_Toc230071155"/>
      <w:bookmarkStart w:id="269" w:name="_Toc223146616"/>
      <w:bookmarkStart w:id="270" w:name="_Toc249325722"/>
      <w:bookmarkStart w:id="271" w:name="_Toc266870918"/>
      <w:bookmarkStart w:id="272" w:name="_Toc259692658"/>
      <w:bookmarkStart w:id="273" w:name="_Toc259520876"/>
      <w:bookmarkStart w:id="274" w:name="_Toc254790911"/>
      <w:bookmarkStart w:id="275" w:name="_Toc235438283"/>
      <w:bookmarkStart w:id="276" w:name="_Toc235438354"/>
      <w:bookmarkStart w:id="277" w:name="_Toc236021459"/>
      <w:bookmarkStart w:id="278" w:name="_Toc255975018"/>
      <w:bookmarkStart w:id="279" w:name="_Toc235438000"/>
      <w:bookmarkStart w:id="280" w:name="_Toc266870443"/>
      <w:bookmarkStart w:id="281" w:name="_Toc213756059"/>
      <w:bookmarkStart w:id="282" w:name="_Toc251586243"/>
      <w:bookmarkStart w:id="283" w:name="_Toc258401267"/>
    </w:p>
    <w:p>
      <w:pPr>
        <w:jc w:val="center"/>
        <w:outlineLvl w:val="1"/>
        <w:rPr>
          <w:rFonts w:ascii="仿宋" w:hAnsi="仿宋" w:eastAsia="仿宋"/>
          <w:b/>
          <w:sz w:val="28"/>
          <w:szCs w:val="28"/>
        </w:rPr>
      </w:pPr>
      <w:r>
        <w:rPr>
          <w:rFonts w:ascii="仿宋" w:hAnsi="仿宋" w:eastAsia="仿宋"/>
          <w:sz w:val="28"/>
          <w:szCs w:val="28"/>
        </w:rPr>
        <w:br w:type="page"/>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Start w:id="284" w:name="_Toc251613842"/>
      <w:bookmarkStart w:id="285" w:name="_Toc213756002"/>
      <w:bookmarkStart w:id="286" w:name="_Toc258401268"/>
      <w:bookmarkStart w:id="287" w:name="_Toc213755865"/>
      <w:bookmarkStart w:id="288" w:name="_Toc211917122"/>
      <w:bookmarkStart w:id="289" w:name="_Toc192664159"/>
      <w:bookmarkStart w:id="290" w:name="_Toc267060078"/>
      <w:bookmarkStart w:id="291" w:name="_Toc193160454"/>
      <w:bookmarkStart w:id="292" w:name="_Toc169332844"/>
      <w:bookmarkStart w:id="293" w:name="_Toc232302125"/>
      <w:bookmarkStart w:id="294" w:name="_Toc180302919"/>
      <w:bookmarkStart w:id="295" w:name="_Toc253066627"/>
      <w:bookmarkStart w:id="296" w:name="_Toc191783228"/>
      <w:bookmarkStart w:id="297" w:name="_Toc259692659"/>
      <w:bookmarkStart w:id="298" w:name="_Toc181436571"/>
      <w:bookmarkStart w:id="299" w:name="_Toc182372788"/>
      <w:bookmarkStart w:id="300" w:name="_Toc192663841"/>
      <w:bookmarkStart w:id="301" w:name="_Toc254790912"/>
      <w:bookmarkStart w:id="302" w:name="_Toc193165740"/>
      <w:bookmarkStart w:id="303" w:name="_Toc266870444"/>
      <w:bookmarkStart w:id="304" w:name="_Toc169332955"/>
      <w:bookmarkStart w:id="305" w:name="_Toc170798799"/>
      <w:bookmarkStart w:id="306" w:name="_Toc259692752"/>
      <w:bookmarkStart w:id="307" w:name="_Toc267060218"/>
      <w:bookmarkStart w:id="308" w:name="_Toc191802696"/>
      <w:bookmarkStart w:id="309" w:name="_Toc192663692"/>
      <w:bookmarkStart w:id="310" w:name="_Toc219800252"/>
      <w:bookmarkStart w:id="311" w:name="_Toc235438355"/>
      <w:bookmarkStart w:id="312" w:name="_Toc191789335"/>
      <w:bookmarkStart w:id="313" w:name="_Toc267060463"/>
      <w:bookmarkStart w:id="314" w:name="_Toc213756060"/>
      <w:bookmarkStart w:id="315" w:name="_Toc181436467"/>
      <w:bookmarkStart w:id="316" w:name="_Toc182805223"/>
      <w:bookmarkStart w:id="317" w:name="_Toc217891411"/>
      <w:bookmarkStart w:id="318" w:name="_Toc177985475"/>
      <w:bookmarkStart w:id="319" w:name="_Toc192996344"/>
      <w:bookmarkStart w:id="320" w:name="_Toc251586244"/>
      <w:bookmarkStart w:id="321" w:name="_Toc266870919"/>
      <w:bookmarkStart w:id="322" w:name="_Toc213208772"/>
      <w:bookmarkStart w:id="323" w:name="_Toc236021460"/>
      <w:bookmarkStart w:id="324" w:name="_Toc213755946"/>
      <w:bookmarkStart w:id="325" w:name="_Toc191803632"/>
      <w:bookmarkStart w:id="326" w:name="_Toc235438001"/>
      <w:bookmarkStart w:id="327" w:name="_Toc255975019"/>
      <w:bookmarkStart w:id="328" w:name="_Toc230071156"/>
      <w:bookmarkStart w:id="329" w:name="_Toc203355739"/>
      <w:bookmarkStart w:id="330" w:name="_Toc160880535"/>
      <w:bookmarkStart w:id="331" w:name="_Toc225669331"/>
      <w:bookmarkStart w:id="332" w:name="_Toc249325723"/>
      <w:bookmarkStart w:id="333" w:name="_Toc223146617"/>
      <w:bookmarkStart w:id="334" w:name="_Toc192996452"/>
      <w:bookmarkStart w:id="335" w:name="_Toc235438284"/>
      <w:bookmarkStart w:id="336" w:name="_Toc160880166"/>
      <w:bookmarkStart w:id="337" w:name="_Toc266868682"/>
      <w:bookmarkStart w:id="338" w:name="_Toc259520877"/>
      <w:bookmarkStart w:id="339" w:name="_Toc227058539"/>
    </w:p>
    <w:p>
      <w:pPr>
        <w:spacing w:after="0" w:line="380" w:lineRule="exact"/>
        <w:jc w:val="center"/>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sz w:val="28"/>
          <w:szCs w:val="28"/>
        </w:rPr>
        <w:t>2</w:t>
      </w:r>
      <w:r>
        <w:rPr>
          <w:rFonts w:hint="eastAsia" w:ascii="仿宋" w:hAnsi="仿宋" w:eastAsia="仿宋"/>
          <w:b/>
          <w:sz w:val="28"/>
          <w:szCs w:val="28"/>
        </w:rPr>
        <w:t>法定代表人授权书</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hint="eastAsia" w:ascii="仿宋" w:hAnsi="仿宋" w:eastAsia="仿宋"/>
          <w:b/>
          <w:sz w:val="28"/>
          <w:szCs w:val="28"/>
        </w:rPr>
        <w:cr/>
      </w:r>
    </w:p>
    <w:p>
      <w:pPr>
        <w:spacing w:line="500" w:lineRule="exact"/>
        <w:rPr>
          <w:rFonts w:ascii="仿宋" w:hAnsi="仿宋" w:eastAsia="仿宋"/>
          <w:sz w:val="28"/>
          <w:szCs w:val="28"/>
        </w:rPr>
      </w:pPr>
      <w:r>
        <w:rPr>
          <w:rFonts w:hint="eastAsia" w:ascii="仿宋" w:hAnsi="仿宋" w:eastAsia="仿宋"/>
          <w:sz w:val="28"/>
          <w:szCs w:val="28"/>
        </w:rPr>
        <w:t>广东白云学院：</w:t>
      </w:r>
    </w:p>
    <w:p>
      <w:pPr>
        <w:autoSpaceDE w:val="0"/>
        <w:autoSpaceDN w:val="0"/>
        <w:adjustRightInd w:val="0"/>
        <w:spacing w:after="0"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（参与人公司全称）</w:t>
      </w:r>
      <w:r>
        <w:rPr>
          <w:rFonts w:hint="eastAsia" w:ascii="仿宋" w:hAnsi="仿宋" w:eastAsia="仿宋"/>
          <w:sz w:val="28"/>
          <w:szCs w:val="28"/>
          <w:lang w:val="zh-CN"/>
        </w:rPr>
        <w:t>法定代表人</w:t>
      </w:r>
      <w:r>
        <w:rPr>
          <w:rFonts w:hint="eastAsia" w:ascii="仿宋" w:hAnsi="仿宋" w:eastAsia="仿宋"/>
          <w:sz w:val="28"/>
          <w:szCs w:val="28"/>
          <w:u w:val="single"/>
        </w:rPr>
        <w:t>（姓 名）、</w:t>
      </w:r>
      <w:r>
        <w:rPr>
          <w:rFonts w:hint="eastAsia" w:ascii="仿宋" w:hAnsi="仿宋" w:eastAsia="仿宋"/>
          <w:sz w:val="28"/>
          <w:szCs w:val="28"/>
        </w:rPr>
        <w:t xml:space="preserve"> </w:t>
      </w:r>
      <w:r>
        <w:rPr>
          <w:rFonts w:hint="eastAsia" w:ascii="仿宋" w:hAnsi="仿宋" w:eastAsia="仿宋"/>
          <w:sz w:val="28"/>
          <w:szCs w:val="28"/>
          <w:u w:val="single"/>
        </w:rPr>
        <w:t>（身份证号）</w:t>
      </w:r>
      <w:r>
        <w:rPr>
          <w:rFonts w:hint="eastAsia" w:ascii="仿宋" w:hAnsi="仿宋" w:eastAsia="仿宋"/>
          <w:sz w:val="28"/>
          <w:szCs w:val="28"/>
          <w:lang w:val="zh-CN"/>
        </w:rPr>
        <w:t>授权</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lang w:val="zh-CN"/>
        </w:rPr>
        <w:t>为参与人代表，代表本公司参加贵司组织的</w:t>
      </w:r>
      <w:r>
        <w:rPr>
          <w:rFonts w:hint="eastAsia" w:ascii="仿宋" w:hAnsi="仿宋" w:eastAsia="仿宋"/>
          <w:sz w:val="28"/>
          <w:szCs w:val="28"/>
          <w:u w:val="single"/>
        </w:rPr>
        <w:t xml:space="preserve">            </w:t>
      </w:r>
      <w:r>
        <w:rPr>
          <w:rFonts w:hint="eastAsia" w:ascii="仿宋" w:hAnsi="仿宋" w:eastAsia="仿宋"/>
          <w:sz w:val="28"/>
          <w:szCs w:val="28"/>
          <w:lang w:val="zh-CN"/>
        </w:rPr>
        <w:t>项目（项目编号</w:t>
      </w:r>
      <w:r>
        <w:rPr>
          <w:rFonts w:hint="eastAsia" w:ascii="仿宋" w:hAnsi="仿宋" w:eastAsia="仿宋"/>
          <w:sz w:val="28"/>
          <w:szCs w:val="28"/>
          <w:u w:val="single"/>
        </w:rPr>
        <w:t xml:space="preserve">       </w:t>
      </w:r>
      <w:r>
        <w:rPr>
          <w:rFonts w:hint="eastAsia" w:ascii="仿宋" w:hAnsi="仿宋" w:eastAsia="仿宋"/>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380" w:lineRule="exact"/>
        <w:rPr>
          <w:rFonts w:ascii="仿宋" w:hAnsi="仿宋" w:eastAsia="仿宋"/>
          <w:sz w:val="28"/>
          <w:szCs w:val="28"/>
        </w:rPr>
      </w:pP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法定代表人签</w:t>
      </w:r>
      <w:r>
        <w:rPr>
          <w:rFonts w:hint="eastAsia" w:ascii="仿宋" w:hAnsi="仿宋" w:eastAsia="仿宋"/>
          <w:sz w:val="28"/>
          <w:szCs w:val="28"/>
          <w:lang w:val="zh-CN"/>
        </w:rPr>
        <w:t>字</w:t>
      </w:r>
      <w:r>
        <w:rPr>
          <w:rFonts w:ascii="仿宋" w:hAnsi="仿宋" w:eastAsia="仿宋"/>
          <w:sz w:val="28"/>
          <w:szCs w:val="28"/>
          <w:lang w:val="zh-CN"/>
        </w:rPr>
        <w:t>：</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w:t>
      </w:r>
      <w:r>
        <w:rPr>
          <w:rFonts w:ascii="仿宋" w:hAnsi="仿宋" w:eastAsia="仿宋"/>
          <w:sz w:val="28"/>
          <w:szCs w:val="28"/>
          <w:lang w:val="zh-CN"/>
        </w:rPr>
        <w:t>(公章)：</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日  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附:</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姓名：</w:t>
      </w:r>
      <w:r>
        <w:rPr>
          <w:rFonts w:hint="eastAsia" w:ascii="仿宋" w:hAnsi="仿宋" w:eastAsia="仿宋"/>
          <w:sz w:val="28"/>
          <w:szCs w:val="28"/>
          <w:lang w:val="zh-CN"/>
        </w:rPr>
        <w:t>（签字）</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职        务：</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详细通讯地址：</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邮 政 编 码 ：</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传        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电        话：</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附：被授权人身份证件</w:t>
      </w:r>
    </w:p>
    <w:p>
      <w:pPr>
        <w:outlineLvl w:val="1"/>
        <w:rPr>
          <w:rFonts w:ascii="仿宋" w:hAnsi="仿宋" w:eastAsia="仿宋"/>
          <w:b/>
          <w:sz w:val="28"/>
          <w:szCs w:val="28"/>
        </w:rPr>
      </w:pPr>
    </w:p>
    <w:p>
      <w:pPr>
        <w:jc w:val="center"/>
        <w:outlineLvl w:val="1"/>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bCs/>
          <w:sz w:val="28"/>
          <w:szCs w:val="28"/>
        </w:rPr>
        <w:t>3</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line="500" w:lineRule="exact"/>
        <w:rPr>
          <w:rFonts w:ascii="仿宋" w:hAnsi="仿宋" w:eastAsia="仿宋"/>
          <w:sz w:val="28"/>
          <w:szCs w:val="28"/>
        </w:rPr>
      </w:pPr>
      <w:r>
        <w:rPr>
          <w:rFonts w:hint="eastAsia" w:ascii="仿宋" w:hAnsi="仿宋" w:eastAsia="仿宋"/>
          <w:sz w:val="28"/>
          <w:szCs w:val="28"/>
        </w:rPr>
        <w:t>广东白云学院：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340" w:name="_Toc192663843"/>
      <w:bookmarkStart w:id="341" w:name="_Toc255975023"/>
      <w:bookmarkStart w:id="342" w:name="_Toc267060466"/>
      <w:bookmarkStart w:id="343" w:name="_Toc211917124"/>
      <w:bookmarkStart w:id="344" w:name="_Toc235438357"/>
      <w:bookmarkStart w:id="345" w:name="_Toc266868684"/>
      <w:bookmarkStart w:id="346" w:name="_Toc160880168"/>
      <w:bookmarkStart w:id="347" w:name="_Toc192996346"/>
      <w:bookmarkStart w:id="348" w:name="_Toc259520879"/>
      <w:bookmarkStart w:id="349" w:name="_Toc259692754"/>
      <w:bookmarkStart w:id="350" w:name="_Toc169332846"/>
      <w:bookmarkStart w:id="351" w:name="_Toc192996454"/>
      <w:bookmarkStart w:id="352" w:name="_Toc259692663"/>
      <w:bookmarkStart w:id="353" w:name="_Toc266870921"/>
      <w:bookmarkStart w:id="354" w:name="_Toc191783230"/>
      <w:bookmarkStart w:id="355" w:name="_Toc160880537"/>
      <w:bookmarkStart w:id="356" w:name="_Toc191789337"/>
      <w:bookmarkStart w:id="357" w:name="_Toc193165742"/>
      <w:bookmarkStart w:id="358" w:name="_Toc267060465"/>
      <w:bookmarkStart w:id="359" w:name="_Toc251586246"/>
      <w:bookmarkStart w:id="360" w:name="_Toc192664161"/>
      <w:bookmarkStart w:id="361" w:name="_Toc258401270"/>
      <w:bookmarkStart w:id="362" w:name="_Toc181436469"/>
      <w:bookmarkStart w:id="363" w:name="_Toc267060220"/>
      <w:bookmarkStart w:id="364" w:name="_Toc254790916"/>
      <w:bookmarkStart w:id="365" w:name="_Toc267060221"/>
      <w:bookmarkStart w:id="366" w:name="_Toc193160456"/>
      <w:bookmarkStart w:id="367" w:name="_Toc249325725"/>
      <w:bookmarkStart w:id="368" w:name="_Toc258401272"/>
      <w:bookmarkStart w:id="369" w:name="_Toc181436573"/>
      <w:bookmarkStart w:id="370" w:name="_Toc267060080"/>
      <w:bookmarkStart w:id="371" w:name="_Toc180302921"/>
      <w:bookmarkStart w:id="372" w:name="_Toc266868686"/>
      <w:bookmarkStart w:id="373" w:name="_Toc232302127"/>
      <w:bookmarkStart w:id="374" w:name="_Toc253066629"/>
      <w:bookmarkStart w:id="375" w:name="_Toc169332957"/>
      <w:bookmarkStart w:id="376" w:name="_Toc235438286"/>
      <w:bookmarkStart w:id="377" w:name="_Toc236021462"/>
      <w:bookmarkStart w:id="378" w:name="_Toc259692756"/>
      <w:bookmarkStart w:id="379" w:name="_Toc235438003"/>
      <w:bookmarkStart w:id="380" w:name="_Toc191802698"/>
      <w:bookmarkStart w:id="381" w:name="_Toc182372790"/>
      <w:bookmarkStart w:id="382" w:name="_Toc251613844"/>
      <w:bookmarkStart w:id="383" w:name="_Toc266870922"/>
      <w:bookmarkStart w:id="384" w:name="_Toc170798801"/>
      <w:bookmarkStart w:id="385" w:name="_Toc266870446"/>
      <w:bookmarkStart w:id="386" w:name="_Toc267060081"/>
      <w:bookmarkStart w:id="387" w:name="_Toc177985477"/>
      <w:bookmarkStart w:id="388" w:name="_Toc259692661"/>
      <w:bookmarkStart w:id="389" w:name="_Toc182805225"/>
      <w:bookmarkStart w:id="390" w:name="_Toc192663694"/>
      <w:bookmarkStart w:id="391" w:name="_Toc254790914"/>
      <w:bookmarkStart w:id="392" w:name="_Toc255975021"/>
      <w:bookmarkStart w:id="393" w:name="_Toc203355741"/>
      <w:bookmarkStart w:id="394" w:name="_Toc266870447"/>
      <w:bookmarkStart w:id="395" w:name="_Toc191803634"/>
      <w:bookmarkStart w:id="396" w:name="_Toc259520881"/>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397" w:name="_Toc255975024"/>
      <w:bookmarkStart w:id="398" w:name="_Toc251613845"/>
      <w:bookmarkStart w:id="399" w:name="_Toc266870923"/>
      <w:bookmarkStart w:id="400" w:name="_Toc259692664"/>
      <w:bookmarkStart w:id="401" w:name="_Toc267059036"/>
      <w:bookmarkStart w:id="402" w:name="_Toc266870448"/>
      <w:bookmarkStart w:id="403" w:name="_Toc249325726"/>
      <w:bookmarkStart w:id="404" w:name="_Toc267059659"/>
      <w:bookmarkStart w:id="405" w:name="_Toc273178704"/>
      <w:bookmarkStart w:id="406" w:name="_Toc266870840"/>
      <w:bookmarkStart w:id="407" w:name="_Toc235438287"/>
      <w:bookmarkStart w:id="408" w:name="_Toc267060222"/>
      <w:bookmarkStart w:id="409" w:name="_Toc266868687"/>
      <w:bookmarkStart w:id="410" w:name="_Toc267059925"/>
      <w:bookmarkStart w:id="411" w:name="_Toc267059545"/>
      <w:bookmarkStart w:id="412" w:name="_Toc232302128"/>
      <w:bookmarkStart w:id="413" w:name="_Toc259692757"/>
      <w:bookmarkStart w:id="414" w:name="_Toc251586247"/>
      <w:bookmarkStart w:id="415" w:name="_Toc254790917"/>
      <w:bookmarkStart w:id="416" w:name="_Toc235438358"/>
      <w:bookmarkStart w:id="417" w:name="_Toc259520882"/>
      <w:bookmarkStart w:id="418" w:name="_Toc267059187"/>
      <w:bookmarkStart w:id="419" w:name="_Toc236021463"/>
      <w:bookmarkStart w:id="420" w:name="_Toc267059812"/>
      <w:bookmarkStart w:id="421" w:name="_Toc235438004"/>
      <w:bookmarkStart w:id="422" w:name="_Toc267060327"/>
      <w:bookmarkStart w:id="423" w:name="_Toc267060082"/>
      <w:bookmarkStart w:id="424" w:name="_Toc253066630"/>
      <w:bookmarkStart w:id="425" w:name="_Toc267060467"/>
      <w:bookmarkStart w:id="426" w:name="_Toc266868944"/>
      <w:bookmarkStart w:id="427" w:name="_Toc258401273"/>
      <w:r>
        <w:rPr>
          <w:rFonts w:ascii="仿宋" w:hAnsi="仿宋" w:eastAsia="仿宋"/>
          <w:b/>
          <w:bCs/>
          <w:color w:val="000000" w:themeColor="text1"/>
          <w:sz w:val="28"/>
          <w:szCs w:val="28"/>
          <w14:textFill>
            <w14:solidFill>
              <w14:schemeClr w14:val="tx1"/>
            </w14:solidFill>
          </w14:textFill>
        </w:rPr>
        <w:t>5.</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after="0" w:line="480" w:lineRule="exact"/>
        <w:ind w:firstLine="57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（采购物品为一般货物时需要，如没有可删除此项）</w:t>
      </w: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tabs>
          <w:tab w:val="left" w:pos="2700"/>
        </w:tabs>
      </w:pPr>
      <w:r>
        <w:tab/>
      </w:r>
    </w:p>
    <w:sectPr>
      <w:footerReference r:id="rId8" w:type="default"/>
      <w:pgSz w:w="11906" w:h="16838"/>
      <w:pgMar w:top="1440" w:right="1416" w:bottom="1440" w:left="1134" w:header="851" w:footer="227"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703239"/>
    </w:sdtPr>
    <w:sdtContent>
      <w:sdt>
        <w:sdtPr>
          <w:id w:val="-233233886"/>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9"/>
      </w:pBdr>
      <w:ind w:left="440"/>
    </w:pPr>
    <w:r>
      <w:drawing>
        <wp:inline distT="0" distB="0" distL="0" distR="0">
          <wp:extent cx="1256030" cy="262255"/>
          <wp:effectExtent l="0" t="0" r="127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11"/>
      </w:pBdr>
    </w:pPr>
    <w:r>
      <w:drawing>
        <wp:inline distT="0" distB="0" distL="0" distR="0">
          <wp:extent cx="1256030" cy="262255"/>
          <wp:effectExtent l="0" t="0" r="127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05EBE"/>
    <w:rsid w:val="000134DF"/>
    <w:rsid w:val="00020314"/>
    <w:rsid w:val="00024CDE"/>
    <w:rsid w:val="00032E1F"/>
    <w:rsid w:val="00034F11"/>
    <w:rsid w:val="00043293"/>
    <w:rsid w:val="00044CFA"/>
    <w:rsid w:val="0005030E"/>
    <w:rsid w:val="00050B4E"/>
    <w:rsid w:val="000567BC"/>
    <w:rsid w:val="000569E1"/>
    <w:rsid w:val="00062D17"/>
    <w:rsid w:val="00063251"/>
    <w:rsid w:val="00074B20"/>
    <w:rsid w:val="00082572"/>
    <w:rsid w:val="00093745"/>
    <w:rsid w:val="000974DB"/>
    <w:rsid w:val="000A6FCE"/>
    <w:rsid w:val="000C1354"/>
    <w:rsid w:val="000C39EB"/>
    <w:rsid w:val="000D5D8A"/>
    <w:rsid w:val="000E0C2A"/>
    <w:rsid w:val="000F1092"/>
    <w:rsid w:val="000F1B8A"/>
    <w:rsid w:val="000F4F45"/>
    <w:rsid w:val="00126DF0"/>
    <w:rsid w:val="0013118F"/>
    <w:rsid w:val="00137614"/>
    <w:rsid w:val="00137908"/>
    <w:rsid w:val="00150272"/>
    <w:rsid w:val="001561E9"/>
    <w:rsid w:val="001564D3"/>
    <w:rsid w:val="00157ADA"/>
    <w:rsid w:val="00182C6E"/>
    <w:rsid w:val="001850B3"/>
    <w:rsid w:val="00190821"/>
    <w:rsid w:val="001A5B43"/>
    <w:rsid w:val="001B6E5E"/>
    <w:rsid w:val="001B719E"/>
    <w:rsid w:val="001C3D1F"/>
    <w:rsid w:val="001C64CD"/>
    <w:rsid w:val="001C6943"/>
    <w:rsid w:val="001D4A2E"/>
    <w:rsid w:val="001D6A7A"/>
    <w:rsid w:val="001F6B91"/>
    <w:rsid w:val="002053E1"/>
    <w:rsid w:val="0020544E"/>
    <w:rsid w:val="00207D69"/>
    <w:rsid w:val="00210C0A"/>
    <w:rsid w:val="0022279D"/>
    <w:rsid w:val="00227E29"/>
    <w:rsid w:val="0023402A"/>
    <w:rsid w:val="00235499"/>
    <w:rsid w:val="00235C32"/>
    <w:rsid w:val="00236F66"/>
    <w:rsid w:val="00244E90"/>
    <w:rsid w:val="0026115C"/>
    <w:rsid w:val="00273B38"/>
    <w:rsid w:val="00274953"/>
    <w:rsid w:val="00276825"/>
    <w:rsid w:val="002772BB"/>
    <w:rsid w:val="0028205B"/>
    <w:rsid w:val="00287B80"/>
    <w:rsid w:val="002967E4"/>
    <w:rsid w:val="002C0AA0"/>
    <w:rsid w:val="002C2C3D"/>
    <w:rsid w:val="002C4297"/>
    <w:rsid w:val="002D2F15"/>
    <w:rsid w:val="002D7546"/>
    <w:rsid w:val="002E323A"/>
    <w:rsid w:val="002E5172"/>
    <w:rsid w:val="002F7E23"/>
    <w:rsid w:val="00303B50"/>
    <w:rsid w:val="00307124"/>
    <w:rsid w:val="003145E5"/>
    <w:rsid w:val="00320678"/>
    <w:rsid w:val="0033431E"/>
    <w:rsid w:val="00334E6F"/>
    <w:rsid w:val="00337B0E"/>
    <w:rsid w:val="00355002"/>
    <w:rsid w:val="003570A0"/>
    <w:rsid w:val="003714E3"/>
    <w:rsid w:val="00374A8C"/>
    <w:rsid w:val="003A1ADC"/>
    <w:rsid w:val="003B029E"/>
    <w:rsid w:val="003C60EF"/>
    <w:rsid w:val="003E6439"/>
    <w:rsid w:val="003F20A6"/>
    <w:rsid w:val="003F607C"/>
    <w:rsid w:val="00404FA2"/>
    <w:rsid w:val="00414A43"/>
    <w:rsid w:val="00414E61"/>
    <w:rsid w:val="004242F4"/>
    <w:rsid w:val="00424A0E"/>
    <w:rsid w:val="0043243C"/>
    <w:rsid w:val="00441955"/>
    <w:rsid w:val="00462A9C"/>
    <w:rsid w:val="004708EC"/>
    <w:rsid w:val="00471CD9"/>
    <w:rsid w:val="004741D4"/>
    <w:rsid w:val="00475B33"/>
    <w:rsid w:val="00475EBB"/>
    <w:rsid w:val="00486474"/>
    <w:rsid w:val="0049421D"/>
    <w:rsid w:val="004A2AAE"/>
    <w:rsid w:val="004C1A87"/>
    <w:rsid w:val="004E1FC8"/>
    <w:rsid w:val="00502F52"/>
    <w:rsid w:val="00507C15"/>
    <w:rsid w:val="00507C9F"/>
    <w:rsid w:val="00522F9D"/>
    <w:rsid w:val="00523638"/>
    <w:rsid w:val="00547D18"/>
    <w:rsid w:val="00547F90"/>
    <w:rsid w:val="00582530"/>
    <w:rsid w:val="00590957"/>
    <w:rsid w:val="005936A3"/>
    <w:rsid w:val="00597172"/>
    <w:rsid w:val="005A1422"/>
    <w:rsid w:val="005A5A4D"/>
    <w:rsid w:val="005B582D"/>
    <w:rsid w:val="005E4B5A"/>
    <w:rsid w:val="005E5F18"/>
    <w:rsid w:val="005E6A03"/>
    <w:rsid w:val="005F09D1"/>
    <w:rsid w:val="005F1FC8"/>
    <w:rsid w:val="005F5639"/>
    <w:rsid w:val="005F73A6"/>
    <w:rsid w:val="006006C1"/>
    <w:rsid w:val="006020CE"/>
    <w:rsid w:val="00602F2F"/>
    <w:rsid w:val="006262E4"/>
    <w:rsid w:val="00630374"/>
    <w:rsid w:val="00630976"/>
    <w:rsid w:val="0063527D"/>
    <w:rsid w:val="0064149E"/>
    <w:rsid w:val="00653EFB"/>
    <w:rsid w:val="0065621B"/>
    <w:rsid w:val="0066242E"/>
    <w:rsid w:val="006635EB"/>
    <w:rsid w:val="00691B80"/>
    <w:rsid w:val="00693786"/>
    <w:rsid w:val="006A6E28"/>
    <w:rsid w:val="006B07CE"/>
    <w:rsid w:val="006B5218"/>
    <w:rsid w:val="006C7AEC"/>
    <w:rsid w:val="006F3C71"/>
    <w:rsid w:val="00706CB7"/>
    <w:rsid w:val="00707D6C"/>
    <w:rsid w:val="007128AD"/>
    <w:rsid w:val="007135B1"/>
    <w:rsid w:val="0071574C"/>
    <w:rsid w:val="00725B38"/>
    <w:rsid w:val="00733E0F"/>
    <w:rsid w:val="00740954"/>
    <w:rsid w:val="00752964"/>
    <w:rsid w:val="00761EB5"/>
    <w:rsid w:val="0077183A"/>
    <w:rsid w:val="00782FC6"/>
    <w:rsid w:val="007862AF"/>
    <w:rsid w:val="0078721A"/>
    <w:rsid w:val="00787BC4"/>
    <w:rsid w:val="0079118A"/>
    <w:rsid w:val="00795F25"/>
    <w:rsid w:val="007B0F09"/>
    <w:rsid w:val="007B2319"/>
    <w:rsid w:val="007B7AF1"/>
    <w:rsid w:val="007C3BFB"/>
    <w:rsid w:val="007C5F07"/>
    <w:rsid w:val="007D6FEA"/>
    <w:rsid w:val="007F31B2"/>
    <w:rsid w:val="00806BF6"/>
    <w:rsid w:val="0081701B"/>
    <w:rsid w:val="00820F76"/>
    <w:rsid w:val="008227DA"/>
    <w:rsid w:val="00824260"/>
    <w:rsid w:val="00836EFE"/>
    <w:rsid w:val="00842D15"/>
    <w:rsid w:val="008448EF"/>
    <w:rsid w:val="00856472"/>
    <w:rsid w:val="00863B9F"/>
    <w:rsid w:val="008678F2"/>
    <w:rsid w:val="00870E44"/>
    <w:rsid w:val="008734DF"/>
    <w:rsid w:val="00874219"/>
    <w:rsid w:val="00875F6E"/>
    <w:rsid w:val="0088434D"/>
    <w:rsid w:val="008848AF"/>
    <w:rsid w:val="00886D6F"/>
    <w:rsid w:val="008902DC"/>
    <w:rsid w:val="008935C4"/>
    <w:rsid w:val="00897A83"/>
    <w:rsid w:val="008A67C0"/>
    <w:rsid w:val="008D287D"/>
    <w:rsid w:val="008F2F43"/>
    <w:rsid w:val="008F44D2"/>
    <w:rsid w:val="00902BE2"/>
    <w:rsid w:val="00912B10"/>
    <w:rsid w:val="00916532"/>
    <w:rsid w:val="00916EC7"/>
    <w:rsid w:val="00923C7E"/>
    <w:rsid w:val="00924275"/>
    <w:rsid w:val="009246E2"/>
    <w:rsid w:val="00931086"/>
    <w:rsid w:val="0093281D"/>
    <w:rsid w:val="00933721"/>
    <w:rsid w:val="00936704"/>
    <w:rsid w:val="009509CB"/>
    <w:rsid w:val="009606BC"/>
    <w:rsid w:val="00967E57"/>
    <w:rsid w:val="00972AB0"/>
    <w:rsid w:val="00977C05"/>
    <w:rsid w:val="00981385"/>
    <w:rsid w:val="00992C1F"/>
    <w:rsid w:val="00993C58"/>
    <w:rsid w:val="00994E59"/>
    <w:rsid w:val="009A533E"/>
    <w:rsid w:val="009D327E"/>
    <w:rsid w:val="009D3C7E"/>
    <w:rsid w:val="009D5B31"/>
    <w:rsid w:val="009E1CE1"/>
    <w:rsid w:val="009E3738"/>
    <w:rsid w:val="009E6822"/>
    <w:rsid w:val="009E6AD0"/>
    <w:rsid w:val="009F266B"/>
    <w:rsid w:val="009F3816"/>
    <w:rsid w:val="009F3AD0"/>
    <w:rsid w:val="009F3EB2"/>
    <w:rsid w:val="00A00669"/>
    <w:rsid w:val="00A04DDC"/>
    <w:rsid w:val="00A148CE"/>
    <w:rsid w:val="00A24465"/>
    <w:rsid w:val="00A3135D"/>
    <w:rsid w:val="00A3544C"/>
    <w:rsid w:val="00A40610"/>
    <w:rsid w:val="00A4220E"/>
    <w:rsid w:val="00A432C1"/>
    <w:rsid w:val="00A44A63"/>
    <w:rsid w:val="00A53302"/>
    <w:rsid w:val="00A575B4"/>
    <w:rsid w:val="00A60D15"/>
    <w:rsid w:val="00A64A5B"/>
    <w:rsid w:val="00A71B97"/>
    <w:rsid w:val="00A7268C"/>
    <w:rsid w:val="00A771FC"/>
    <w:rsid w:val="00A836F4"/>
    <w:rsid w:val="00A855F4"/>
    <w:rsid w:val="00A934EA"/>
    <w:rsid w:val="00A97811"/>
    <w:rsid w:val="00AA2DB1"/>
    <w:rsid w:val="00AB1CF0"/>
    <w:rsid w:val="00AB3581"/>
    <w:rsid w:val="00AC7551"/>
    <w:rsid w:val="00AD29A3"/>
    <w:rsid w:val="00AE57DF"/>
    <w:rsid w:val="00AE7EBC"/>
    <w:rsid w:val="00AF0F79"/>
    <w:rsid w:val="00AF1853"/>
    <w:rsid w:val="00AF2C36"/>
    <w:rsid w:val="00AF38D5"/>
    <w:rsid w:val="00AF3C2A"/>
    <w:rsid w:val="00B12FCC"/>
    <w:rsid w:val="00B14C37"/>
    <w:rsid w:val="00B16693"/>
    <w:rsid w:val="00B3153C"/>
    <w:rsid w:val="00B33245"/>
    <w:rsid w:val="00B368B9"/>
    <w:rsid w:val="00B43A79"/>
    <w:rsid w:val="00B44103"/>
    <w:rsid w:val="00B46FEC"/>
    <w:rsid w:val="00B53CAD"/>
    <w:rsid w:val="00B54440"/>
    <w:rsid w:val="00B554E7"/>
    <w:rsid w:val="00B64BAC"/>
    <w:rsid w:val="00B650B5"/>
    <w:rsid w:val="00B700E3"/>
    <w:rsid w:val="00B70786"/>
    <w:rsid w:val="00B83397"/>
    <w:rsid w:val="00B836F0"/>
    <w:rsid w:val="00B839B7"/>
    <w:rsid w:val="00B86DBE"/>
    <w:rsid w:val="00BA03BB"/>
    <w:rsid w:val="00BA3BA4"/>
    <w:rsid w:val="00BA4350"/>
    <w:rsid w:val="00BB731F"/>
    <w:rsid w:val="00BC53FF"/>
    <w:rsid w:val="00BC7930"/>
    <w:rsid w:val="00BD49FB"/>
    <w:rsid w:val="00BD5EE8"/>
    <w:rsid w:val="00BD7232"/>
    <w:rsid w:val="00BD7596"/>
    <w:rsid w:val="00BE1921"/>
    <w:rsid w:val="00BF3F03"/>
    <w:rsid w:val="00BF411E"/>
    <w:rsid w:val="00C035B5"/>
    <w:rsid w:val="00C0720E"/>
    <w:rsid w:val="00C1130F"/>
    <w:rsid w:val="00C1194F"/>
    <w:rsid w:val="00C143F5"/>
    <w:rsid w:val="00C21466"/>
    <w:rsid w:val="00C40D9A"/>
    <w:rsid w:val="00C545A2"/>
    <w:rsid w:val="00C545C6"/>
    <w:rsid w:val="00C54CA0"/>
    <w:rsid w:val="00C6599E"/>
    <w:rsid w:val="00C676BA"/>
    <w:rsid w:val="00C81AB4"/>
    <w:rsid w:val="00C857BF"/>
    <w:rsid w:val="00C878F3"/>
    <w:rsid w:val="00C956F4"/>
    <w:rsid w:val="00CA79FE"/>
    <w:rsid w:val="00CB3351"/>
    <w:rsid w:val="00CD4C89"/>
    <w:rsid w:val="00CE5D55"/>
    <w:rsid w:val="00CF1FE2"/>
    <w:rsid w:val="00CF29B9"/>
    <w:rsid w:val="00CF46A1"/>
    <w:rsid w:val="00CF71FF"/>
    <w:rsid w:val="00D024F4"/>
    <w:rsid w:val="00D06649"/>
    <w:rsid w:val="00D1033C"/>
    <w:rsid w:val="00D2102C"/>
    <w:rsid w:val="00D22E31"/>
    <w:rsid w:val="00D234B1"/>
    <w:rsid w:val="00D278AB"/>
    <w:rsid w:val="00D36D52"/>
    <w:rsid w:val="00D56DEA"/>
    <w:rsid w:val="00D61343"/>
    <w:rsid w:val="00D72E22"/>
    <w:rsid w:val="00D75D40"/>
    <w:rsid w:val="00D831EA"/>
    <w:rsid w:val="00D91B04"/>
    <w:rsid w:val="00D92EE8"/>
    <w:rsid w:val="00DB1262"/>
    <w:rsid w:val="00DB1841"/>
    <w:rsid w:val="00DB3200"/>
    <w:rsid w:val="00DB5192"/>
    <w:rsid w:val="00DB6F30"/>
    <w:rsid w:val="00DC4872"/>
    <w:rsid w:val="00DC6711"/>
    <w:rsid w:val="00DD2090"/>
    <w:rsid w:val="00DE7EF4"/>
    <w:rsid w:val="00DF1956"/>
    <w:rsid w:val="00E042CD"/>
    <w:rsid w:val="00E11567"/>
    <w:rsid w:val="00E13DAA"/>
    <w:rsid w:val="00E15C07"/>
    <w:rsid w:val="00E20458"/>
    <w:rsid w:val="00E254DD"/>
    <w:rsid w:val="00E3310A"/>
    <w:rsid w:val="00E33B9E"/>
    <w:rsid w:val="00E33C1C"/>
    <w:rsid w:val="00E45F22"/>
    <w:rsid w:val="00E52411"/>
    <w:rsid w:val="00E63B24"/>
    <w:rsid w:val="00E67749"/>
    <w:rsid w:val="00E714F1"/>
    <w:rsid w:val="00E74FDD"/>
    <w:rsid w:val="00E76C2D"/>
    <w:rsid w:val="00E813CF"/>
    <w:rsid w:val="00E8268E"/>
    <w:rsid w:val="00E90B8E"/>
    <w:rsid w:val="00E91FD8"/>
    <w:rsid w:val="00E92AD4"/>
    <w:rsid w:val="00E95973"/>
    <w:rsid w:val="00EA0F1A"/>
    <w:rsid w:val="00EB5C12"/>
    <w:rsid w:val="00ED0D9E"/>
    <w:rsid w:val="00ED2437"/>
    <w:rsid w:val="00EE3803"/>
    <w:rsid w:val="00EF7875"/>
    <w:rsid w:val="00F0149B"/>
    <w:rsid w:val="00F1495C"/>
    <w:rsid w:val="00F23689"/>
    <w:rsid w:val="00F31224"/>
    <w:rsid w:val="00F400A5"/>
    <w:rsid w:val="00F56583"/>
    <w:rsid w:val="00F56636"/>
    <w:rsid w:val="00F633B5"/>
    <w:rsid w:val="00F763C8"/>
    <w:rsid w:val="00F85713"/>
    <w:rsid w:val="00F8646A"/>
    <w:rsid w:val="00F86CCC"/>
    <w:rsid w:val="00F876DE"/>
    <w:rsid w:val="00F87EC7"/>
    <w:rsid w:val="00F92E72"/>
    <w:rsid w:val="00FA3ACA"/>
    <w:rsid w:val="00FB5473"/>
    <w:rsid w:val="00FB620F"/>
    <w:rsid w:val="00FC23C3"/>
    <w:rsid w:val="00FD473F"/>
    <w:rsid w:val="00FF1750"/>
    <w:rsid w:val="02501A66"/>
    <w:rsid w:val="03B335F1"/>
    <w:rsid w:val="040A45A5"/>
    <w:rsid w:val="04EE5A46"/>
    <w:rsid w:val="04F5651F"/>
    <w:rsid w:val="053554E2"/>
    <w:rsid w:val="06285FC6"/>
    <w:rsid w:val="06905135"/>
    <w:rsid w:val="08390829"/>
    <w:rsid w:val="08556550"/>
    <w:rsid w:val="09D236CA"/>
    <w:rsid w:val="0B5F41E3"/>
    <w:rsid w:val="0C5D37DA"/>
    <w:rsid w:val="0CED5EC8"/>
    <w:rsid w:val="0EB23B68"/>
    <w:rsid w:val="0F46193B"/>
    <w:rsid w:val="132A579A"/>
    <w:rsid w:val="14D4265F"/>
    <w:rsid w:val="16473606"/>
    <w:rsid w:val="174C0F33"/>
    <w:rsid w:val="192C022C"/>
    <w:rsid w:val="1B1C53F6"/>
    <w:rsid w:val="1C1B512A"/>
    <w:rsid w:val="20FE1CDC"/>
    <w:rsid w:val="22D04187"/>
    <w:rsid w:val="247A2FED"/>
    <w:rsid w:val="25B33B61"/>
    <w:rsid w:val="292E041B"/>
    <w:rsid w:val="2A0139F8"/>
    <w:rsid w:val="2CB32086"/>
    <w:rsid w:val="2CF86572"/>
    <w:rsid w:val="2D68533A"/>
    <w:rsid w:val="2D87129C"/>
    <w:rsid w:val="2EFD18C7"/>
    <w:rsid w:val="2FF05C58"/>
    <w:rsid w:val="30094BB9"/>
    <w:rsid w:val="3039692A"/>
    <w:rsid w:val="33EB7DCE"/>
    <w:rsid w:val="341E7C94"/>
    <w:rsid w:val="359810E0"/>
    <w:rsid w:val="35CB443E"/>
    <w:rsid w:val="397C0AFC"/>
    <w:rsid w:val="39EB0D3C"/>
    <w:rsid w:val="3BCB66C1"/>
    <w:rsid w:val="3D227D42"/>
    <w:rsid w:val="3E3C674B"/>
    <w:rsid w:val="3ECF344B"/>
    <w:rsid w:val="3F102CD9"/>
    <w:rsid w:val="3FD549CF"/>
    <w:rsid w:val="40D75A1B"/>
    <w:rsid w:val="41C23DCA"/>
    <w:rsid w:val="43181168"/>
    <w:rsid w:val="440F6E81"/>
    <w:rsid w:val="4427545F"/>
    <w:rsid w:val="44357B5B"/>
    <w:rsid w:val="451C7F0E"/>
    <w:rsid w:val="47314425"/>
    <w:rsid w:val="489C0C34"/>
    <w:rsid w:val="48A86B82"/>
    <w:rsid w:val="49C02D5F"/>
    <w:rsid w:val="4A752AAB"/>
    <w:rsid w:val="4A8C350E"/>
    <w:rsid w:val="4A8F4662"/>
    <w:rsid w:val="4C5A5139"/>
    <w:rsid w:val="4E18754B"/>
    <w:rsid w:val="4E947EE3"/>
    <w:rsid w:val="503E142B"/>
    <w:rsid w:val="50C638C7"/>
    <w:rsid w:val="50E368C3"/>
    <w:rsid w:val="521D5421"/>
    <w:rsid w:val="53080EE2"/>
    <w:rsid w:val="540C19A5"/>
    <w:rsid w:val="541A6CA5"/>
    <w:rsid w:val="544C572D"/>
    <w:rsid w:val="56A56F76"/>
    <w:rsid w:val="57AE30B2"/>
    <w:rsid w:val="57B379D7"/>
    <w:rsid w:val="58A03738"/>
    <w:rsid w:val="59070656"/>
    <w:rsid w:val="5E0E65BD"/>
    <w:rsid w:val="5F6432B0"/>
    <w:rsid w:val="5FF03596"/>
    <w:rsid w:val="608F20A5"/>
    <w:rsid w:val="6115367A"/>
    <w:rsid w:val="61790109"/>
    <w:rsid w:val="61FA68A1"/>
    <w:rsid w:val="62214762"/>
    <w:rsid w:val="629D25B0"/>
    <w:rsid w:val="64370389"/>
    <w:rsid w:val="649E1812"/>
    <w:rsid w:val="669B6A30"/>
    <w:rsid w:val="68112F5C"/>
    <w:rsid w:val="6A524E67"/>
    <w:rsid w:val="6BB63D67"/>
    <w:rsid w:val="6CB46D72"/>
    <w:rsid w:val="6D9E3B42"/>
    <w:rsid w:val="6DC31BC8"/>
    <w:rsid w:val="6FF05F6B"/>
    <w:rsid w:val="727B1024"/>
    <w:rsid w:val="73B743D8"/>
    <w:rsid w:val="752E0AD0"/>
    <w:rsid w:val="75C479C3"/>
    <w:rsid w:val="76004C93"/>
    <w:rsid w:val="77EE7157"/>
    <w:rsid w:val="7919158A"/>
    <w:rsid w:val="7973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3"/>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8"/>
    <w:semiHidden/>
    <w:unhideWhenUsed/>
    <w:qFormat/>
    <w:uiPriority w:val="9"/>
    <w:pPr>
      <w:keepNext/>
      <w:keepLines/>
      <w:spacing w:before="120" w:after="0"/>
      <w:outlineLvl w:val="6"/>
    </w:pPr>
    <w:rPr>
      <w:i/>
      <w:iCs/>
    </w:rPr>
  </w:style>
  <w:style w:type="paragraph" w:styleId="9">
    <w:name w:val="heading 8"/>
    <w:basedOn w:val="1"/>
    <w:next w:val="1"/>
    <w:link w:val="39"/>
    <w:semiHidden/>
    <w:unhideWhenUsed/>
    <w:qFormat/>
    <w:uiPriority w:val="9"/>
    <w:pPr>
      <w:keepNext/>
      <w:keepLines/>
      <w:spacing w:before="120" w:after="0"/>
      <w:outlineLvl w:val="7"/>
    </w:pPr>
    <w:rPr>
      <w:b/>
      <w:bCs/>
    </w:rPr>
  </w:style>
  <w:style w:type="paragraph" w:styleId="10">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1"/>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2"/>
    <w:unhideWhenUsed/>
    <w:qFormat/>
    <w:uiPriority w:val="0"/>
    <w:rPr>
      <w:rFonts w:hAnsi="Courier New" w:cs="Courier New" w:asciiTheme="minorEastAsia"/>
    </w:rPr>
  </w:style>
  <w:style w:type="paragraph" w:styleId="16">
    <w:name w:val="Balloon Text"/>
    <w:basedOn w:val="1"/>
    <w:link w:val="43"/>
    <w:unhideWhenUsed/>
    <w:qFormat/>
    <w:uiPriority w:val="0"/>
    <w:pPr>
      <w:spacing w:after="0" w:line="240" w:lineRule="auto"/>
    </w:pPr>
    <w:rPr>
      <w:sz w:val="18"/>
      <w:szCs w:val="18"/>
    </w:rPr>
  </w:style>
  <w:style w:type="paragraph" w:styleId="17">
    <w:name w:val="footer"/>
    <w:basedOn w:val="1"/>
    <w:link w:val="4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6"/>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4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unhideWhenUsed/>
    <w:qFormat/>
    <w:uiPriority w:val="99"/>
    <w:pPr>
      <w:spacing w:before="100" w:beforeAutospacing="1" w:after="100" w:afterAutospacing="1" w:line="240" w:lineRule="auto"/>
      <w:jc w:val="left"/>
    </w:pPr>
    <w:rPr>
      <w:rFonts w:ascii="宋体" w:hAnsi="宋体" w:eastAsia="宋体" w:cs="宋体"/>
      <w:sz w:val="24"/>
      <w:szCs w:val="24"/>
    </w:rPr>
  </w:style>
  <w:style w:type="paragraph" w:styleId="24">
    <w:name w:val="Title"/>
    <w:basedOn w:val="1"/>
    <w:next w:val="1"/>
    <w:link w:val="4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page number"/>
    <w:basedOn w:val="27"/>
    <w:qFormat/>
    <w:uiPriority w:val="0"/>
  </w:style>
  <w:style w:type="character" w:styleId="30">
    <w:name w:val="Emphasis"/>
    <w:basedOn w:val="27"/>
    <w:qFormat/>
    <w:uiPriority w:val="20"/>
    <w:rPr>
      <w:i/>
      <w:iCs/>
      <w:color w:val="auto"/>
    </w:rPr>
  </w:style>
  <w:style w:type="character" w:styleId="31">
    <w:name w:val="Hyperlink"/>
    <w:basedOn w:val="27"/>
    <w:qFormat/>
    <w:uiPriority w:val="99"/>
    <w:rPr>
      <w:color w:val="0000FF"/>
      <w:u w:val="single"/>
    </w:rPr>
  </w:style>
  <w:style w:type="character" w:customStyle="1" w:styleId="32">
    <w:name w:val="标题 1 Char"/>
    <w:basedOn w:val="27"/>
    <w:link w:val="2"/>
    <w:qFormat/>
    <w:uiPriority w:val="9"/>
    <w:rPr>
      <w:rFonts w:asciiTheme="majorHAnsi" w:hAnsiTheme="majorHAnsi" w:eastAsiaTheme="majorEastAsia" w:cstheme="majorBidi"/>
      <w:b/>
      <w:bCs/>
      <w:caps/>
      <w:spacing w:val="4"/>
      <w:sz w:val="28"/>
      <w:szCs w:val="28"/>
    </w:rPr>
  </w:style>
  <w:style w:type="character" w:customStyle="1" w:styleId="33">
    <w:name w:val="标题 2 Char"/>
    <w:basedOn w:val="27"/>
    <w:link w:val="3"/>
    <w:semiHidden/>
    <w:qFormat/>
    <w:uiPriority w:val="9"/>
    <w:rPr>
      <w:rFonts w:asciiTheme="majorHAnsi" w:hAnsiTheme="majorHAnsi" w:eastAsiaTheme="majorEastAsia" w:cstheme="majorBidi"/>
      <w:b/>
      <w:bCs/>
      <w:sz w:val="28"/>
      <w:szCs w:val="28"/>
    </w:rPr>
  </w:style>
  <w:style w:type="character" w:customStyle="1" w:styleId="34">
    <w:name w:val="标题 3 Char"/>
    <w:basedOn w:val="27"/>
    <w:link w:val="4"/>
    <w:semiHidden/>
    <w:qFormat/>
    <w:uiPriority w:val="9"/>
    <w:rPr>
      <w:rFonts w:asciiTheme="majorHAnsi" w:hAnsiTheme="majorHAnsi" w:eastAsiaTheme="majorEastAsia" w:cstheme="majorBidi"/>
      <w:spacing w:val="4"/>
      <w:sz w:val="24"/>
      <w:szCs w:val="24"/>
    </w:rPr>
  </w:style>
  <w:style w:type="character" w:customStyle="1" w:styleId="35">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6">
    <w:name w:val="标题 5 Char"/>
    <w:basedOn w:val="27"/>
    <w:link w:val="6"/>
    <w:semiHidden/>
    <w:qFormat/>
    <w:uiPriority w:val="9"/>
    <w:rPr>
      <w:rFonts w:asciiTheme="majorHAnsi" w:hAnsiTheme="majorHAnsi" w:eastAsiaTheme="majorEastAsia" w:cstheme="majorBidi"/>
      <w:b/>
      <w:bCs/>
    </w:rPr>
  </w:style>
  <w:style w:type="character" w:customStyle="1" w:styleId="37">
    <w:name w:val="标题 6 Char"/>
    <w:basedOn w:val="27"/>
    <w:link w:val="7"/>
    <w:semiHidden/>
    <w:qFormat/>
    <w:uiPriority w:val="9"/>
    <w:rPr>
      <w:rFonts w:asciiTheme="majorHAnsi" w:hAnsiTheme="majorHAnsi" w:eastAsiaTheme="majorEastAsia" w:cstheme="majorBidi"/>
      <w:b/>
      <w:bCs/>
      <w:i/>
      <w:iCs/>
    </w:rPr>
  </w:style>
  <w:style w:type="character" w:customStyle="1" w:styleId="38">
    <w:name w:val="标题 7 Char"/>
    <w:basedOn w:val="27"/>
    <w:link w:val="8"/>
    <w:semiHidden/>
    <w:qFormat/>
    <w:uiPriority w:val="9"/>
    <w:rPr>
      <w:i/>
      <w:iCs/>
    </w:rPr>
  </w:style>
  <w:style w:type="character" w:customStyle="1" w:styleId="39">
    <w:name w:val="标题 8 Char"/>
    <w:basedOn w:val="27"/>
    <w:link w:val="9"/>
    <w:semiHidden/>
    <w:qFormat/>
    <w:uiPriority w:val="9"/>
    <w:rPr>
      <w:b/>
      <w:bCs/>
    </w:rPr>
  </w:style>
  <w:style w:type="character" w:customStyle="1" w:styleId="40">
    <w:name w:val="标题 9 Char"/>
    <w:basedOn w:val="27"/>
    <w:link w:val="10"/>
    <w:semiHidden/>
    <w:qFormat/>
    <w:uiPriority w:val="9"/>
    <w:rPr>
      <w:i/>
      <w:iCs/>
    </w:rPr>
  </w:style>
  <w:style w:type="character" w:customStyle="1" w:styleId="41">
    <w:name w:val="正文文本 Char"/>
    <w:basedOn w:val="27"/>
    <w:link w:val="13"/>
    <w:qFormat/>
    <w:uiPriority w:val="99"/>
  </w:style>
  <w:style w:type="character" w:customStyle="1" w:styleId="42">
    <w:name w:val="纯文本 Char1"/>
    <w:basedOn w:val="27"/>
    <w:link w:val="15"/>
    <w:qFormat/>
    <w:uiPriority w:val="0"/>
    <w:rPr>
      <w:rFonts w:hAnsi="Courier New" w:cs="Courier New" w:asciiTheme="minorEastAsia"/>
    </w:rPr>
  </w:style>
  <w:style w:type="character" w:customStyle="1" w:styleId="43">
    <w:name w:val="批注框文本 Char"/>
    <w:basedOn w:val="27"/>
    <w:link w:val="16"/>
    <w:qFormat/>
    <w:uiPriority w:val="0"/>
    <w:rPr>
      <w:sz w:val="18"/>
      <w:szCs w:val="18"/>
    </w:rPr>
  </w:style>
  <w:style w:type="character" w:customStyle="1" w:styleId="44">
    <w:name w:val="页脚 Char"/>
    <w:basedOn w:val="27"/>
    <w:link w:val="17"/>
    <w:qFormat/>
    <w:uiPriority w:val="99"/>
    <w:rPr>
      <w:sz w:val="18"/>
      <w:szCs w:val="18"/>
    </w:rPr>
  </w:style>
  <w:style w:type="character" w:customStyle="1" w:styleId="45">
    <w:name w:val="页眉 Char"/>
    <w:basedOn w:val="27"/>
    <w:link w:val="18"/>
    <w:qFormat/>
    <w:uiPriority w:val="99"/>
    <w:rPr>
      <w:sz w:val="18"/>
      <w:szCs w:val="18"/>
    </w:rPr>
  </w:style>
  <w:style w:type="character" w:customStyle="1" w:styleId="46">
    <w:name w:val="副标题 Char"/>
    <w:basedOn w:val="27"/>
    <w:link w:val="20"/>
    <w:qFormat/>
    <w:uiPriority w:val="11"/>
    <w:rPr>
      <w:rFonts w:asciiTheme="majorHAnsi" w:hAnsiTheme="majorHAnsi" w:eastAsiaTheme="majorEastAsia" w:cstheme="majorBidi"/>
      <w:sz w:val="24"/>
      <w:szCs w:val="24"/>
    </w:rPr>
  </w:style>
  <w:style w:type="character" w:customStyle="1" w:styleId="47">
    <w:name w:val="正文文本缩进 3 Char"/>
    <w:basedOn w:val="27"/>
    <w:link w:val="21"/>
    <w:qFormat/>
    <w:uiPriority w:val="0"/>
    <w:rPr>
      <w:rFonts w:ascii="Times New Roman" w:hAnsi="Times New Roman" w:eastAsia="宋体" w:cs="Times New Roman"/>
      <w:kern w:val="2"/>
      <w:sz w:val="16"/>
      <w:szCs w:val="16"/>
    </w:rPr>
  </w:style>
  <w:style w:type="character" w:customStyle="1" w:styleId="48">
    <w:name w:val="标题 Char"/>
    <w:basedOn w:val="27"/>
    <w:link w:val="24"/>
    <w:qFormat/>
    <w:uiPriority w:val="10"/>
    <w:rPr>
      <w:rFonts w:asciiTheme="majorHAnsi" w:hAnsiTheme="majorHAnsi" w:eastAsiaTheme="majorEastAsia" w:cstheme="majorBidi"/>
      <w:b/>
      <w:bCs/>
      <w:spacing w:val="-7"/>
      <w:sz w:val="48"/>
      <w:szCs w:val="48"/>
    </w:rPr>
  </w:style>
  <w:style w:type="paragraph" w:styleId="49">
    <w:name w:val="No Spacing"/>
    <w:link w:val="50"/>
    <w:qFormat/>
    <w:uiPriority w:val="1"/>
    <w:pPr>
      <w:jc w:val="both"/>
    </w:pPr>
    <w:rPr>
      <w:rFonts w:asciiTheme="minorHAnsi" w:hAnsiTheme="minorHAnsi" w:eastAsiaTheme="minorEastAsia" w:cstheme="minorBidi"/>
      <w:sz w:val="22"/>
      <w:szCs w:val="22"/>
      <w:lang w:val="en-US" w:eastAsia="zh-CN" w:bidi="ar-SA"/>
    </w:rPr>
  </w:style>
  <w:style w:type="character" w:customStyle="1" w:styleId="50">
    <w:name w:val="无间隔 Char"/>
    <w:basedOn w:val="27"/>
    <w:link w:val="49"/>
    <w:qFormat/>
    <w:uiPriority w:val="1"/>
  </w:style>
  <w:style w:type="paragraph" w:styleId="51">
    <w:name w:val="Quote"/>
    <w:basedOn w:val="1"/>
    <w:next w:val="1"/>
    <w:link w:val="5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2">
    <w:name w:val="引用 Char"/>
    <w:basedOn w:val="27"/>
    <w:link w:val="51"/>
    <w:qFormat/>
    <w:uiPriority w:val="29"/>
    <w:rPr>
      <w:rFonts w:asciiTheme="majorHAnsi" w:hAnsiTheme="majorHAnsi" w:eastAsiaTheme="majorEastAsia" w:cstheme="majorBidi"/>
      <w:i/>
      <w:iCs/>
      <w:sz w:val="24"/>
      <w:szCs w:val="24"/>
    </w:rPr>
  </w:style>
  <w:style w:type="paragraph" w:styleId="53">
    <w:name w:val="Intense Quote"/>
    <w:basedOn w:val="1"/>
    <w:next w:val="1"/>
    <w:link w:val="5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4">
    <w:name w:val="明显引用 Char"/>
    <w:basedOn w:val="27"/>
    <w:link w:val="53"/>
    <w:qFormat/>
    <w:uiPriority w:val="30"/>
    <w:rPr>
      <w:rFonts w:asciiTheme="majorHAnsi" w:hAnsiTheme="majorHAnsi" w:eastAsiaTheme="majorEastAsia" w:cstheme="majorBidi"/>
      <w:sz w:val="26"/>
      <w:szCs w:val="26"/>
    </w:rPr>
  </w:style>
  <w:style w:type="character" w:customStyle="1" w:styleId="55">
    <w:name w:val="不明显强调1"/>
    <w:basedOn w:val="27"/>
    <w:qFormat/>
    <w:uiPriority w:val="19"/>
    <w:rPr>
      <w:i/>
      <w:iCs/>
      <w:color w:val="auto"/>
    </w:rPr>
  </w:style>
  <w:style w:type="character" w:customStyle="1" w:styleId="56">
    <w:name w:val="明显强调1"/>
    <w:basedOn w:val="27"/>
    <w:qFormat/>
    <w:uiPriority w:val="21"/>
    <w:rPr>
      <w:b/>
      <w:bCs/>
      <w:i/>
      <w:iCs/>
      <w:color w:val="auto"/>
    </w:rPr>
  </w:style>
  <w:style w:type="character" w:customStyle="1" w:styleId="57">
    <w:name w:val="不明显参考1"/>
    <w:basedOn w:val="27"/>
    <w:qFormat/>
    <w:uiPriority w:val="31"/>
    <w:rPr>
      <w:smallCaps/>
      <w:color w:val="auto"/>
      <w:u w:val="single" w:color="7E7E7E" w:themeColor="text1" w:themeTint="80"/>
    </w:rPr>
  </w:style>
  <w:style w:type="character" w:customStyle="1" w:styleId="58">
    <w:name w:val="明显参考1"/>
    <w:basedOn w:val="27"/>
    <w:qFormat/>
    <w:uiPriority w:val="32"/>
    <w:rPr>
      <w:b/>
      <w:bCs/>
      <w:smallCaps/>
      <w:color w:val="auto"/>
      <w:u w:val="single"/>
    </w:rPr>
  </w:style>
  <w:style w:type="character" w:customStyle="1" w:styleId="59">
    <w:name w:val="书籍标题1"/>
    <w:basedOn w:val="27"/>
    <w:qFormat/>
    <w:uiPriority w:val="33"/>
    <w:rPr>
      <w:b/>
      <w:bCs/>
      <w:smallCaps/>
      <w:color w:val="auto"/>
    </w:rPr>
  </w:style>
  <w:style w:type="paragraph" w:customStyle="1" w:styleId="60">
    <w:name w:val="TOC 标题1"/>
    <w:basedOn w:val="2"/>
    <w:next w:val="1"/>
    <w:unhideWhenUsed/>
    <w:qFormat/>
    <w:uiPriority w:val="39"/>
    <w:pPr>
      <w:outlineLvl w:val="9"/>
    </w:pPr>
  </w:style>
  <w:style w:type="paragraph" w:customStyle="1" w:styleId="6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font01"/>
    <w:basedOn w:val="27"/>
    <w:qFormat/>
    <w:uiPriority w:val="0"/>
    <w:rPr>
      <w:rFonts w:hint="eastAsia" w:ascii="宋体" w:hAnsi="宋体" w:eastAsia="宋体" w:cs="宋体"/>
      <w:color w:val="000000"/>
      <w:sz w:val="20"/>
      <w:szCs w:val="20"/>
      <w:u w:val="none"/>
    </w:rPr>
  </w:style>
  <w:style w:type="character" w:customStyle="1" w:styleId="66">
    <w:name w:val="font11"/>
    <w:basedOn w:val="27"/>
    <w:qFormat/>
    <w:uiPriority w:val="0"/>
    <w:rPr>
      <w:rFonts w:hint="eastAsia" w:ascii="微软雅黑" w:hAnsi="微软雅黑" w:eastAsia="微软雅黑" w:cs="微软雅黑"/>
      <w:color w:val="000000"/>
      <w:sz w:val="20"/>
      <w:szCs w:val="20"/>
      <w:u w:val="none"/>
    </w:rPr>
  </w:style>
  <w:style w:type="paragraph" w:customStyle="1" w:styleId="67">
    <w:name w:val="_Style 3"/>
    <w:basedOn w:val="1"/>
    <w:qFormat/>
    <w:uiPriority w:val="34"/>
    <w:pPr>
      <w:ind w:firstLine="420" w:firstLineChars="200"/>
    </w:pPr>
    <w:rPr>
      <w:rFonts w:ascii="Calibri" w:hAnsi="Calibri"/>
    </w:rPr>
  </w:style>
  <w:style w:type="character" w:customStyle="1" w:styleId="68">
    <w:name w:val="font31"/>
    <w:basedOn w:val="27"/>
    <w:qFormat/>
    <w:uiPriority w:val="0"/>
    <w:rPr>
      <w:rFonts w:hint="eastAsia" w:ascii="宋体" w:hAnsi="宋体" w:eastAsia="宋体" w:cs="宋体"/>
      <w:color w:val="000000"/>
      <w:sz w:val="18"/>
      <w:szCs w:val="18"/>
      <w:u w:val="none"/>
    </w:rPr>
  </w:style>
  <w:style w:type="character" w:customStyle="1" w:styleId="69">
    <w:name w:val="font21"/>
    <w:basedOn w:val="27"/>
    <w:qFormat/>
    <w:uiPriority w:val="0"/>
    <w:rPr>
      <w:rFonts w:hint="default" w:ascii="Times New Roman" w:hAnsi="Times New Roman" w:cs="Times New Roman"/>
      <w:color w:val="000000"/>
      <w:sz w:val="18"/>
      <w:szCs w:val="18"/>
      <w:u w:val="none"/>
    </w:rPr>
  </w:style>
  <w:style w:type="character" w:customStyle="1" w:styleId="70">
    <w:name w:val="font61"/>
    <w:basedOn w:val="2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3B6DC7-C267-4321-8066-EA499215DBB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823</Words>
  <Characters>4696</Characters>
  <Lines>39</Lines>
  <Paragraphs>11</Paragraphs>
  <TotalTime>38</TotalTime>
  <ScaleCrop>false</ScaleCrop>
  <LinksUpToDate>false</LinksUpToDate>
  <CharactersWithSpaces>5508</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2021-02-16T02:27:00Z</dcterms:created>
  <dc:creator>树亮 门</dc:creator>
  <cp:lastModifiedBy>il菓菓</cp:lastModifiedBy>
  <cp:lastPrinted>2020-10-29T07:56:00Z</cp:lastPrinted>
  <dcterms:modified xsi:type="dcterms:W3CDTF">2021-08-17T06:17:09Z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26AF2B4BC2214836BF19339BA5BDFB09</vt:lpwstr>
  </property>
</Properties>
</file>