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1000" w:lineRule="exact"/>
        <w:jc w:val="center"/>
        <w:rPr>
          <w:rFonts w:ascii="仿宋" w:hAnsi="仿宋" w:eastAsia="仿宋"/>
          <w:b/>
          <w:sz w:val="72"/>
          <w:szCs w:val="72"/>
        </w:rPr>
      </w:pPr>
      <w:bookmarkStart w:id="0" w:name="_Hlk38472698"/>
      <w:r>
        <w:rPr>
          <w:rFonts w:hint="eastAsia" w:ascii="仿宋" w:hAnsi="仿宋" w:eastAsia="仿宋"/>
          <w:b/>
          <w:sz w:val="72"/>
          <w:szCs w:val="72"/>
        </w:rPr>
        <w:t>济南大学泉城学院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sz w:val="44"/>
          <w:szCs w:val="44"/>
          <w:lang w:val="en-US" w:eastAsia="zh-CN"/>
        </w:rPr>
        <w:t>2021年秋季新生教材</w:t>
      </w:r>
      <w:r>
        <w:rPr>
          <w:rFonts w:hint="eastAsia" w:ascii="仿宋" w:hAnsi="仿宋" w:eastAsia="仿宋"/>
          <w:b/>
          <w:sz w:val="44"/>
          <w:szCs w:val="44"/>
          <w:lang w:eastAsia="zh-CN"/>
        </w:rPr>
        <w:t>采购</w:t>
      </w:r>
      <w:r>
        <w:rPr>
          <w:rFonts w:hint="eastAsia" w:ascii="仿宋" w:hAnsi="仿宋" w:eastAsia="仿宋"/>
          <w:b/>
          <w:sz w:val="44"/>
          <w:szCs w:val="44"/>
        </w:rPr>
        <w:t>项目</w:t>
      </w:r>
      <w:bookmarkStart w:id="259" w:name="_GoBack"/>
      <w:bookmarkEnd w:id="259"/>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left="0" w:leftChars="0" w:firstLine="0" w:firstLineChars="0"/>
        <w:jc w:val="both"/>
        <w:rPr>
          <w:rFonts w:hint="default" w:ascii="仿宋" w:hAnsi="仿宋" w:eastAsia="仿宋"/>
          <w:b/>
          <w:sz w:val="36"/>
          <w:szCs w:val="36"/>
          <w:lang w:val="en-US" w:eastAsia="zh-CN"/>
        </w:rPr>
      </w:pPr>
      <w:r>
        <w:rPr>
          <w:rFonts w:hint="eastAsia" w:ascii="仿宋" w:hAnsi="仿宋" w:eastAsia="仿宋"/>
          <w:b/>
          <w:sz w:val="36"/>
          <w:szCs w:val="36"/>
        </w:rPr>
        <w:t>项目编号：</w:t>
      </w:r>
      <w:r>
        <w:rPr>
          <w:rFonts w:hint="eastAsia" w:ascii="仿宋" w:hAnsi="仿宋" w:eastAsia="仿宋"/>
          <w:b/>
          <w:sz w:val="36"/>
          <w:szCs w:val="36"/>
          <w:lang w:val="en-US" w:eastAsia="zh-CN"/>
        </w:rPr>
        <w:t>JDQY20210830</w:t>
      </w:r>
    </w:p>
    <w:p>
      <w:pPr>
        <w:spacing w:line="500" w:lineRule="exact"/>
        <w:ind w:left="0" w:leftChars="0" w:firstLine="0" w:firstLineChars="0"/>
        <w:jc w:val="both"/>
        <w:rPr>
          <w:rFonts w:ascii="仿宋" w:hAnsi="仿宋" w:eastAsia="仿宋"/>
          <w:b/>
          <w:sz w:val="36"/>
          <w:szCs w:val="36"/>
        </w:rPr>
        <w:sectPr>
          <w:footerReference r:id="rId5" w:type="default"/>
          <w:pgSz w:w="11906" w:h="16838"/>
          <w:pgMar w:top="1440" w:right="1416" w:bottom="1440" w:left="1134" w:header="851" w:footer="227" w:gutter="0"/>
          <w:cols w:space="425" w:num="1"/>
          <w:titlePg/>
          <w:docGrid w:type="lines" w:linePitch="312" w:charSpace="0"/>
        </w:sectPr>
      </w:pPr>
      <w:bookmarkStart w:id="1" w:name="_Toc160880118"/>
      <w:bookmarkStart w:id="2" w:name="_Toc169332792"/>
      <w:bookmarkStart w:id="3" w:name="_Toc160880485"/>
      <w:r>
        <w:rPr>
          <w:rFonts w:hint="eastAsia" w:ascii="仿宋" w:hAnsi="仿宋" w:eastAsia="仿宋"/>
          <w:b/>
          <w:sz w:val="36"/>
          <w:szCs w:val="36"/>
        </w:rPr>
        <w:t>项目名称</w:t>
      </w:r>
      <w:bookmarkEnd w:id="1"/>
      <w:bookmarkEnd w:id="2"/>
      <w:bookmarkEnd w:id="3"/>
      <w:r>
        <w:rPr>
          <w:rFonts w:hint="eastAsia" w:ascii="仿宋" w:hAnsi="仿宋" w:eastAsia="仿宋"/>
          <w:b/>
          <w:sz w:val="36"/>
          <w:szCs w:val="36"/>
        </w:rPr>
        <w:t>：</w:t>
      </w:r>
      <w:bookmarkStart w:id="4" w:name="_Hlk52355075"/>
      <w:bookmarkStart w:id="5" w:name="_Toc235437942"/>
      <w:bookmarkStart w:id="6" w:name="_Toc235438297"/>
      <w:bookmarkStart w:id="7" w:name="_Toc267059519"/>
      <w:bookmarkStart w:id="8" w:name="_Toc267060407"/>
      <w:bookmarkStart w:id="9" w:name="_Toc267060022"/>
      <w:bookmarkStart w:id="10" w:name="_Toc223146565"/>
      <w:bookmarkStart w:id="11" w:name="_Toc212456146"/>
      <w:bookmarkStart w:id="12" w:name="_Toc267059786"/>
      <w:bookmarkStart w:id="13" w:name="_Toc225669277"/>
      <w:bookmarkStart w:id="14" w:name="_Toc212530253"/>
      <w:bookmarkStart w:id="15" w:name="_Toc207014580"/>
      <w:bookmarkStart w:id="16" w:name="_Toc266870386"/>
      <w:bookmarkStart w:id="17" w:name="_Toc267059633"/>
      <w:bookmarkStart w:id="18" w:name="_Toc255974963"/>
      <w:bookmarkStart w:id="19" w:name="_Toc273178686"/>
      <w:bookmarkStart w:id="20" w:name="_Toc259692600"/>
      <w:bookmarkStart w:id="21" w:name="_Toc251586187"/>
      <w:bookmarkStart w:id="22" w:name="_Toc267059161"/>
      <w:bookmarkStart w:id="23" w:name="_Toc249325665"/>
      <w:bookmarkStart w:id="24" w:name="_Toc236021402"/>
      <w:bookmarkStart w:id="25" w:name="_Toc267060162"/>
      <w:bookmarkStart w:id="26" w:name="_Toc219800200"/>
      <w:bookmarkStart w:id="27" w:name="_Toc254790852"/>
      <w:bookmarkStart w:id="28" w:name="_Toc267059010"/>
      <w:bookmarkStart w:id="29" w:name="_Toc169332794"/>
      <w:bookmarkStart w:id="30" w:name="_Toc251613780"/>
      <w:bookmarkStart w:id="31" w:name="_Toc212526081"/>
      <w:bookmarkStart w:id="32" w:name="_Toc266870861"/>
      <w:bookmarkStart w:id="33" w:name="_Toc235438227"/>
      <w:bookmarkStart w:id="34" w:name="_Toc253066567"/>
      <w:bookmarkStart w:id="35" w:name="_Toc266868624"/>
      <w:bookmarkStart w:id="36" w:name="_Toc217891359"/>
      <w:bookmarkStart w:id="37" w:name="_Toc216241307"/>
      <w:bookmarkStart w:id="38" w:name="_Toc211937196"/>
      <w:bookmarkStart w:id="39" w:name="_Toc160880487"/>
      <w:bookmarkStart w:id="40" w:name="_Toc177985424"/>
      <w:bookmarkStart w:id="41" w:name="_Toc259520819"/>
      <w:bookmarkStart w:id="42" w:name="_Toc258401210"/>
      <w:bookmarkStart w:id="43" w:name="_Toc227058483"/>
      <w:bookmarkStart w:id="44" w:name="_Toc212454753"/>
      <w:bookmarkStart w:id="45" w:name="_Toc266868924"/>
      <w:bookmarkStart w:id="46" w:name="_Toc169332904"/>
      <w:bookmarkStart w:id="47" w:name="_Toc259692693"/>
      <w:bookmarkStart w:id="48" w:name="_Toc170798743"/>
      <w:bookmarkStart w:id="49" w:name="_Toc267059899"/>
      <w:r>
        <w:rPr>
          <w:rFonts w:hint="eastAsia" w:ascii="仿宋" w:hAnsi="仿宋" w:eastAsia="仿宋"/>
          <w:b/>
          <w:sz w:val="36"/>
          <w:szCs w:val="36"/>
        </w:rPr>
        <w:t>济南大学泉城</w:t>
      </w:r>
      <w:r>
        <w:rPr>
          <w:rFonts w:hint="eastAsia" w:ascii="仿宋" w:hAnsi="仿宋" w:eastAsia="仿宋"/>
          <w:b/>
          <w:sz w:val="36"/>
          <w:szCs w:val="36"/>
          <w:lang w:eastAsia="zh-CN"/>
        </w:rPr>
        <w:t>学院2021年秋季新生教材采购</w:t>
      </w:r>
      <w:r>
        <w:rPr>
          <w:rFonts w:hint="eastAsia" w:ascii="仿宋" w:hAnsi="仿宋" w:eastAsia="仿宋"/>
          <w:b/>
          <w:sz w:val="36"/>
          <w:szCs w:val="36"/>
        </w:rPr>
        <w:t>项目</w:t>
      </w:r>
      <w:bookmarkEnd w:id="4"/>
    </w:p>
    <w:p>
      <w:pPr>
        <w:rPr>
          <w:rFonts w:hint="eastAsia" w:ascii="仿宋" w:hAnsi="仿宋" w:eastAsia="仿宋"/>
          <w:b/>
          <w:color w:val="auto"/>
          <w:sz w:val="44"/>
          <w:szCs w:val="44"/>
        </w:rPr>
      </w:pPr>
      <w:r>
        <w:rPr>
          <w:rFonts w:hint="eastAsia" w:ascii="仿宋" w:hAnsi="仿宋" w:eastAsia="仿宋"/>
          <w:b/>
          <w:color w:val="auto"/>
          <w:sz w:val="44"/>
          <w:szCs w:val="44"/>
        </w:rPr>
        <w:br w:type="page"/>
      </w:r>
    </w:p>
    <w:p>
      <w:pPr>
        <w:pStyle w:val="51"/>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hint="eastAsia" w:ascii="仿宋" w:hAnsi="仿宋" w:eastAsia="仿宋"/>
          <w:b/>
          <w:color w:val="auto"/>
          <w:sz w:val="44"/>
          <w:szCs w:val="44"/>
        </w:rPr>
        <w:t>函</w:t>
      </w:r>
    </w:p>
    <w:p>
      <w:pPr>
        <w:spacing w:line="500" w:lineRule="exact"/>
        <w:ind w:firstLine="560" w:firstLineChars="200"/>
        <w:rPr>
          <w:rFonts w:ascii="仿宋" w:hAnsi="仿宋" w:eastAsia="仿宋"/>
          <w:sz w:val="28"/>
          <w:szCs w:val="28"/>
        </w:rPr>
      </w:pPr>
      <w:bookmarkStart w:id="50" w:name="_Hlk10840310"/>
      <w:r>
        <w:rPr>
          <w:rFonts w:hint="eastAsia" w:ascii="仿宋" w:hAnsi="仿宋" w:eastAsia="仿宋"/>
          <w:sz w:val="28"/>
          <w:szCs w:val="28"/>
        </w:rPr>
        <w:t>济南大学泉城学院成立于2005年，是国家教育部和山东省人民政府批准成立的全日制普通本科高校。现有全日制在校生</w:t>
      </w:r>
      <w:r>
        <w:rPr>
          <w:rFonts w:ascii="仿宋" w:hAnsi="仿宋" w:eastAsia="仿宋"/>
          <w:sz w:val="28"/>
          <w:szCs w:val="28"/>
        </w:rPr>
        <w:t>1</w:t>
      </w:r>
      <w:r>
        <w:rPr>
          <w:rFonts w:hint="eastAsia" w:ascii="仿宋" w:hAnsi="仿宋" w:eastAsia="仿宋"/>
          <w:sz w:val="28"/>
          <w:szCs w:val="28"/>
          <w:lang w:val="en-US" w:eastAsia="zh-CN"/>
        </w:rPr>
        <w:t>4</w:t>
      </w:r>
      <w:r>
        <w:rPr>
          <w:rFonts w:ascii="仿宋" w:hAnsi="仿宋" w:eastAsia="仿宋"/>
          <w:sz w:val="28"/>
          <w:szCs w:val="28"/>
        </w:rPr>
        <w:t>000</w:t>
      </w:r>
      <w:r>
        <w:rPr>
          <w:rFonts w:hint="eastAsia" w:ascii="仿宋" w:hAnsi="仿宋" w:eastAsia="仿宋"/>
          <w:sz w:val="28"/>
          <w:szCs w:val="28"/>
        </w:rPr>
        <w:t>余人，基础设施完备，教学科研条件优越。根据需要，对济南大学泉城学院2021年秋季</w:t>
      </w:r>
      <w:r>
        <w:rPr>
          <w:rFonts w:hint="eastAsia" w:ascii="仿宋" w:hAnsi="仿宋" w:eastAsia="仿宋"/>
          <w:sz w:val="28"/>
          <w:szCs w:val="28"/>
          <w:lang w:eastAsia="zh-CN"/>
        </w:rPr>
        <w:t>新生</w:t>
      </w:r>
      <w:r>
        <w:rPr>
          <w:rFonts w:hint="eastAsia" w:ascii="仿宋" w:hAnsi="仿宋" w:eastAsia="仿宋"/>
          <w:sz w:val="28"/>
          <w:szCs w:val="28"/>
        </w:rPr>
        <w:t>教材项目进行公开询价，欢迎国内合格参与人参与。</w:t>
      </w:r>
    </w:p>
    <w:p>
      <w:pPr>
        <w:spacing w:after="0" w:line="500" w:lineRule="exact"/>
        <w:ind w:firstLine="427" w:firstLineChars="152"/>
        <w:jc w:val="left"/>
        <w:rPr>
          <w:rFonts w:ascii="仿宋" w:hAnsi="仿宋" w:eastAsia="仿宋"/>
          <w:b/>
          <w:bCs/>
          <w:sz w:val="28"/>
          <w:szCs w:val="28"/>
        </w:rPr>
      </w:pPr>
      <w:r>
        <w:rPr>
          <w:rFonts w:hint="eastAsia" w:ascii="仿宋" w:hAnsi="仿宋" w:eastAsia="仿宋"/>
          <w:b/>
          <w:bCs/>
          <w:sz w:val="28"/>
          <w:szCs w:val="28"/>
        </w:rPr>
        <w:t>一、项目说明</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项目编号：JDQY20210830</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项目名称：济南大学泉城学院2021年秋季</w:t>
      </w:r>
      <w:r>
        <w:rPr>
          <w:rFonts w:hint="eastAsia" w:ascii="仿宋" w:hAnsi="仿宋" w:eastAsia="仿宋"/>
          <w:sz w:val="28"/>
          <w:szCs w:val="28"/>
          <w:lang w:eastAsia="zh-CN"/>
        </w:rPr>
        <w:t>新生</w:t>
      </w:r>
      <w:r>
        <w:rPr>
          <w:rFonts w:hint="eastAsia" w:ascii="仿宋" w:hAnsi="仿宋" w:eastAsia="仿宋"/>
          <w:sz w:val="28"/>
          <w:szCs w:val="28"/>
        </w:rPr>
        <w:t>教材采购项目</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数量及主要技术要求:详见《公开询价货物一览表》。</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参与人资格标准：</w:t>
      </w:r>
      <w:r>
        <w:rPr>
          <w:rFonts w:ascii="仿宋" w:hAnsi="仿宋" w:eastAsia="仿宋"/>
          <w:sz w:val="28"/>
          <w:szCs w:val="28"/>
        </w:rPr>
        <w:t xml:space="preserve"> </w:t>
      </w:r>
    </w:p>
    <w:p>
      <w:pPr>
        <w:numPr>
          <w:ilvl w:val="0"/>
          <w:numId w:val="2"/>
        </w:numPr>
        <w:spacing w:after="0" w:line="500" w:lineRule="exact"/>
        <w:ind w:left="1410" w:leftChars="322" w:hanging="702" w:hangingChars="251"/>
        <w:jc w:val="left"/>
        <w:rPr>
          <w:rFonts w:hint="eastAsia" w:ascii="仿宋" w:hAnsi="仿宋" w:eastAsia="仿宋"/>
          <w:sz w:val="28"/>
          <w:szCs w:val="28"/>
        </w:rPr>
      </w:pPr>
      <w:r>
        <w:rPr>
          <w:rFonts w:hint="eastAsia" w:ascii="仿宋" w:hAnsi="仿宋" w:eastAsia="仿宋"/>
          <w:sz w:val="28"/>
          <w:szCs w:val="28"/>
        </w:rPr>
        <w:t>参与人应具有独立法人资格，具有独立承担民事责任能力的生产厂商或授权代理商。</w:t>
      </w:r>
    </w:p>
    <w:p>
      <w:pPr>
        <w:numPr>
          <w:ilvl w:val="0"/>
          <w:numId w:val="2"/>
        </w:numPr>
        <w:spacing w:after="0" w:line="500" w:lineRule="exact"/>
        <w:ind w:left="1410" w:leftChars="322" w:hanging="702" w:hangingChars="251"/>
        <w:jc w:val="left"/>
        <w:rPr>
          <w:rFonts w:hint="eastAsia" w:ascii="仿宋" w:hAnsi="仿宋" w:eastAsia="仿宋"/>
          <w:sz w:val="28"/>
          <w:szCs w:val="28"/>
          <w:highlight w:val="none"/>
        </w:rPr>
      </w:pPr>
      <w:r>
        <w:rPr>
          <w:rFonts w:hint="eastAsia" w:ascii="仿宋" w:hAnsi="仿宋" w:eastAsia="仿宋"/>
          <w:sz w:val="28"/>
          <w:szCs w:val="28"/>
          <w:highlight w:val="none"/>
        </w:rPr>
        <w:t>参与人应具</w:t>
      </w:r>
      <w:r>
        <w:rPr>
          <w:rFonts w:ascii="仿宋" w:hAnsi="仿宋" w:eastAsia="仿宋"/>
          <w:sz w:val="28"/>
          <w:szCs w:val="28"/>
          <w:highlight w:val="none"/>
        </w:rPr>
        <w:t>有提</w:t>
      </w:r>
      <w:r>
        <w:rPr>
          <w:rFonts w:hint="eastAsia" w:ascii="仿宋" w:hAnsi="仿宋" w:eastAsia="仿宋"/>
          <w:sz w:val="28"/>
          <w:szCs w:val="28"/>
          <w:highlight w:val="none"/>
        </w:rPr>
        <w:t>供</w:t>
      </w:r>
      <w:r>
        <w:rPr>
          <w:rFonts w:hint="eastAsia" w:ascii="仿宋" w:hAnsi="仿宋" w:eastAsia="仿宋" w:cs="仿宋"/>
          <w:sz w:val="28"/>
          <w:szCs w:val="28"/>
          <w:highlight w:val="none"/>
        </w:rPr>
        <w:t>国内出版社代理或发行资格，并具有高校教材征订、储运、调剂、退换及结算能力</w:t>
      </w:r>
      <w:r>
        <w:rPr>
          <w:rFonts w:hint="eastAsia" w:ascii="仿宋" w:hAnsi="仿宋" w:eastAsia="仿宋"/>
          <w:sz w:val="28"/>
          <w:szCs w:val="28"/>
          <w:highlight w:val="none"/>
        </w:rPr>
        <w:t>。</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3</w:t>
      </w:r>
      <w:r>
        <w:rPr>
          <w:rFonts w:hint="eastAsia" w:ascii="仿宋" w:hAnsi="仿宋" w:eastAsia="仿宋"/>
          <w:sz w:val="28"/>
          <w:szCs w:val="28"/>
        </w:rPr>
        <w:t>）</w:t>
      </w:r>
      <w:r>
        <w:rPr>
          <w:rFonts w:hint="eastAsia" w:ascii="仿宋" w:hAnsi="仿宋" w:eastAsia="仿宋"/>
          <w:color w:val="000000" w:themeColor="text1"/>
          <w:sz w:val="28"/>
          <w:szCs w:val="28"/>
          <w14:textFill>
            <w14:solidFill>
              <w14:schemeClr w14:val="tx1"/>
            </w14:solidFill>
          </w14:textFill>
        </w:rPr>
        <w:t>参与人应具</w:t>
      </w:r>
      <w:r>
        <w:rPr>
          <w:rFonts w:ascii="仿宋" w:hAnsi="仿宋" w:eastAsia="仿宋"/>
          <w:color w:val="000000" w:themeColor="text1"/>
          <w:sz w:val="28"/>
          <w:szCs w:val="28"/>
          <w14:textFill>
            <w14:solidFill>
              <w14:schemeClr w14:val="tx1"/>
            </w14:solidFill>
          </w14:textFill>
        </w:rPr>
        <w:t>有提</w:t>
      </w:r>
      <w:r>
        <w:rPr>
          <w:rFonts w:hint="eastAsia" w:ascii="仿宋" w:hAnsi="仿宋" w:eastAsia="仿宋"/>
          <w:color w:val="000000" w:themeColor="text1"/>
          <w:sz w:val="28"/>
          <w:szCs w:val="28"/>
          <w14:textFill>
            <w14:solidFill>
              <w14:schemeClr w14:val="tx1"/>
            </w14:solidFill>
          </w14:textFill>
        </w:rPr>
        <w:t>供相应的</w:t>
      </w:r>
      <w:r>
        <w:rPr>
          <w:rFonts w:hint="eastAsia" w:ascii="仿宋" w:hAnsi="仿宋" w:eastAsia="仿宋"/>
          <w:color w:val="000000" w:themeColor="text1"/>
          <w:sz w:val="28"/>
          <w:szCs w:val="28"/>
          <w:lang w:eastAsia="zh-CN"/>
          <w14:textFill>
            <w14:solidFill>
              <w14:schemeClr w14:val="tx1"/>
            </w14:solidFill>
          </w14:textFill>
        </w:rPr>
        <w:t>提供教材</w:t>
      </w:r>
      <w:r>
        <w:rPr>
          <w:rFonts w:hint="eastAsia" w:ascii="仿宋" w:hAnsi="仿宋" w:eastAsia="仿宋"/>
          <w:color w:val="000000" w:themeColor="text1"/>
          <w:sz w:val="28"/>
          <w:szCs w:val="28"/>
          <w14:textFill>
            <w14:solidFill>
              <w14:schemeClr w14:val="tx1"/>
            </w14:solidFill>
          </w14:textFill>
        </w:rPr>
        <w:t>和服务的能力。</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4</w:t>
      </w:r>
      <w:r>
        <w:rPr>
          <w:rFonts w:hint="eastAsia" w:ascii="仿宋" w:hAnsi="仿宋" w:eastAsia="仿宋"/>
          <w:sz w:val="28"/>
          <w:szCs w:val="28"/>
        </w:rPr>
        <w:t>）参与人应遵守中国的有关法律、法规和规章的规定。</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5</w:t>
      </w:r>
      <w:r>
        <w:rPr>
          <w:rFonts w:hint="eastAsia" w:ascii="仿宋" w:hAnsi="仿宋" w:eastAsia="仿宋"/>
          <w:sz w:val="28"/>
          <w:szCs w:val="28"/>
        </w:rPr>
        <w:t>）参与人须有良好的商业信誉和健全的财务制度。</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6</w:t>
      </w:r>
      <w:r>
        <w:rPr>
          <w:rFonts w:hint="eastAsia" w:ascii="仿宋" w:hAnsi="仿宋" w:eastAsia="仿宋"/>
          <w:sz w:val="28"/>
          <w:szCs w:val="28"/>
        </w:rPr>
        <w:t>）参与人有依法缴纳税金的良好记录。</w:t>
      </w:r>
    </w:p>
    <w:p>
      <w:pPr>
        <w:spacing w:after="0" w:line="500" w:lineRule="exact"/>
        <w:ind w:firstLine="705" w:firstLineChars="252"/>
        <w:jc w:val="left"/>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7</w:t>
      </w:r>
      <w:r>
        <w:rPr>
          <w:rFonts w:hint="eastAsia" w:ascii="仿宋" w:hAnsi="仿宋" w:eastAsia="仿宋"/>
          <w:sz w:val="28"/>
          <w:szCs w:val="28"/>
        </w:rPr>
        <w:t>）本项目不接受联合体参与报价。</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报价响应文件递交方式：密封报价或邮寄。</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w:t>
      </w:r>
      <w:r>
        <w:rPr>
          <w:rFonts w:ascii="仿宋" w:hAnsi="仿宋" w:eastAsia="仿宋"/>
          <w:sz w:val="28"/>
          <w:szCs w:val="28"/>
          <w:shd w:val="clear" w:color="auto" w:fill="FFFFFF"/>
        </w:rPr>
        <w:t>2</w:t>
      </w:r>
      <w:r>
        <w:rPr>
          <w:rFonts w:hint="eastAsia" w:ascii="仿宋" w:hAnsi="仿宋" w:eastAsia="仿宋"/>
          <w:sz w:val="28"/>
          <w:szCs w:val="28"/>
          <w:shd w:val="clear" w:color="auto" w:fill="FFFFFF"/>
          <w:lang w:val="en-US" w:eastAsia="zh-CN"/>
        </w:rPr>
        <w:t>1</w:t>
      </w:r>
      <w:r>
        <w:rPr>
          <w:rFonts w:hint="eastAsia" w:ascii="仿宋" w:hAnsi="仿宋" w:eastAsia="仿宋"/>
          <w:sz w:val="28"/>
          <w:szCs w:val="28"/>
          <w:shd w:val="clear" w:color="auto" w:fill="FFFFFF"/>
        </w:rPr>
        <w:t>年</w:t>
      </w:r>
      <w:r>
        <w:rPr>
          <w:rFonts w:hint="eastAsia" w:ascii="仿宋" w:hAnsi="仿宋" w:eastAsia="仿宋"/>
          <w:sz w:val="28"/>
          <w:szCs w:val="28"/>
          <w:shd w:val="clear" w:color="auto" w:fill="FFFFFF"/>
          <w:lang w:val="en-US" w:eastAsia="zh-CN"/>
        </w:rPr>
        <w:t>9</w:t>
      </w:r>
      <w:r>
        <w:rPr>
          <w:rFonts w:ascii="仿宋" w:hAnsi="仿宋" w:eastAsia="仿宋"/>
          <w:sz w:val="28"/>
          <w:szCs w:val="28"/>
          <w:shd w:val="clear" w:color="auto" w:fill="FFFFFF"/>
        </w:rPr>
        <w:t>月</w:t>
      </w:r>
      <w:r>
        <w:rPr>
          <w:rFonts w:hint="eastAsia" w:ascii="仿宋" w:hAnsi="仿宋" w:eastAsia="仿宋"/>
          <w:sz w:val="28"/>
          <w:szCs w:val="28"/>
          <w:shd w:val="clear" w:color="auto" w:fill="FFFFFF"/>
          <w:lang w:val="en-US" w:eastAsia="zh-CN"/>
        </w:rPr>
        <w:t>8</w:t>
      </w:r>
      <w:r>
        <w:rPr>
          <w:rFonts w:ascii="仿宋" w:hAnsi="仿宋" w:eastAsia="仿宋"/>
          <w:sz w:val="28"/>
          <w:szCs w:val="28"/>
          <w:shd w:val="clear" w:color="auto" w:fill="FFFFFF"/>
        </w:rPr>
        <w:t>日</w:t>
      </w:r>
      <w:r>
        <w:rPr>
          <w:rFonts w:hint="eastAsia" w:ascii="仿宋" w:hAnsi="仿宋" w:eastAsia="仿宋"/>
          <w:sz w:val="28"/>
          <w:szCs w:val="28"/>
          <w:shd w:val="clear" w:color="auto" w:fill="FFFFFF"/>
        </w:rPr>
        <w:t>下午</w:t>
      </w:r>
      <w:r>
        <w:rPr>
          <w:rFonts w:ascii="仿宋" w:hAnsi="仿宋" w:eastAsia="仿宋"/>
          <w:sz w:val="28"/>
          <w:szCs w:val="28"/>
          <w:shd w:val="clear" w:color="auto" w:fill="FFFFFF"/>
        </w:rPr>
        <w:t>16</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00</w:t>
      </w:r>
      <w:r>
        <w:rPr>
          <w:rFonts w:hint="eastAsia" w:ascii="仿宋" w:hAnsi="仿宋" w:eastAsia="仿宋"/>
          <w:sz w:val="28"/>
          <w:szCs w:val="28"/>
          <w:shd w:val="clear" w:color="auto" w:fill="FFFFFF"/>
        </w:rPr>
        <w:t>前。</w:t>
      </w:r>
    </w:p>
    <w:p>
      <w:pPr>
        <w:spacing w:after="0" w:line="500" w:lineRule="exact"/>
        <w:ind w:firstLine="420" w:firstLineChars="150"/>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 报价响应文件递交地点：山东省烟台市蓬莱区仙境西路3</w:t>
      </w:r>
      <w:r>
        <w:rPr>
          <w:rFonts w:ascii="仿宋" w:hAnsi="仿宋" w:eastAsia="仿宋"/>
          <w:sz w:val="28"/>
          <w:szCs w:val="28"/>
        </w:rPr>
        <w:t>4</w:t>
      </w:r>
      <w:r>
        <w:rPr>
          <w:rFonts w:hint="eastAsia" w:ascii="仿宋" w:hAnsi="仿宋" w:eastAsia="仿宋"/>
          <w:sz w:val="28"/>
          <w:szCs w:val="28"/>
        </w:rPr>
        <w:t>号济南大学泉城学院图文信息楼A</w:t>
      </w:r>
      <w:r>
        <w:rPr>
          <w:rFonts w:ascii="仿宋" w:hAnsi="仿宋" w:eastAsia="仿宋"/>
          <w:sz w:val="28"/>
          <w:szCs w:val="28"/>
        </w:rPr>
        <w:t>6</w:t>
      </w:r>
      <w:r>
        <w:rPr>
          <w:rFonts w:hint="eastAsia" w:ascii="仿宋" w:hAnsi="仿宋" w:eastAsia="仿宋"/>
          <w:sz w:val="28"/>
          <w:szCs w:val="28"/>
          <w:lang w:val="en-US" w:eastAsia="zh-CN"/>
        </w:rPr>
        <w:t>16</w:t>
      </w:r>
      <w:r>
        <w:rPr>
          <w:rFonts w:hint="eastAsia" w:ascii="仿宋" w:hAnsi="仿宋" w:eastAsia="仿宋"/>
          <w:sz w:val="28"/>
          <w:szCs w:val="28"/>
        </w:rPr>
        <w:t>总务处。</w:t>
      </w:r>
    </w:p>
    <w:p>
      <w:pPr>
        <w:widowControl w:val="0"/>
        <w:spacing w:after="0" w:line="500" w:lineRule="exact"/>
        <w:ind w:left="426" w:leftChars="0" w:firstLine="453" w:firstLineChars="162"/>
        <w:jc w:val="left"/>
        <w:rPr>
          <w:rFonts w:ascii="仿宋" w:hAnsi="仿宋" w:eastAsia="仿宋"/>
          <w:sz w:val="28"/>
          <w:szCs w:val="28"/>
        </w:rPr>
      </w:pPr>
      <w:r>
        <w:rPr>
          <w:rFonts w:hint="eastAsia" w:ascii="仿宋" w:hAnsi="仿宋" w:eastAsia="仿宋"/>
          <w:sz w:val="28"/>
          <w:szCs w:val="28"/>
        </w:rPr>
        <w:t>联系人：丛楠</w:t>
      </w:r>
      <w:r>
        <w:rPr>
          <w:rFonts w:ascii="仿宋" w:hAnsi="仿宋" w:eastAsia="仿宋"/>
          <w:sz w:val="28"/>
          <w:szCs w:val="28"/>
        </w:rPr>
        <w:tab/>
      </w:r>
      <w:r>
        <w:rPr>
          <w:rFonts w:hint="eastAsia" w:ascii="仿宋" w:hAnsi="仿宋" w:eastAsia="仿宋"/>
          <w:sz w:val="28"/>
          <w:szCs w:val="28"/>
        </w:rPr>
        <w:t>；联系电话：</w:t>
      </w:r>
      <w:r>
        <w:rPr>
          <w:rFonts w:ascii="仿宋" w:hAnsi="仿宋" w:eastAsia="仿宋"/>
          <w:sz w:val="28"/>
          <w:szCs w:val="28"/>
        </w:rPr>
        <w:t>15589582099</w:t>
      </w:r>
    </w:p>
    <w:p>
      <w:pPr>
        <w:widowControl w:val="0"/>
        <w:spacing w:after="0" w:line="500" w:lineRule="exact"/>
        <w:ind w:left="426" w:leftChars="0" w:firstLine="455" w:firstLineChars="162"/>
        <w:jc w:val="left"/>
        <w:rPr>
          <w:rFonts w:hint="eastAsia" w:ascii="仿宋" w:hAnsi="仿宋" w:eastAsia="仿宋"/>
          <w:b/>
          <w:bCs/>
          <w:sz w:val="28"/>
          <w:szCs w:val="28"/>
        </w:rPr>
      </w:pPr>
      <w:r>
        <w:rPr>
          <w:rFonts w:hint="eastAsia" w:ascii="仿宋" w:hAnsi="仿宋" w:eastAsia="仿宋"/>
          <w:b/>
          <w:bCs/>
          <w:sz w:val="28"/>
          <w:szCs w:val="28"/>
        </w:rPr>
        <w:t>本项目监督投诉部门:中教集团内控部</w:t>
      </w:r>
    </w:p>
    <w:p>
      <w:pPr>
        <w:widowControl w:val="0"/>
        <w:spacing w:after="0" w:line="500" w:lineRule="exact"/>
        <w:ind w:left="426" w:leftChars="0" w:firstLine="455" w:firstLineChars="162"/>
        <w:jc w:val="left"/>
        <w:rPr>
          <w:rFonts w:hint="eastAsia" w:ascii="仿宋" w:hAnsi="仿宋" w:eastAsia="仿宋"/>
          <w:b/>
          <w:bCs/>
          <w:sz w:val="28"/>
          <w:szCs w:val="28"/>
        </w:rPr>
      </w:pPr>
      <w:r>
        <w:rPr>
          <w:rFonts w:hint="eastAsia" w:ascii="仿宋" w:hAnsi="仿宋" w:eastAsia="仿宋"/>
          <w:b/>
          <w:bCs/>
          <w:sz w:val="28"/>
          <w:szCs w:val="28"/>
        </w:rPr>
        <w:t>投诉电话:0791-88102608</w:t>
      </w:r>
    </w:p>
    <w:p>
      <w:pPr>
        <w:widowControl w:val="0"/>
        <w:spacing w:after="0" w:line="500" w:lineRule="exact"/>
        <w:ind w:left="426" w:leftChars="0" w:firstLine="455" w:firstLineChars="162"/>
        <w:jc w:val="left"/>
        <w:rPr>
          <w:rFonts w:hint="eastAsia" w:ascii="仿宋" w:hAnsi="仿宋" w:eastAsia="仿宋"/>
          <w:b/>
          <w:bCs/>
          <w:sz w:val="28"/>
          <w:szCs w:val="28"/>
        </w:rPr>
      </w:pPr>
      <w:r>
        <w:rPr>
          <w:rFonts w:hint="eastAsia" w:ascii="仿宋" w:hAnsi="仿宋" w:eastAsia="仿宋"/>
          <w:b/>
          <w:bCs/>
          <w:sz w:val="28"/>
          <w:szCs w:val="28"/>
        </w:rPr>
        <w:t>投诉邮箱:Neikongbu@educationgroup.cn</w:t>
      </w:r>
    </w:p>
    <w:p>
      <w:pPr>
        <w:widowControl w:val="0"/>
        <w:spacing w:after="0" w:line="500" w:lineRule="exact"/>
        <w:ind w:left="426" w:leftChars="0" w:firstLine="455" w:firstLineChars="162"/>
        <w:jc w:val="left"/>
        <w:rPr>
          <w:rFonts w:ascii="仿宋" w:hAnsi="仿宋" w:eastAsia="仿宋"/>
          <w:b/>
          <w:bCs/>
          <w:sz w:val="28"/>
          <w:szCs w:val="28"/>
        </w:rPr>
      </w:pPr>
      <w:r>
        <w:rPr>
          <w:rFonts w:hint="eastAsia" w:ascii="仿宋" w:hAnsi="仿宋" w:eastAsia="仿宋"/>
          <w:b/>
          <w:bCs/>
          <w:sz w:val="28"/>
          <w:szCs w:val="28"/>
        </w:rPr>
        <w:t>本项目最终成交结果会在中教集团后勤贤知平台“中标信息公示”板块公示，网址：www.ceghqxz.com</w:t>
      </w:r>
    </w:p>
    <w:p>
      <w:pPr>
        <w:spacing w:after="0" w:line="500" w:lineRule="exact"/>
        <w:ind w:firstLine="427" w:firstLineChars="152"/>
        <w:jc w:val="left"/>
        <w:rPr>
          <w:rFonts w:ascii="仿宋" w:hAnsi="仿宋" w:eastAsia="仿宋"/>
          <w:b/>
          <w:bCs/>
          <w:sz w:val="28"/>
          <w:szCs w:val="28"/>
        </w:rPr>
      </w:pPr>
      <w:r>
        <w:rPr>
          <w:rFonts w:hint="eastAsia" w:ascii="仿宋" w:hAnsi="仿宋" w:eastAsia="仿宋"/>
          <w:b/>
          <w:bCs/>
          <w:sz w:val="28"/>
          <w:szCs w:val="28"/>
        </w:rPr>
        <w:t>二、参与人须知</w:t>
      </w:r>
    </w:p>
    <w:p>
      <w:pPr>
        <w:widowControl w:val="0"/>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所有货物均以人民币报价；</w:t>
      </w:r>
    </w:p>
    <w:p>
      <w:pPr>
        <w:widowControl w:val="0"/>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报价响应文件</w:t>
      </w:r>
      <w:r>
        <w:rPr>
          <w:rFonts w:hint="eastAsia" w:ascii="仿宋" w:hAnsi="仿宋" w:eastAsia="仿宋"/>
          <w:sz w:val="28"/>
          <w:szCs w:val="28"/>
          <w:lang w:val="en-US" w:eastAsia="zh-CN"/>
        </w:rPr>
        <w:t>2</w:t>
      </w:r>
      <w:r>
        <w:rPr>
          <w:rFonts w:hint="eastAsia" w:ascii="仿宋" w:hAnsi="仿宋" w:eastAsia="仿宋"/>
          <w:sz w:val="28"/>
          <w:szCs w:val="28"/>
        </w:rPr>
        <w:t>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w:t>
      </w:r>
      <w:r>
        <w:rPr>
          <w:rFonts w:ascii="仿宋" w:hAnsi="仿宋" w:eastAsia="仿宋"/>
          <w:sz w:val="28"/>
          <w:szCs w:val="28"/>
        </w:rPr>
        <w:t>1</w:t>
      </w:r>
      <w:r>
        <w:rPr>
          <w:rFonts w:hint="eastAsia" w:ascii="仿宋" w:hAnsi="仿宋" w:eastAsia="仿宋"/>
          <w:sz w:val="28"/>
          <w:szCs w:val="28"/>
        </w:rPr>
        <w:t>份副本</w:t>
      </w:r>
      <w:r>
        <w:rPr>
          <w:rFonts w:hint="eastAsia" w:ascii="仿宋" w:hAnsi="仿宋" w:eastAsia="仿宋"/>
          <w:sz w:val="28"/>
          <w:szCs w:val="28"/>
          <w:lang w:val="en-US" w:eastAsia="zh-CN"/>
        </w:rPr>
        <w:t>1</w:t>
      </w:r>
      <w:r>
        <w:rPr>
          <w:rFonts w:hint="eastAsia" w:ascii="仿宋" w:hAnsi="仿宋" w:eastAsia="仿宋"/>
          <w:sz w:val="28"/>
          <w:szCs w:val="28"/>
        </w:rPr>
        <w:t>份）；</w:t>
      </w:r>
    </w:p>
    <w:p>
      <w:pPr>
        <w:widowControl w:val="0"/>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报价响应文件用不退色墨水书写或打印，因字迹潦草或表达不清所引起的后果由参与人自负；</w:t>
      </w:r>
    </w:p>
    <w:p>
      <w:pPr>
        <w:widowControl w:val="0"/>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w:t>
      </w:r>
      <w:r>
        <w:rPr>
          <w:rFonts w:hint="eastAsia" w:ascii="仿宋" w:hAnsi="仿宋" w:eastAsia="仿宋"/>
          <w:sz w:val="28"/>
          <w:szCs w:val="28"/>
        </w:rPr>
        <w:t>一个参与人只能提交一个报价响应文件。但如果参与人之间存在下列互为关联关系情形之一的，不得同时参加本项目报价：</w:t>
      </w:r>
    </w:p>
    <w:p>
      <w:pPr>
        <w:widowControl w:val="0"/>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500" w:lineRule="exact"/>
        <w:ind w:firstLine="427" w:firstLineChars="152"/>
        <w:jc w:val="left"/>
        <w:rPr>
          <w:rFonts w:ascii="仿宋" w:hAnsi="仿宋" w:eastAsia="仿宋"/>
          <w:color w:val="FF0000"/>
          <w:sz w:val="28"/>
          <w:szCs w:val="28"/>
        </w:rPr>
      </w:pPr>
      <w:r>
        <w:rPr>
          <w:rFonts w:hint="eastAsia" w:ascii="仿宋" w:hAnsi="仿宋" w:eastAsia="仿宋"/>
          <w:b/>
          <w:bCs/>
          <w:sz w:val="28"/>
          <w:szCs w:val="28"/>
        </w:rPr>
        <w:t>三、</w:t>
      </w:r>
      <w:r>
        <w:rPr>
          <w:rFonts w:hint="eastAsia" w:ascii="仿宋" w:hAnsi="仿宋" w:eastAsia="仿宋"/>
          <w:sz w:val="28"/>
          <w:szCs w:val="28"/>
        </w:rPr>
        <w:t>售后服务要求</w:t>
      </w:r>
    </w:p>
    <w:p>
      <w:pPr>
        <w:widowControl w:val="0"/>
        <w:spacing w:after="0" w:line="500" w:lineRule="exact"/>
        <w:ind w:left="426"/>
        <w:jc w:val="left"/>
        <w:rPr>
          <w:rFonts w:hint="eastAsia"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产品质量保证期为1年</w:t>
      </w:r>
      <w:r>
        <w:rPr>
          <w:rFonts w:hint="eastAsia" w:ascii="仿宋" w:hAnsi="仿宋" w:eastAsia="仿宋"/>
          <w:color w:val="auto"/>
          <w:sz w:val="28"/>
          <w:szCs w:val="28"/>
          <w:lang w:eastAsia="zh-CN"/>
        </w:rPr>
        <w:t>，</w:t>
      </w:r>
      <w:r>
        <w:rPr>
          <w:rFonts w:hint="eastAsia" w:ascii="仿宋" w:hAnsi="仿宋" w:eastAsia="仿宋"/>
          <w:b/>
          <w:bCs/>
          <w:color w:val="auto"/>
          <w:sz w:val="28"/>
          <w:szCs w:val="28"/>
          <w:lang w:val="en-US" w:eastAsia="zh-CN"/>
        </w:rPr>
        <w:t>2021年9月25日前</w:t>
      </w:r>
      <w:r>
        <w:rPr>
          <w:rFonts w:hint="eastAsia" w:ascii="仿宋" w:hAnsi="仿宋" w:eastAsia="仿宋"/>
          <w:b/>
          <w:bCs/>
          <w:color w:val="auto"/>
          <w:sz w:val="28"/>
          <w:szCs w:val="28"/>
          <w:lang w:eastAsia="zh-CN"/>
        </w:rPr>
        <w:t>配送完毕</w:t>
      </w:r>
      <w:r>
        <w:rPr>
          <w:rFonts w:hint="eastAsia" w:ascii="仿宋" w:hAnsi="仿宋" w:eastAsia="仿宋"/>
          <w:b/>
          <w:bCs/>
          <w:color w:val="auto"/>
          <w:sz w:val="28"/>
          <w:szCs w:val="28"/>
        </w:rPr>
        <w:t>。</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2.应急送货时间安排；</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3.送货人员的地点、地址、联系电话及人员；</w:t>
      </w:r>
    </w:p>
    <w:p>
      <w:pPr>
        <w:spacing w:after="0" w:line="500" w:lineRule="exact"/>
        <w:ind w:firstLine="427" w:firstLineChars="152"/>
        <w:jc w:val="left"/>
        <w:rPr>
          <w:rFonts w:ascii="仿宋" w:hAnsi="仿宋" w:eastAsia="仿宋"/>
          <w:b/>
          <w:bCs/>
          <w:sz w:val="28"/>
          <w:szCs w:val="28"/>
        </w:rPr>
      </w:pPr>
      <w:r>
        <w:rPr>
          <w:rFonts w:hint="eastAsia" w:ascii="仿宋" w:hAnsi="仿宋" w:eastAsia="仿宋"/>
          <w:b/>
          <w:bCs/>
          <w:sz w:val="28"/>
          <w:szCs w:val="28"/>
        </w:rPr>
        <w:t>四、确定成交参与人标准及原则</w:t>
      </w:r>
    </w:p>
    <w:p>
      <w:pPr>
        <w:widowControl w:val="0"/>
        <w:spacing w:after="0" w:line="500" w:lineRule="exact"/>
        <w:ind w:left="426" w:firstLine="560" w:firstLineChars="200"/>
        <w:jc w:val="left"/>
        <w:rPr>
          <w:rFonts w:hint="eastAsia" w:ascii="仿宋" w:hAnsi="仿宋" w:eastAsia="仿宋"/>
          <w:sz w:val="28"/>
          <w:szCs w:val="28"/>
        </w:rPr>
      </w:pPr>
      <w:r>
        <w:rPr>
          <w:rFonts w:hint="eastAsia" w:ascii="仿宋" w:hAnsi="仿宋" w:eastAsia="仿宋"/>
          <w:sz w:val="28"/>
          <w:szCs w:val="28"/>
        </w:rPr>
        <w:t>所投设备符合采购需求、质量和服务要求,经过磋商所报价格为合理价格的参与人为成交参与人，最低报价不作为成交的保证。</w:t>
      </w:r>
    </w:p>
    <w:p>
      <w:pPr>
        <w:widowControl w:val="0"/>
        <w:spacing w:after="0" w:line="500" w:lineRule="exact"/>
        <w:ind w:left="426" w:firstLine="562" w:firstLineChars="200"/>
        <w:jc w:val="left"/>
        <w:rPr>
          <w:rFonts w:hint="eastAsia" w:ascii="仿宋" w:hAnsi="仿宋" w:eastAsia="仿宋"/>
          <w:b/>
          <w:bCs/>
          <w:sz w:val="28"/>
          <w:szCs w:val="28"/>
        </w:rPr>
      </w:pPr>
      <w:r>
        <w:rPr>
          <w:rFonts w:hint="eastAsia" w:ascii="仿宋" w:hAnsi="仿宋" w:eastAsia="仿宋"/>
          <w:b/>
          <w:bCs/>
          <w:color w:val="auto"/>
          <w:sz w:val="28"/>
          <w:szCs w:val="28"/>
          <w:lang w:eastAsia="zh-CN"/>
        </w:rPr>
        <w:t>成交参与人于公示之日起三日内</w:t>
      </w:r>
      <w:r>
        <w:rPr>
          <w:rFonts w:hint="eastAsia" w:ascii="仿宋" w:hAnsi="仿宋" w:eastAsia="仿宋"/>
          <w:b/>
          <w:bCs/>
          <w:color w:val="auto"/>
          <w:sz w:val="28"/>
          <w:szCs w:val="28"/>
        </w:rPr>
        <w:t>缴纳</w:t>
      </w:r>
      <w:r>
        <w:rPr>
          <w:rFonts w:hint="eastAsia" w:ascii="仿宋" w:hAnsi="仿宋" w:eastAsia="仿宋"/>
          <w:b/>
          <w:bCs/>
          <w:color w:val="auto"/>
          <w:sz w:val="28"/>
          <w:szCs w:val="28"/>
          <w:lang w:eastAsia="zh-CN"/>
        </w:rPr>
        <w:t>履约</w:t>
      </w:r>
      <w:r>
        <w:rPr>
          <w:rFonts w:hint="eastAsia" w:ascii="仿宋" w:hAnsi="仿宋" w:eastAsia="仿宋"/>
          <w:b/>
          <w:bCs/>
          <w:color w:val="auto"/>
          <w:sz w:val="28"/>
          <w:szCs w:val="28"/>
        </w:rPr>
        <w:t>保证金</w:t>
      </w:r>
      <w:r>
        <w:rPr>
          <w:rFonts w:hint="eastAsia" w:ascii="仿宋" w:hAnsi="仿宋" w:eastAsia="仿宋"/>
          <w:b/>
          <w:bCs/>
          <w:color w:val="auto"/>
          <w:sz w:val="28"/>
          <w:szCs w:val="28"/>
          <w:lang w:eastAsia="zh-CN"/>
        </w:rPr>
        <w:t>贰</w:t>
      </w:r>
      <w:r>
        <w:rPr>
          <w:rFonts w:hint="eastAsia" w:ascii="仿宋" w:hAnsi="仿宋" w:eastAsia="仿宋"/>
          <w:b/>
          <w:bCs/>
          <w:color w:val="auto"/>
          <w:sz w:val="28"/>
          <w:szCs w:val="28"/>
        </w:rPr>
        <w:t>万元，</w:t>
      </w:r>
      <w:r>
        <w:rPr>
          <w:rFonts w:hint="eastAsia" w:ascii="仿宋" w:hAnsi="仿宋" w:eastAsia="仿宋"/>
          <w:b/>
          <w:bCs/>
          <w:color w:val="auto"/>
          <w:sz w:val="28"/>
          <w:szCs w:val="28"/>
          <w:lang w:eastAsia="zh-CN"/>
        </w:rPr>
        <w:t>待合同签署</w:t>
      </w:r>
      <w:r>
        <w:rPr>
          <w:rFonts w:hint="eastAsia" w:ascii="仿宋" w:hAnsi="仿宋" w:eastAsia="仿宋"/>
          <w:b/>
          <w:bCs/>
          <w:color w:val="auto"/>
          <w:sz w:val="28"/>
          <w:szCs w:val="28"/>
        </w:rPr>
        <w:t>后，十个工作日</w:t>
      </w:r>
      <w:r>
        <w:rPr>
          <w:rFonts w:hint="eastAsia" w:ascii="仿宋" w:hAnsi="仿宋" w:eastAsia="仿宋"/>
          <w:b/>
          <w:bCs/>
          <w:color w:val="auto"/>
          <w:sz w:val="28"/>
          <w:szCs w:val="28"/>
          <w:lang w:eastAsia="zh-CN"/>
        </w:rPr>
        <w:t>内</w:t>
      </w:r>
      <w:r>
        <w:rPr>
          <w:rFonts w:hint="eastAsia" w:ascii="仿宋" w:hAnsi="仿宋" w:eastAsia="仿宋"/>
          <w:b/>
          <w:bCs/>
          <w:color w:val="auto"/>
          <w:sz w:val="28"/>
          <w:szCs w:val="28"/>
        </w:rPr>
        <w:t>办理原额无息退还手续。</w:t>
      </w:r>
    </w:p>
    <w:p>
      <w:pPr>
        <w:widowControl w:val="0"/>
        <w:spacing w:after="0" w:line="500" w:lineRule="exact"/>
        <w:jc w:val="left"/>
        <w:rPr>
          <w:rFonts w:ascii="仿宋" w:hAnsi="仿宋" w:eastAsia="仿宋"/>
          <w:sz w:val="28"/>
          <w:szCs w:val="28"/>
        </w:rPr>
      </w:pPr>
      <w:r>
        <w:rPr>
          <w:rFonts w:ascii="仿宋" w:hAnsi="仿宋" w:eastAsia="仿宋"/>
          <w:sz w:val="28"/>
          <w:szCs w:val="28"/>
        </w:rPr>
        <w:br w:type="page"/>
      </w:r>
    </w:p>
    <w:bookmarkEnd w:id="50"/>
    <w:p>
      <w:pPr>
        <w:pStyle w:val="51"/>
        <w:numPr>
          <w:ilvl w:val="0"/>
          <w:numId w:val="3"/>
        </w:numPr>
        <w:adjustRightInd/>
        <w:spacing w:after="156" w:afterLines="50"/>
        <w:ind w:left="0" w:leftChars="0" w:hanging="8" w:firstLineChars="0"/>
        <w:jc w:val="center"/>
        <w:outlineLvl w:val="0"/>
        <w:rPr>
          <w:rFonts w:hint="eastAsia"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公开询价货物一览表</w:t>
      </w:r>
    </w:p>
    <w:tbl>
      <w:tblPr>
        <w:tblStyle w:val="23"/>
        <w:tblW w:w="10137" w:type="dxa"/>
        <w:tblInd w:w="93" w:type="dxa"/>
        <w:shd w:val="clear" w:color="auto" w:fill="auto"/>
        <w:tblLayout w:type="fixed"/>
        <w:tblCellMar>
          <w:top w:w="0" w:type="dxa"/>
          <w:left w:w="108" w:type="dxa"/>
          <w:bottom w:w="0" w:type="dxa"/>
          <w:right w:w="108" w:type="dxa"/>
        </w:tblCellMar>
      </w:tblPr>
      <w:tblGrid>
        <w:gridCol w:w="417"/>
        <w:gridCol w:w="1110"/>
        <w:gridCol w:w="990"/>
        <w:gridCol w:w="1155"/>
        <w:gridCol w:w="915"/>
        <w:gridCol w:w="990"/>
        <w:gridCol w:w="975"/>
        <w:gridCol w:w="855"/>
        <w:gridCol w:w="915"/>
        <w:gridCol w:w="1005"/>
        <w:gridCol w:w="810"/>
      </w:tblGrid>
      <w:tr>
        <w:tblPrEx>
          <w:shd w:val="clear" w:color="auto" w:fill="auto"/>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号</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教材名称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作 者</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版次</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印次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教材ISBN编号</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学生用</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书</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（本）</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教师用</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书</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（本）</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合计（本）</w:t>
            </w: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高等数学（上册）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同济大学数学系</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2014年7月第7版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高等教育出版社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2019年12月第30次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9787040396638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546</w:t>
            </w: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经济数学.微积分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吴传生</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2015年11月第3版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高等教育出版社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2020年4月第8次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9787040438246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w:t>
            </w: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高职数学</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黄开兴等</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2019年4月第1版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西北工业大学出版社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2019年4月第1次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9787561264751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778</w:t>
            </w: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C语言程序设计项目化教程</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周雅静              邢小英                 徐济惠</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2019年3月第二版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2019年3月第1次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9787121356780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C语言程序设计项目化教程</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周雅静              邢小英                 徐济惠</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2019年3月第二版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2019年3月第1次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9787121356780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c程序设计</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谭浩强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2017年8月       第五版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清华大学出版社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2018年1月       第4次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9787302481447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C语言程序设计项目化教程</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周雅静              邢小英                 徐济惠</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2019年3月第二版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2019年3月第1次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9787121356780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C语言程序设计项目化教程</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周雅静              邢小英                 徐济惠</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2019年3月第二版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2019年3月第1次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9787121356780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c程序设计</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谭浩强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2017年8月       第五版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清华大学出版社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2018年1月       第4次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9787302481447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c程序设计</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谭浩强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2017年8月       第五版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清华大学出版社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2018年1月       第4次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9787302481447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沟通技巧（第三版）</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谢红霞</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2018年6月   第三版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2018年6月   第1次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9787300257150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沟通与写作：语言表达与沟通技能</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王用源</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2020年6月第一版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2020年6月第1次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9787115537287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信息系统基础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宋金玉</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2016年1月   第一版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清华大学出版社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2016年1月   第1次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9787302397113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信息系统基础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杨孔雨</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2016年7月       第一版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清华大学出版社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2016年7月       第1次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9787302236412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工程图学及计算机绘图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宋卫卫            杨波</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2020年1月第3版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2020年1月第3次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9787111538431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C语言程序设计项目化教程（第2版）</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周雅静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邢小英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徐济惠</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2019年3月第2版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2020年1月第5次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9787121356780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C语言程序设计（第五版）</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谭浩强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2017年8月第5版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清华大学出版社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2020年7月第15次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978730248144-7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r>
      <w:tr>
        <w:tblPrEx>
          <w:tblCellMar>
            <w:top w:w="0" w:type="dxa"/>
            <w:left w:w="108" w:type="dxa"/>
            <w:bottom w:w="0" w:type="dxa"/>
            <w:right w:w="108" w:type="dxa"/>
          </w:tblCellMar>
        </w:tblPrEx>
        <w:trPr>
          <w:trHeight w:val="96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新视野大学英语（第三版）读写教程1（思政智慧版）</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郑树棠</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2020年5月第一版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2020年5月第1次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978-7-5213-1698-8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844</w:t>
            </w:r>
          </w:p>
        </w:tc>
      </w:tr>
      <w:tr>
        <w:tblPrEx>
          <w:tblCellMar>
            <w:top w:w="0" w:type="dxa"/>
            <w:left w:w="108" w:type="dxa"/>
            <w:bottom w:w="0" w:type="dxa"/>
            <w:right w:w="108" w:type="dxa"/>
          </w:tblCellMar>
        </w:tblPrEx>
        <w:trPr>
          <w:trHeight w:val="96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新视野大学英语（第三版）视听说教程1（智慧版）</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郑树棠</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2017年6月第一版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2019年4月第12次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978-7-5135-9023-5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844</w:t>
            </w: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 世纪大学艺术英语综合教程1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贺春英</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2019年8月第一版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复旦大学出版社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2019年8月第1次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978-7-3091-4514-4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683</w:t>
            </w: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 世纪大学艺术英语综合教程教师用书1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贺春英</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2020年6月第一版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复旦大学出版社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2020年6月第2次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978-7-3091-4515-1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96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 世纪大学英语（S 版） 视听说教程（1）（第 2 版）</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姜荷梅</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复旦大学出版社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978-7-3091-2648-8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683</w:t>
            </w:r>
          </w:p>
        </w:tc>
      </w:tr>
      <w:tr>
        <w:tblPrEx>
          <w:tblCellMar>
            <w:top w:w="0" w:type="dxa"/>
            <w:left w:w="108" w:type="dxa"/>
            <w:bottom w:w="0" w:type="dxa"/>
            <w:right w:w="108" w:type="dxa"/>
          </w:tblCellMar>
        </w:tblPrEx>
        <w:trPr>
          <w:trHeight w:val="144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 世纪大学英语（S 版） 视听说教程教学参考书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（1）（第 2 版）</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姜荷梅</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复旦大学出版社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978-7-3091-2649-5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博雅英语·阅读教程(第一册)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吴松江</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复旦大学出版社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7-309-14513-7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w:t>
            </w: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博雅英语·写作教程（第一册）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吴松江</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复旦大学出版社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7-309-14555-7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w:t>
            </w: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博雅英语·听说教程（第一册）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吴松江</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复旦大学出版社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7-309-14562-5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w:t>
            </w:r>
          </w:p>
        </w:tc>
      </w:tr>
      <w:tr>
        <w:tblPrEx>
          <w:tblCellMar>
            <w:top w:w="0" w:type="dxa"/>
            <w:left w:w="108" w:type="dxa"/>
            <w:bottom w:w="0" w:type="dxa"/>
            <w:right w:w="108" w:type="dxa"/>
          </w:tblCellMar>
        </w:tblPrEx>
        <w:trPr>
          <w:trHeight w:val="144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（新）新标准高职公共英语系列教材 实用综合教程（第2版）1学生用书（附一书一码）</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王守仁,陈新仁,徐蕾,杨丽敏</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2020年3月第一版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上海外语教育出版社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978-7-5446-4823-3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r>
      <w:tr>
        <w:tblPrEx>
          <w:tblCellMar>
            <w:top w:w="0" w:type="dxa"/>
            <w:left w:w="108" w:type="dxa"/>
            <w:bottom w:w="0" w:type="dxa"/>
            <w:right w:w="108" w:type="dxa"/>
          </w:tblCellMar>
        </w:tblPrEx>
        <w:trPr>
          <w:trHeight w:val="144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新标准高职公共英语系列教材：实用综合教程（第2版）1 练习册（附mp3下载）</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谢雅君</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2020年3月第一版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上海外语教育出版社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978-7-5446-3044-3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r>
      <w:tr>
        <w:tblPrEx>
          <w:tblCellMar>
            <w:top w:w="0" w:type="dxa"/>
            <w:left w:w="108" w:type="dxa"/>
            <w:bottom w:w="0" w:type="dxa"/>
            <w:right w:w="108" w:type="dxa"/>
          </w:tblCellMar>
        </w:tblPrEx>
        <w:trPr>
          <w:trHeight w:val="144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（新）新标准高职公共英语系列教材 实用听说教程（第2版）1学生用书（附一书一码）</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陈龙,徐倩</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2020年3月第一版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上海外语教育出版社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978-7-5446-4819-6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r>
      <w:tr>
        <w:tblPrEx>
          <w:tblCellMar>
            <w:top w:w="0" w:type="dxa"/>
            <w:left w:w="108" w:type="dxa"/>
            <w:bottom w:w="0" w:type="dxa"/>
            <w:right w:w="108" w:type="dxa"/>
          </w:tblCellMar>
        </w:tblPrEx>
        <w:trPr>
          <w:trHeight w:val="144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新标准高职公共英语系列教材：实用综合教程（第2版）1 教师用书（附mp3下载）</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王守仁</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2018年8月第一版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上海外语教育出版社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978-7-5446-3043-6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144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新标准高职公共英语系列教材：实用听说教程（第2版）1 教师用书（附网络下载）</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陈龙、周国强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2019年8月第一版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上海外语教育出版社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978-7-5446-3047-4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96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（新）新标准高职公共英语系列教材 实用写作教程（第2版）</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晨梅梅</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2019年3月第一版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上海外语教育出版社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978-7-5446-4827-1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r>
      <w:tr>
        <w:tblPrEx>
          <w:tblCellMar>
            <w:top w:w="0" w:type="dxa"/>
            <w:left w:w="108" w:type="dxa"/>
            <w:bottom w:w="0" w:type="dxa"/>
            <w:right w:w="108" w:type="dxa"/>
          </w:tblCellMar>
        </w:tblPrEx>
        <w:trPr>
          <w:trHeight w:val="120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新视野英语教程（第三版）读写教程1（智慧版）（含MP3光盘一张）</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郑树棠</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978-7-5135-9043-3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1806</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1811</w:t>
            </w:r>
          </w:p>
        </w:tc>
      </w:tr>
      <w:tr>
        <w:tblPrEx>
          <w:tblCellMar>
            <w:top w:w="0" w:type="dxa"/>
            <w:left w:w="108" w:type="dxa"/>
            <w:bottom w:w="0" w:type="dxa"/>
            <w:right w:w="108" w:type="dxa"/>
          </w:tblCellMar>
        </w:tblPrEx>
        <w:trPr>
          <w:trHeight w:val="120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新视野英语教程（第三版）听说教程1（智慧版）（含MP3光盘一张）</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郑树棠</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978-7-5213-0024-6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1806</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1811</w:t>
            </w: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新视野英语教程（第三版）读写教程1教师用书</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郑树棠</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978-7-5135-4208-1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新视野英语教程（第三版）听说教程1教师用书</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郑树棠</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978-7-5135-4186-2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三大构成设计</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史喜珍</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2011年8月第二版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武汉理工大学出版社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2017年9月第18次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9787562935179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Photoshop 从入门到精通</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敬伟</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2020年6月第1版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清华大学出版社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2020年6月第1次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9787302542230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中国古代文学史（上）</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袁世硕、陈文新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2018.08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高等教育出版社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2020年8月第8次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9787040447002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中国古代文学作品选（一）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袁世硕</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2002.05   第一版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学出版社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第33次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97870200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37193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现代汉语上册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黄伯荣、廖序东</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2017年6月第6版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高等教育出版社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2019年12月第13次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978-7-04-046593-8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现代汉语下册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黄伯荣、廖序东</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2017年6月第6版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高等教育出版社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2020年3月第13次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978-7-04-046988-2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r>
      <w:tr>
        <w:tblPrEx>
          <w:tblCellMar>
            <w:top w:w="0" w:type="dxa"/>
            <w:left w:w="108" w:type="dxa"/>
            <w:bottom w:w="0" w:type="dxa"/>
            <w:right w:w="108" w:type="dxa"/>
          </w:tblCellMar>
        </w:tblPrEx>
        <w:trPr>
          <w:trHeight w:val="120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构成设计基础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高等院校艺术设计类专业“十三五”案例式规划教材</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段碧丽 吴学云 李明</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2018年10月第一版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华中科技大学出版社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2018年10月第1次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978-7-5680-4483-7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r>
      <w:tr>
        <w:tblPrEx>
          <w:tblCellMar>
            <w:top w:w="0" w:type="dxa"/>
            <w:left w:w="108" w:type="dxa"/>
            <w:bottom w:w="0" w:type="dxa"/>
            <w:right w:w="108" w:type="dxa"/>
          </w:tblCellMar>
        </w:tblPrEx>
        <w:trPr>
          <w:trHeight w:val="144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摄影美学/21世纪全国普通高等院校美术 艺术 设计转也“十二五”精品课程规划教材</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李文方、殷强、徐国武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2014年4月第三版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辽宁美术出版社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2018年6月第6次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978-7-5314-5813-5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Photoshop图像处理(第二版)</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　辉</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东方出版中心</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978-7-80186-876-3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管理学</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陈传明</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2019年1月第1版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高等教育出版社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2019年8月第4次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978-7-04-045832-9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经济学基础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吴汉洪</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2020年10月第6版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人民大学出版社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2021年5月第1版</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978-7300-28652-5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r>
      <w:tr>
        <w:tblPrEx>
          <w:tblCellMar>
            <w:top w:w="0" w:type="dxa"/>
            <w:left w:w="108" w:type="dxa"/>
            <w:bottom w:w="0" w:type="dxa"/>
            <w:right w:w="108" w:type="dxa"/>
          </w:tblCellMar>
        </w:tblPrEx>
        <w:trPr>
          <w:trHeight w:val="120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马克思主义政治经济学概论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刘树成、吴青树、纪宝成、李兴山、张宇、胡家勇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2011年第1版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人民出版社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高等教育出版社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2011年第1次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987-7-01-009875-3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思想道德与法治（2021年版）</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本书编写组</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最新版（2021年版）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高等教育出版社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2002</w:t>
            </w: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思想道德与法治（2021年版）</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本书编写组</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最新版（2021年版）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高等教育出版社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888</w:t>
            </w: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中国近现代史纲要（2021年版）</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本书编写组</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最新版（2021年版）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高等教育出版社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1087</w:t>
            </w: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大学生心理健康教育实用教程（微课双色版）</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邓彦</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978-7-313-15714-0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1087</w:t>
            </w: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大学生心理健康教育实用教程（微课双色版）</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邓彦</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978-7-313-15714-0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770</w:t>
            </w: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普通高等学校军事理论与技能训练教程</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傅永林唐福元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国防大学出版社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978-7-5626-2412-7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1088</w:t>
            </w: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普通高等学校军事理论与技能训练教程</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傅永林唐福元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国防大学出版社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978-7-5626-2412-7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211（768需求-557库存）</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钢琴基础教程修订版1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韩林申、李晓平、徐斐、周荷君编</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2003年第1版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上海音乐出版社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2020年6月第55次印刷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978-7-80667-269-3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Photoshop 基础与应用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张燕丽</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2019年1月 第2版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2019年1月 第3次印刷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978-7-313-15457-6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w:t>
            </w: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素描（第二版）</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孙化一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2019年11月 第2版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2019年11月 第3次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9787313223586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素描技法与表现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李倍雷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2018年12月 第2版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2018年12月 第2次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9787313135544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新闻学概论（第二版）</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《新闻学概论》编写组</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2020年8月第二版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高等教育出版社  人民出版社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2020年9月第三次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978-7-04-053367-5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新闻学概论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田秋生</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2013年8月第一版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暨南大学出版社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2013年8月第一次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978-7-5668-0690-1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传播学教程</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郭庆光</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2011年4月第2版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中国人民大学出版社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2017年3月第16次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978-7-300-11125-4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传播学概论（第三版）</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孙庚</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2018/7/1第3版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中国人民大学出版社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2018年7月第1版</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9787300260105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现代大学英语（第二版）精读1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杨立民</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2020年6月第1版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2020年6月第1次印刷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978-7-5213-1821-0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英语听力教程1（第三版）</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张民伦</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2013年10月第3版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高等教育出版社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2020年7月第11次印刷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978-7-04-038195-5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现代大学英语口语1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杨立民</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2014年9月第2版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2019年5月第7次印刷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978-7-5135-4861-8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体育与健康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王峰 王乐 谭海龙</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2016年7月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上海交</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通大学出版社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978731314</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7691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3969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3985</w:t>
            </w:r>
          </w:p>
        </w:tc>
      </w:tr>
    </w:tbl>
    <w:p>
      <w:pPr>
        <w:spacing w:after="0" w:line="540" w:lineRule="exact"/>
        <w:ind w:left="1" w:leftChars="-76" w:hanging="168" w:hangingChars="60"/>
        <w:rPr>
          <w:rFonts w:ascii="仿宋" w:hAnsi="仿宋" w:eastAsia="仿宋"/>
          <w:sz w:val="28"/>
          <w:szCs w:val="28"/>
          <w:highlight w:val="none"/>
        </w:rPr>
      </w:pPr>
      <w:r>
        <w:rPr>
          <w:rFonts w:hint="eastAsia" w:ascii="仿宋" w:hAnsi="仿宋" w:eastAsia="仿宋"/>
          <w:sz w:val="28"/>
          <w:szCs w:val="28"/>
          <w:highlight w:val="none"/>
        </w:rPr>
        <w:t>（3）付款方式：</w:t>
      </w:r>
      <w:r>
        <w:rPr>
          <w:rStyle w:val="61"/>
          <w:rFonts w:ascii="仿宋" w:hAnsi="仿宋" w:eastAsia="仿宋"/>
          <w:sz w:val="28"/>
          <w:szCs w:val="28"/>
          <w:highlight w:val="none"/>
        </w:rPr>
        <w:t>甲方按乙方所供教材实洋（以甲方书面确认的实际使用数量为准）结算，折扣率以附件一每</w:t>
      </w:r>
      <w:r>
        <w:rPr>
          <w:rStyle w:val="61"/>
          <w:rFonts w:hint="eastAsia" w:ascii="仿宋" w:hAnsi="仿宋" w:eastAsia="仿宋"/>
          <w:sz w:val="28"/>
          <w:szCs w:val="28"/>
          <w:highlight w:val="none"/>
        </w:rPr>
        <w:t>种</w:t>
      </w:r>
      <w:r>
        <w:rPr>
          <w:rStyle w:val="61"/>
          <w:rFonts w:ascii="仿宋" w:hAnsi="仿宋" w:eastAsia="仿宋"/>
          <w:sz w:val="28"/>
          <w:szCs w:val="28"/>
          <w:highlight w:val="none"/>
        </w:rPr>
        <w:t>书所定折扣为准，码洋×折扣率=实洋。实际购书数量以甲方根据到货、退货情况书面确认为准。如甲方书面提供以班级为单位的教学发放表及班级学生名单，双方可据此对老师、学生教材费用进行核算。本合同实洋已包含乙方将教材运送至甲方指定交货地点交甲方指定收货人并经甲方验收合格之前的所有费用，包括但不限于成本及利润、税金、包装费、运输费、保险费、仓储费、损耗费装卸搬运费、辅材费，以及后续全部相关费用，包括但不限于后续的到货检验、质保、退换货、技术服务等费用，除要求甲方支付实洋外，乙方不得以任何形式和理由要求甲方另行支付其他任何费用。</w:t>
      </w:r>
    </w:p>
    <w:p>
      <w:pPr>
        <w:rPr>
          <w:rFonts w:hint="eastAsia" w:ascii="仿宋" w:hAnsi="仿宋" w:eastAsia="仿宋"/>
          <w:b/>
          <w:sz w:val="72"/>
          <w:szCs w:val="72"/>
          <w:highlight w:val="none"/>
        </w:rPr>
      </w:pPr>
      <w:r>
        <w:rPr>
          <w:rFonts w:hint="eastAsia" w:ascii="仿宋" w:hAnsi="仿宋" w:eastAsia="仿宋"/>
          <w:b/>
          <w:sz w:val="72"/>
          <w:szCs w:val="72"/>
          <w:highlight w:val="none"/>
        </w:rPr>
        <w:br w:type="page"/>
      </w:r>
    </w:p>
    <w:p>
      <w:pPr>
        <w:spacing w:line="1000" w:lineRule="exact"/>
        <w:jc w:val="center"/>
        <w:rPr>
          <w:rFonts w:ascii="仿宋" w:hAnsi="仿宋" w:eastAsia="仿宋"/>
          <w:b/>
          <w:sz w:val="72"/>
          <w:szCs w:val="72"/>
        </w:rPr>
      </w:pPr>
      <w:r>
        <w:rPr>
          <w:rFonts w:hint="eastAsia" w:ascii="仿宋" w:hAnsi="仿宋" w:eastAsia="仿宋"/>
          <w:b/>
          <w:sz w:val="72"/>
          <w:szCs w:val="72"/>
        </w:rPr>
        <w:t>济南大学泉城学院</w:t>
      </w:r>
    </w:p>
    <w:p>
      <w:pPr>
        <w:spacing w:line="1000" w:lineRule="exact"/>
        <w:jc w:val="center"/>
        <w:rPr>
          <w:rFonts w:ascii="仿宋" w:hAnsi="仿宋" w:eastAsia="仿宋"/>
          <w:b/>
          <w:sz w:val="44"/>
          <w:szCs w:val="44"/>
        </w:rPr>
      </w:pPr>
      <w:r>
        <w:rPr>
          <w:rFonts w:hint="eastAsia" w:ascii="仿宋" w:hAnsi="仿宋" w:eastAsia="仿宋"/>
          <w:b/>
          <w:sz w:val="44"/>
          <w:szCs w:val="44"/>
        </w:rPr>
        <w:t>关于2021年秋季</w:t>
      </w:r>
      <w:r>
        <w:rPr>
          <w:rFonts w:hint="eastAsia" w:ascii="仿宋" w:hAnsi="仿宋" w:eastAsia="仿宋"/>
          <w:b/>
          <w:sz w:val="44"/>
          <w:szCs w:val="44"/>
          <w:lang w:eastAsia="zh-CN"/>
        </w:rPr>
        <w:t>新生</w:t>
      </w:r>
      <w:r>
        <w:rPr>
          <w:rFonts w:hint="eastAsia" w:ascii="仿宋" w:hAnsi="仿宋" w:eastAsia="仿宋"/>
          <w:b/>
          <w:sz w:val="44"/>
          <w:szCs w:val="44"/>
        </w:rPr>
        <w:t>教材</w:t>
      </w:r>
      <w:r>
        <w:rPr>
          <w:rFonts w:hint="eastAsia" w:ascii="仿宋" w:hAnsi="仿宋" w:eastAsia="仿宋"/>
          <w:b/>
          <w:sz w:val="44"/>
          <w:szCs w:val="44"/>
          <w:lang w:eastAsia="zh-CN"/>
        </w:rPr>
        <w:t>采购</w:t>
      </w:r>
      <w:r>
        <w:rPr>
          <w:rFonts w:hint="eastAsia" w:ascii="仿宋" w:hAnsi="仿宋" w:eastAsia="仿宋"/>
          <w:b/>
          <w:sz w:val="44"/>
          <w:szCs w:val="44"/>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80" w:lineRule="exact"/>
        <w:jc w:val="center"/>
        <w:rPr>
          <w:rFonts w:ascii="仿宋" w:hAnsi="仿宋" w:eastAsia="仿宋"/>
          <w:b/>
          <w:sz w:val="72"/>
          <w:szCs w:val="72"/>
        </w:rPr>
      </w:pP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参与人名称（公司全称）：</w:t>
      </w:r>
      <w:r>
        <w:rPr>
          <w:rFonts w:ascii="仿宋" w:hAnsi="仿宋" w:eastAsia="仿宋"/>
          <w:b/>
          <w:sz w:val="36"/>
          <w:szCs w:val="36"/>
        </w:rPr>
        <w:t>XXXX</w:t>
      </w: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参与人授权代表：X</w:t>
      </w:r>
      <w:r>
        <w:rPr>
          <w:rFonts w:ascii="仿宋" w:hAnsi="仿宋" w:eastAsia="仿宋"/>
          <w:b/>
          <w:sz w:val="36"/>
          <w:szCs w:val="36"/>
        </w:rPr>
        <w:t>XXX</w:t>
      </w:r>
    </w:p>
    <w:p>
      <w:pPr>
        <w:jc w:val="both"/>
        <w:rPr>
          <w:rFonts w:hint="eastAsia" w:ascii="仿宋" w:hAnsi="仿宋" w:eastAsia="仿宋"/>
          <w:b/>
          <w:bCs/>
          <w:sz w:val="30"/>
          <w:szCs w:val="30"/>
        </w:rPr>
      </w:pPr>
    </w:p>
    <w:p>
      <w:pPr>
        <w:jc w:val="center"/>
        <w:rPr>
          <w:rFonts w:hint="eastAsia"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7" w:type="first"/>
          <w:headerReference r:id="rId6" w:type="default"/>
          <w:type w:val="continuous"/>
          <w:pgSz w:w="11906" w:h="16838"/>
          <w:pgMar w:top="1440" w:right="1416" w:bottom="1440" w:left="1134" w:header="851" w:footer="227" w:gutter="0"/>
          <w:cols w:space="425" w:num="1"/>
          <w:titlePg/>
          <w:docGrid w:type="lines" w:linePitch="312" w:charSpace="0"/>
        </w:sectPr>
      </w:pPr>
    </w:p>
    <w:p>
      <w:pPr>
        <w:rPr>
          <w:rFonts w:ascii="仿宋" w:hAnsi="仿宋" w:eastAsia="仿宋"/>
          <w:b/>
          <w:bCs/>
          <w:sz w:val="28"/>
          <w:szCs w:val="28"/>
        </w:rPr>
      </w:pPr>
      <w:r>
        <w:rPr>
          <w:rFonts w:hint="eastAsia" w:ascii="仿宋" w:hAnsi="仿宋" w:eastAsia="仿宋"/>
          <w:b/>
          <w:bCs/>
          <w:sz w:val="28"/>
          <w:szCs w:val="28"/>
        </w:rPr>
        <w:br w:type="page"/>
      </w:r>
    </w:p>
    <w:p>
      <w:pPr>
        <w:pStyle w:val="54"/>
        <w:numPr>
          <w:ilvl w:val="0"/>
          <w:numId w:val="0"/>
        </w:numPr>
        <w:ind w:leftChars="0"/>
        <w:jc w:val="center"/>
        <w:outlineLvl w:val="1"/>
        <w:rPr>
          <w:rFonts w:ascii="仿宋" w:hAnsi="仿宋" w:eastAsia="仿宋"/>
          <w:b/>
          <w:bCs/>
          <w:sz w:val="28"/>
          <w:szCs w:val="28"/>
        </w:rPr>
      </w:pPr>
      <w:r>
        <w:rPr>
          <w:rFonts w:hint="eastAsia" w:ascii="仿宋" w:hAnsi="仿宋" w:eastAsia="仿宋"/>
          <w:b/>
          <w:bCs/>
          <w:sz w:val="28"/>
          <w:szCs w:val="28"/>
          <w:lang w:val="en-US" w:eastAsia="zh-CN"/>
        </w:rPr>
        <w:t>1、</w:t>
      </w:r>
      <w:r>
        <w:rPr>
          <w:rFonts w:hint="eastAsia" w:ascii="仿宋" w:hAnsi="仿宋" w:eastAsia="仿宋"/>
          <w:b/>
          <w:bCs/>
          <w:sz w:val="28"/>
          <w:szCs w:val="28"/>
        </w:rPr>
        <w:t>询价响应函</w:t>
      </w:r>
    </w:p>
    <w:p>
      <w:pPr>
        <w:spacing w:after="0" w:line="480" w:lineRule="exact"/>
        <w:rPr>
          <w:rFonts w:hint="eastAsia" w:ascii="仿宋" w:hAnsi="仿宋" w:eastAsia="仿宋"/>
          <w:sz w:val="28"/>
          <w:szCs w:val="28"/>
          <w:lang w:eastAsia="zh-CN"/>
        </w:rPr>
      </w:pPr>
      <w:r>
        <w:rPr>
          <w:rFonts w:hint="eastAsia" w:ascii="仿宋" w:hAnsi="仿宋" w:eastAsia="仿宋"/>
          <w:sz w:val="28"/>
          <w:szCs w:val="28"/>
        </w:rPr>
        <w:t>致：</w:t>
      </w:r>
      <w:r>
        <w:rPr>
          <w:rFonts w:hint="eastAsia" w:ascii="仿宋" w:hAnsi="仿宋" w:eastAsia="仿宋"/>
          <w:sz w:val="28"/>
          <w:szCs w:val="28"/>
          <w:lang w:eastAsia="zh-CN"/>
        </w:rPr>
        <w:t>济南大学泉城学院</w:t>
      </w:r>
    </w:p>
    <w:p>
      <w:pPr>
        <w:spacing w:after="0" w:line="480" w:lineRule="exact"/>
        <w:ind w:firstLine="570"/>
        <w:rPr>
          <w:rFonts w:ascii="仿宋" w:hAnsi="仿宋" w:eastAsia="仿宋"/>
          <w:sz w:val="28"/>
          <w:szCs w:val="28"/>
        </w:rPr>
      </w:pPr>
      <w:r>
        <w:rPr>
          <w:rFonts w:hint="eastAsia" w:ascii="仿宋" w:hAnsi="仿宋" w:eastAsia="仿宋"/>
          <w:sz w:val="28"/>
          <w:szCs w:val="28"/>
        </w:rPr>
        <w:t xml:space="preserve">根据贵方为 </w:t>
      </w:r>
      <w:r>
        <w:rPr>
          <w:rFonts w:hint="eastAsia"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w:t>
      </w:r>
      <w:r>
        <w:rPr>
          <w:rFonts w:ascii="仿宋" w:hAnsi="仿宋" w:eastAsia="仿宋"/>
          <w:sz w:val="28"/>
          <w:szCs w:val="28"/>
        </w:rPr>
        <w:t>1</w:t>
      </w:r>
      <w:r>
        <w:rPr>
          <w:rFonts w:hint="eastAsia" w:ascii="仿宋" w:hAnsi="仿宋" w:eastAsia="仿宋"/>
          <w:sz w:val="28"/>
          <w:szCs w:val="28"/>
        </w:rPr>
        <w:t>份和副本</w:t>
      </w:r>
      <w:r>
        <w:rPr>
          <w:rFonts w:hint="eastAsia" w:ascii="仿宋" w:hAnsi="仿宋" w:eastAsia="仿宋"/>
          <w:sz w:val="28"/>
          <w:szCs w:val="28"/>
          <w:lang w:val="en-US" w:eastAsia="zh-CN"/>
        </w:rPr>
        <w:t>1</w:t>
      </w:r>
      <w:r>
        <w:rPr>
          <w:rFonts w:hint="eastAsia" w:ascii="仿宋" w:hAnsi="仿宋" w:eastAsia="仿宋"/>
          <w:sz w:val="28"/>
          <w:szCs w:val="28"/>
        </w:rPr>
        <w:t>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分项报价表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7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 质保期和售后服务承诺书</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ind w:firstLine="570"/>
        <w:rPr>
          <w:rFonts w:ascii="仿宋" w:hAnsi="仿宋" w:eastAsia="仿宋"/>
          <w:sz w:val="28"/>
          <w:szCs w:val="28"/>
        </w:rPr>
      </w:pPr>
      <w:r>
        <w:rPr>
          <w:rFonts w:hint="eastAsia" w:ascii="仿宋" w:hAnsi="仿宋" w:eastAsia="仿宋"/>
          <w:sz w:val="28"/>
          <w:szCs w:val="28"/>
        </w:rPr>
        <w:t xml:space="preserve">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ind w:firstLine="570"/>
        <w:rPr>
          <w:rFonts w:ascii="仿宋" w:hAnsi="仿宋" w:eastAsia="仿宋"/>
          <w:sz w:val="28"/>
          <w:szCs w:val="28"/>
        </w:rPr>
      </w:pPr>
      <w:r>
        <w:rPr>
          <w:rFonts w:hint="eastAsia" w:ascii="仿宋" w:hAnsi="仿宋" w:eastAsia="仿宋"/>
          <w:sz w:val="28"/>
          <w:szCs w:val="28"/>
        </w:rPr>
        <w:t>3.参与人保证遵守公开询价文件的全部规定，参与人所提交的材料中所含的信息均为真实、准确、完整，且不具有任何误导性。</w:t>
      </w:r>
    </w:p>
    <w:p>
      <w:pPr>
        <w:spacing w:after="0" w:line="480" w:lineRule="exact"/>
        <w:ind w:firstLine="570"/>
        <w:rPr>
          <w:rFonts w:ascii="仿宋" w:hAnsi="仿宋" w:eastAsia="仿宋"/>
          <w:sz w:val="28"/>
          <w:szCs w:val="28"/>
        </w:rPr>
      </w:pPr>
      <w:r>
        <w:rPr>
          <w:rFonts w:hint="eastAsia" w:ascii="仿宋" w:hAnsi="仿宋" w:eastAsia="仿宋"/>
          <w:sz w:val="28"/>
          <w:szCs w:val="28"/>
        </w:rPr>
        <w:t>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56"/>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sz w:val="28"/>
          <w:szCs w:val="28"/>
        </w:rPr>
        <w:sectPr>
          <w:headerReference r:id="rId9" w:type="first"/>
          <w:headerReference r:id="rId8" w:type="default"/>
          <w:footerReference r:id="rId10" w:type="default"/>
          <w:type w:val="continuous"/>
          <w:pgSz w:w="11906" w:h="16838"/>
          <w:pgMar w:top="1440" w:right="1416" w:bottom="1440" w:left="1134" w:header="851" w:footer="992" w:gutter="0"/>
          <w:cols w:space="425" w:num="1"/>
          <w:titlePg/>
          <w:docGrid w:type="lines" w:linePitch="312" w:charSpace="0"/>
        </w:sectPr>
      </w:pPr>
    </w:p>
    <w:p>
      <w:pPr>
        <w:jc w:val="center"/>
        <w:outlineLvl w:val="1"/>
        <w:rPr>
          <w:rFonts w:ascii="仿宋" w:hAnsi="仿宋" w:eastAsia="仿宋"/>
          <w:b/>
          <w:bCs/>
          <w:color w:val="FF0000"/>
          <w:sz w:val="28"/>
          <w:szCs w:val="28"/>
        </w:rPr>
      </w:pPr>
      <w:r>
        <w:rPr>
          <w:rFonts w:ascii="仿宋" w:hAnsi="仿宋" w:eastAsia="仿宋"/>
          <w:b/>
          <w:bCs/>
          <w:sz w:val="28"/>
          <w:szCs w:val="28"/>
        </w:rPr>
        <w:t>2</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hint="eastAsia" w:ascii="仿宋" w:hAnsi="仿宋" w:eastAsia="仿宋"/>
          <w:sz w:val="28"/>
          <w:szCs w:val="28"/>
          <w:lang w:eastAsia="zh-CN"/>
        </w:rPr>
      </w:pPr>
      <w:r>
        <w:rPr>
          <w:rFonts w:hint="eastAsia" w:ascii="仿宋" w:hAnsi="仿宋" w:eastAsia="仿宋"/>
          <w:sz w:val="28"/>
          <w:szCs w:val="28"/>
        </w:rPr>
        <w:t>货币单位：</w:t>
      </w:r>
    </w:p>
    <w:tbl>
      <w:tblPr>
        <w:tblStyle w:val="23"/>
        <w:tblW w:w="15179" w:type="dxa"/>
        <w:tblInd w:w="-570" w:type="dxa"/>
        <w:shd w:val="clear" w:color="auto" w:fill="auto"/>
        <w:tblLayout w:type="fixed"/>
        <w:tblCellMar>
          <w:top w:w="0" w:type="dxa"/>
          <w:left w:w="108" w:type="dxa"/>
          <w:bottom w:w="0" w:type="dxa"/>
          <w:right w:w="108" w:type="dxa"/>
        </w:tblCellMar>
      </w:tblPr>
      <w:tblGrid>
        <w:gridCol w:w="417"/>
        <w:gridCol w:w="2028"/>
        <w:gridCol w:w="1022"/>
        <w:gridCol w:w="1378"/>
        <w:gridCol w:w="1215"/>
        <w:gridCol w:w="1155"/>
        <w:gridCol w:w="1635"/>
        <w:gridCol w:w="765"/>
        <w:gridCol w:w="960"/>
        <w:gridCol w:w="930"/>
        <w:gridCol w:w="852"/>
        <w:gridCol w:w="840"/>
        <w:gridCol w:w="991"/>
        <w:gridCol w:w="991"/>
      </w:tblGrid>
      <w:tr>
        <w:tblPrEx>
          <w:shd w:val="clear" w:color="auto" w:fill="auto"/>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教材名称</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作 者</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版次</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印次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教材ISBN编号</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学生用</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书（本）</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教师用</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书（本）</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合计（本）</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总码洋</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折扣</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总实洋</w:t>
            </w: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高等数学（上册）</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同济大学数学系</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2014年7月第7版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高等教育出版社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2019年12月第30次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9787040396638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经济数学.微积分</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吴传生</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2015年11月第3版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高等教育出版社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2020年4月第8次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9787040438246</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高职数学</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黄开兴等</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2019年4月第1版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西北工业大学出版社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2019年4月第1次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9787561264751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778</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C语言程序设计项目化教程</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周雅静              邢小英                 徐济惠</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2019年3月第二版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2019年3月第1次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9787121356780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C语言程序设计项目化教程</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周雅静              邢小英                 徐济惠</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2019年3月第二版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2019年3月第1次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9787121356780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c程序设计</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谭浩强</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2017年8月       第五版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清华大学出版社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2018年1月       第4次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9787302481447</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C语言程序设计项目化教程</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周雅静              邢小英                 徐济惠</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2019年3月第二版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2019年3月第1次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9787121356780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C语言程序设计项目化教程</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周雅静              邢小英                 徐济惠</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2019年3月第二版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2019年3月第1次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9787121356780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c程序设计</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谭浩强</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2017年8月       第五版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清华大学出版社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2018年1月       第4次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9787302481447</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c程序设计</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谭浩强</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2017年8月       第五版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清华大学出版社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2018年1月       第4次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9787302481447</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沟通技巧（第三版）</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谢红霞</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2018年6月   第三版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2018年6月   第1次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9787300257150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沟通与写作：语言表达与沟通技能</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王用源</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2020年6月第一版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人民邮电出版社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2020年6月第1次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9787115537287</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信息系统基础</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宋金玉</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2016年1月   第一版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清华大学出版社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2016年1月   第1次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9787302397113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信息系统基础</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杨孔雨</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2016年7月       第一版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清华大学出版社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2016年7月       第1次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9787302236412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工程图学及计算机绘图</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宋卫卫            杨波</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2020年1月第3版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机械工业出版社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2020年1月第3次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9787111538431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C语言程序设计项目化教程（第2版）</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周雅静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邢小英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徐济惠</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2019年3月第2版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电子工业出版社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2020年1月第5次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9787121356780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C语言程序设计（第五版）</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谭浩强</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2017年8月第5版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清华大学出版社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2020年7月第15次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978730248144-7</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6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新视野大学英语（第三版）读写教程1（思政智慧版）</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郑树棠</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2020年5月第一版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2020年5月第1次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978-7-5213-1698-8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6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新视野大学英语（第三版）视听说教程1（智慧版）</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郑树棠</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2017年6月第一版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2019年4月第12次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978-7-5135-9023-5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 世纪大学艺术英语综合教程1</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贺春英</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2019年8月第一版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复旦大学出版社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2019年8月第1次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978-7-3091-4514-4</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 世纪大学艺术英语综合教程教师用书1</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贺春英</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2020年6月第一版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复旦大学出版社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2020年6月第2次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978-7-3091-4515-1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6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 世纪大学英语（S 版） 视听说教程（1）（第 2 版）</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姜荷梅</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复旦大学出版社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978-7-3091-2648-8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44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 世纪大学英语（S 版） 视听说教程教学参考书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（1）（第 2 版）</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姜荷梅</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复旦大学出版社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978-7-3091-2649-5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博雅英语·阅读教程(第一册)</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吴松江</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复旦大学出版社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7-309-14513-7</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博雅英语·写作教程（第一册）</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吴松江</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复旦大学出版社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7-309-14555-7</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博雅英语·听说教程（第一册）</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吴松江</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复旦大学出版社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7-309-14562-5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44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（新）新标准高职公共英语系列教材 实用综合教程（第2版）1学生用书（附一书一码）</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王守仁,陈新仁,徐蕾,杨丽敏</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2020年3月第一版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上海外语教育出版社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978-7-5446-4823-3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44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新标准高职公共英语系列教材：实用综合教程（第2版）1 练习册（附mp3下载）</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谢雅君</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2020年3月第一版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上海外语教育出版社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978-7-5446-3044-3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44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（新）新标准高职公共英语系列教材 实用听说教程（第2版）1学生用书（附一书一码）</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陈龙,徐倩</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2020年3月第一版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上海外语教育出版社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978-7-5446-4819-6</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44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新标准高职公共英语系列教材：实用综合教程（第2版）1 教师用书（附mp3下载）</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王守仁</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2018年8月第一版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上海外语教育出版社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978-7-5446-3043-6</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44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新标准高职公共英语系列教材：实用听说教程（第2版）1 教师用书（附网络下载）</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陈龙、周国强</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2019年8月第一版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上海外语教育出版社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978-7-5446-3047-4</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6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（新）新标准高职公共英语系列教材 实用写作教程（第2版）</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晨梅梅</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2019年3月第一版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上海外语教育出版社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978-7-5446-4827-1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20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新视野英语教程（第三版）读写教程1（智慧版）（含MP3光盘一张）</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郑树棠</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978-7-5135-9043-3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20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新视野英语教程（第三版）听说教程1（智慧版）（含MP3光盘一张）</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郑树棠</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978-7-5213-0024-6</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新视野英语教程（第三版）读写教程1教师用书</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郑树棠</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978-7-5135-4208-1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新视野英语教程（第三版）听说教程1教师用书</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郑树棠</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978-7-5135-4186-2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三大构成设计</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史喜珍</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2011年8月第二版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武汉理工大学出版社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2017年9月第18次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9787562935179</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Photoshop 从入门到精通</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敬伟</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2020年6月第1版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清华大学出版社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2020年6月第1次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9787302542230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中国古代文学史（上）</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袁世硕、陈文新</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2018.08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高等教育出版社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2020年8月第8次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9787040447002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中国古代文学作品选（一）</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袁世硕</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2002.05   第一版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学出版社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第33次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97870200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37193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现代汉语上册</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黄伯荣、廖序东</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2017年6月第6版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高等教育出版社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2019年12月第13次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978-7-04-046593-8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现代汉语下册</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黄伯荣、廖序东</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2017年6月第6版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高等教育出版社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2020年3月第13次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978-7-04-046988-2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20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构成设计基础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高等院校艺术设计类专业“十三五”案例式规划教材</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段碧丽 吴学云 李明</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2018年10月第一版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华中科技大学出版社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2018年10月第1次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978-7-5680-4483-7</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44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摄影美学/21世纪全国普通高等院校美术 艺术 设计转也“十二五”精品课程规划教材</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李文方、殷强、徐国武 </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2014年4月第三版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辽宁美术出版社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2018年6月第6次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978-7-5314-5813-5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Photoshop图像处理(第二版)</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　辉</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东方出版中心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978-7-80186-876-3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管理学</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陈传明</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2019年1月第1版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高等教育出版社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2019年8月第4次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978-7-04-045832-9</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经济学基础</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吴汉洪</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2020年10月第6版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人民大学出版社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2021年5月第1版</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978-7300-28652-5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20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马克思主义政治经济学概论</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刘树成、吴青树、纪宝成、李兴山、张宇、胡家勇</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2011年第1版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人民出版社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高等教育出版社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2011年第1次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987-7-01-009875-3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思想道德与法治（2021年版）</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本书编写组</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最新版（2021年版）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高等教育出版社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思想道德与法治（2021年版）</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本书编写组</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最新版（2021年版）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高等教育出版社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888</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中国近现代史纲要（2021年版）</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本书编写组</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最新版（2021年版）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高等教育出版社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1087</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大学生心理健康教育实用教程（微课双色版）</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邓彦</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978-7-313-15714-0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1087</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大学生心理健康教育实用教程（微课双色版）</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邓彦</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978-7-313-15714-0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普通高等学校军事理论与技能训练教程</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傅永林唐福元</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国防大学出版社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978-7-5626-2412-7</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1088</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普通高等学校军事理论与技能训练教程</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傅永林唐福元</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国防大学出版社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978-7-5626-2412-7</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211（768需求-557库存）</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钢琴基础教程修订版1</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韩林申、李晓平、徐斐、周荷君编</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2003年第1版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上海音乐出版社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2020年6月第55次印刷</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978-7-80667-269-3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Photoshop 基础与应用</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张燕丽</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2019年1月 第2版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2019年1月 第3次印刷</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978-7-313-15457-6</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素描（第二版）</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孙化一</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2019年11月 第2版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2019年11月 第3次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9787313223586</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素描技法与表现</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李倍雷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2018年12月 第2版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上海交通大学出版社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2018年12月 第2次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9787313135544</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新闻学概论（第二版）</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《新闻学概论》编写组</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2020年8月第二版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高等教育出版社  人民出版社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2020年9月第三次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978-7-04-053367-5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新闻学概论</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田秋生</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2013年8月第一版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暨南大学出版社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2013年8月第一次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978-7-5668-0690-1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传播学教程</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郭庆光</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2011年4月第2版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中国人民大学出版社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2017年3月第16次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978-7-300-11125-4</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传播学概论（第三版）</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孙庚</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2018/7/1第3版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中国人民大学出版社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2018年7月第1版</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9787300260105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现代大学英语（第二版）精读1</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杨立民</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2020年6月第1版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2020年6月第1次印刷</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978-7-5213-1821-0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英语听力教程1（第三版）</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张民伦</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2013年10月第3版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高等教育出版社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2020年7月第11次印刷</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978-7-04-038195-5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现代大学英语口语1</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杨立民</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2014年9月第2版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外语教学与研究出版社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2019年5月第7次印刷</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978-7-5135-4861-8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体育与健康</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王峰 王乐 谭海龙</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2016年7月</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通大学出版社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978731314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7691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spacing w:line="380" w:lineRule="exact"/>
        <w:rPr>
          <w:rFonts w:ascii="仿宋" w:hAnsi="仿宋" w:eastAsia="仿宋"/>
          <w:sz w:val="28"/>
          <w:szCs w:val="28"/>
        </w:rPr>
      </w:pPr>
      <w:r>
        <w:rPr>
          <w:rFonts w:ascii="仿宋" w:hAnsi="仿宋" w:eastAsia="仿宋"/>
          <w:sz w:val="28"/>
          <w:szCs w:val="28"/>
        </w:rPr>
        <w:t>注：1.如果按单价计算的结果与总价不一致,以单价为准修正总价。</w:t>
      </w:r>
    </w:p>
    <w:p>
      <w:pPr>
        <w:spacing w:line="380" w:lineRule="exact"/>
        <w:ind w:left="147" w:leftChars="67" w:firstLine="560" w:firstLineChars="200"/>
        <w:rPr>
          <w:rFonts w:ascii="仿宋" w:hAnsi="仿宋" w:eastAsia="仿宋"/>
          <w:sz w:val="28"/>
          <w:szCs w:val="28"/>
          <w:lang w:val="zh-CN"/>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9240" w:firstLineChars="33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51" w:name="_Toc193165739"/>
      <w:bookmarkStart w:id="52" w:name="_Toc193160453"/>
      <w:bookmarkStart w:id="53" w:name="_Toc249325720"/>
      <w:bookmarkStart w:id="54" w:name="_Toc266868943"/>
      <w:bookmarkStart w:id="55" w:name="_Toc255975016"/>
      <w:bookmarkStart w:id="56" w:name="_Toc192996451"/>
      <w:bookmarkStart w:id="57" w:name="_Toc192996343"/>
      <w:bookmarkStart w:id="58" w:name="_Toc251586241"/>
      <w:bookmarkStart w:id="59" w:name="_Toc254790909"/>
      <w:bookmarkStart w:id="60" w:name="_Toc170798798"/>
      <w:bookmarkStart w:id="61" w:name="_Toc182805222"/>
      <w:bookmarkStart w:id="62" w:name="_Toc259692656"/>
      <w:bookmarkStart w:id="63" w:name="_Toc160880165"/>
      <w:bookmarkStart w:id="64" w:name="_Toc213208771"/>
      <w:bookmarkStart w:id="65" w:name="_Toc253066624"/>
      <w:bookmarkStart w:id="66" w:name="_Toc192664158"/>
      <w:bookmarkStart w:id="67" w:name="_Toc182372787"/>
      <w:bookmarkStart w:id="68" w:name="_Toc251613839"/>
      <w:bookmarkStart w:id="69" w:name="_Toc267060461"/>
      <w:bookmarkStart w:id="70" w:name="_Toc267059186"/>
      <w:bookmarkStart w:id="71" w:name="_Toc160880534"/>
      <w:bookmarkStart w:id="72" w:name="_Toc236021457"/>
      <w:bookmarkStart w:id="73" w:name="_Toc191803631"/>
      <w:bookmarkStart w:id="74" w:name="_Toc191783227"/>
      <w:bookmarkStart w:id="75" w:name="_Toc232302122"/>
      <w:bookmarkStart w:id="76" w:name="_Toc177985474"/>
      <w:bookmarkStart w:id="77" w:name="_Toc181436570"/>
      <w:bookmarkStart w:id="78" w:name="_Toc267059658"/>
      <w:bookmarkStart w:id="79" w:name="_Toc235438281"/>
      <w:bookmarkStart w:id="80" w:name="_Toc169332843"/>
      <w:bookmarkStart w:id="81" w:name="_Toc223146614"/>
      <w:bookmarkStart w:id="82" w:name="_Toc225669328"/>
      <w:bookmarkStart w:id="83" w:name="_Toc169332954"/>
      <w:bookmarkStart w:id="84" w:name="_Toc230071153"/>
      <w:bookmarkStart w:id="85" w:name="_Toc219800249"/>
      <w:bookmarkStart w:id="86" w:name="_Toc273178703"/>
      <w:bookmarkStart w:id="87" w:name="_Toc235437998"/>
      <w:bookmarkStart w:id="88" w:name="_Toc181436466"/>
      <w:bookmarkStart w:id="89" w:name="_Toc227058536"/>
      <w:bookmarkStart w:id="90" w:name="_Toc191802695"/>
      <w:bookmarkStart w:id="91" w:name="_Toc192663840"/>
      <w:bookmarkStart w:id="92" w:name="_Toc180302918"/>
      <w:bookmarkStart w:id="93" w:name="_Toc235438352"/>
      <w:bookmarkStart w:id="94" w:name="_Toc213755864"/>
      <w:bookmarkStart w:id="95" w:name="_Toc259692749"/>
      <w:bookmarkStart w:id="96" w:name="_Toc192663691"/>
      <w:bookmarkStart w:id="97" w:name="_Toc266868679"/>
      <w:bookmarkStart w:id="98" w:name="_Toc191789334"/>
      <w:bookmarkStart w:id="99" w:name="_Toc266870916"/>
      <w:bookmarkStart w:id="100" w:name="_Toc266870839"/>
      <w:bookmarkStart w:id="101" w:name="_Toc217891408"/>
      <w:bookmarkStart w:id="102" w:name="_Toc267060326"/>
      <w:bookmarkStart w:id="103" w:name="_Toc259520874"/>
      <w:bookmarkStart w:id="104" w:name="_Toc213755945"/>
      <w:bookmarkStart w:id="105" w:name="_Toc266870441"/>
      <w:bookmarkStart w:id="106" w:name="_Toc267059544"/>
      <w:bookmarkStart w:id="107" w:name="_Toc258401265"/>
      <w:bookmarkStart w:id="108" w:name="_Toc267060216"/>
      <w:bookmarkStart w:id="109" w:name="_Toc211917121"/>
      <w:bookmarkStart w:id="110" w:name="_Toc213756001"/>
      <w:bookmarkStart w:id="111" w:name="_Toc267059811"/>
      <w:bookmarkStart w:id="112" w:name="_Toc267059035"/>
      <w:bookmarkStart w:id="113" w:name="_Toc267060076"/>
      <w:bookmarkStart w:id="114" w:name="_Toc213756057"/>
      <w:bookmarkStart w:id="115" w:name="_Toc203355738"/>
      <w:bookmarkStart w:id="116" w:name="_Toc267059924"/>
    </w:p>
    <w:p>
      <w:pPr>
        <w:spacing w:line="380" w:lineRule="exact"/>
        <w:ind w:right="1120"/>
        <w:outlineLvl w:val="2"/>
        <w:rPr>
          <w:rFonts w:ascii="仿宋" w:hAnsi="仿宋" w:eastAsia="仿宋"/>
          <w:bCs/>
          <w:sz w:val="28"/>
          <w:szCs w:val="28"/>
          <w:u w:val="single"/>
        </w:rPr>
      </w:pPr>
    </w:p>
    <w:p>
      <w:pPr>
        <w:rPr>
          <w:rFonts w:ascii="仿宋" w:hAnsi="仿宋" w:eastAsia="仿宋"/>
          <w:b/>
          <w:bCs/>
          <w:sz w:val="28"/>
          <w:szCs w:val="28"/>
        </w:rPr>
      </w:pPr>
      <w:r>
        <w:rPr>
          <w:rFonts w:ascii="仿宋" w:hAnsi="仿宋" w:eastAsia="仿宋"/>
          <w:b/>
          <w:bCs/>
          <w:sz w:val="28"/>
          <w:szCs w:val="28"/>
        </w:rPr>
        <w:br w:type="page"/>
      </w:r>
    </w:p>
    <w:p>
      <w:pPr>
        <w:jc w:val="center"/>
        <w:outlineLvl w:val="1"/>
        <w:rPr>
          <w:rFonts w:ascii="仿宋" w:hAnsi="仿宋" w:eastAsia="仿宋"/>
          <w:b/>
          <w:bCs/>
          <w:sz w:val="28"/>
          <w:szCs w:val="28"/>
        </w:rPr>
        <w:sectPr>
          <w:type w:val="continuous"/>
          <w:pgSz w:w="16838" w:h="11906" w:orient="landscape"/>
          <w:pgMar w:top="1134" w:right="1440" w:bottom="1417" w:left="1440" w:header="851" w:footer="992" w:gutter="0"/>
          <w:cols w:space="0" w:num="1"/>
          <w:titlePg/>
          <w:rtlGutter w:val="0"/>
          <w:docGrid w:type="lines" w:linePitch="322" w:charSpace="0"/>
        </w:sect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6"/>
        <w:rPr>
          <w:rFonts w:ascii="仿宋" w:hAnsi="仿宋" w:eastAsia="仿宋"/>
          <w:szCs w:val="28"/>
        </w:rPr>
      </w:pPr>
    </w:p>
    <w:p>
      <w:pPr>
        <w:spacing w:line="380" w:lineRule="exact"/>
        <w:jc w:val="center"/>
        <w:outlineLvl w:val="2"/>
        <w:rPr>
          <w:rFonts w:ascii="仿宋" w:hAnsi="仿宋" w:eastAsia="仿宋"/>
          <w:b/>
          <w:sz w:val="28"/>
          <w:szCs w:val="28"/>
        </w:rPr>
      </w:pPr>
      <w:bookmarkStart w:id="117" w:name="_Toc217891409"/>
      <w:bookmarkStart w:id="118" w:name="_Toc267060462"/>
      <w:bookmarkStart w:id="119" w:name="_Toc259692750"/>
      <w:bookmarkStart w:id="120" w:name="_Toc255975017"/>
      <w:bookmarkStart w:id="121" w:name="_Toc219800250"/>
      <w:bookmarkStart w:id="122" w:name="_Toc266870442"/>
      <w:bookmarkStart w:id="123" w:name="_Toc259520875"/>
      <w:bookmarkStart w:id="124" w:name="_Toc266868680"/>
      <w:bookmarkStart w:id="125" w:name="_Toc254790910"/>
      <w:bookmarkStart w:id="126" w:name="_Toc258401266"/>
      <w:bookmarkStart w:id="127" w:name="_Toc259692657"/>
      <w:bookmarkStart w:id="128" w:name="_Toc267060217"/>
      <w:bookmarkStart w:id="129" w:name="_Toc266870917"/>
      <w:bookmarkStart w:id="130" w:name="_Toc213756058"/>
      <w:bookmarkStart w:id="131" w:name="_Toc232302123"/>
      <w:bookmarkStart w:id="132" w:name="_Toc230071154"/>
      <w:bookmarkStart w:id="133" w:name="_Toc235438353"/>
      <w:bookmarkStart w:id="134" w:name="_Toc251613840"/>
      <w:bookmarkStart w:id="135" w:name="_Toc227058537"/>
      <w:bookmarkStart w:id="136" w:name="_Toc251586242"/>
      <w:bookmarkStart w:id="137" w:name="_Toc223146615"/>
      <w:bookmarkStart w:id="138" w:name="_Toc225669329"/>
      <w:bookmarkStart w:id="139" w:name="_Toc267060077"/>
      <w:bookmarkStart w:id="140" w:name="_Toc235437999"/>
      <w:bookmarkStart w:id="141" w:name="_Toc235438282"/>
      <w:bookmarkStart w:id="142" w:name="_Toc253066625"/>
      <w:bookmarkStart w:id="143" w:name="_Toc236021458"/>
      <w:bookmarkStart w:id="144" w:name="_Toc249325721"/>
      <w:r>
        <w:rPr>
          <w:rFonts w:ascii="仿宋" w:hAnsi="仿宋" w:eastAsia="仿宋"/>
          <w:b/>
          <w:sz w:val="28"/>
          <w:szCs w:val="28"/>
        </w:rPr>
        <w:t>3</w:t>
      </w:r>
      <w:r>
        <w:rPr>
          <w:rFonts w:hint="eastAsia" w:ascii="仿宋" w:hAnsi="仿宋" w:eastAsia="仿宋"/>
          <w:b/>
          <w:sz w:val="28"/>
          <w:szCs w:val="28"/>
        </w:rPr>
        <w:t>-1关于资格的声明函</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Fonts w:hint="eastAsia" w:ascii="仿宋" w:hAnsi="仿宋" w:eastAsia="仿宋"/>
          <w:b/>
          <w:sz w:val="28"/>
          <w:szCs w:val="28"/>
        </w:rPr>
        <w:cr/>
      </w:r>
    </w:p>
    <w:p>
      <w:pPr>
        <w:spacing w:after="0" w:line="500" w:lineRule="exact"/>
        <w:rPr>
          <w:rFonts w:ascii="仿宋" w:hAnsi="仿宋" w:eastAsia="仿宋"/>
          <w:sz w:val="28"/>
          <w:szCs w:val="28"/>
        </w:rPr>
      </w:pPr>
      <w:bookmarkStart w:id="145" w:name="_Hlk511663739"/>
      <w:r>
        <w:rPr>
          <w:rFonts w:hint="eastAsia" w:ascii="仿宋" w:hAnsi="仿宋" w:eastAsia="仿宋"/>
          <w:sz w:val="28"/>
          <w:szCs w:val="28"/>
          <w:lang w:eastAsia="zh-CN"/>
        </w:rPr>
        <w:t>济南大学泉城学院</w:t>
      </w:r>
      <w:r>
        <w:rPr>
          <w:rFonts w:hint="eastAsia" w:ascii="仿宋" w:hAnsi="仿宋" w:eastAsia="仿宋"/>
          <w:sz w:val="28"/>
          <w:szCs w:val="28"/>
        </w:rPr>
        <w:t>：</w:t>
      </w:r>
      <w:bookmarkEnd w:id="145"/>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r>
        <w:rPr>
          <w:rFonts w:hint="eastAsia" w:ascii="仿宋" w:hAnsi="仿宋" w:eastAsia="仿宋"/>
          <w:sz w:val="28"/>
          <w:szCs w:val="28"/>
          <w:u w:val="single"/>
        </w:rPr>
        <w:t xml:space="preserve">     </w:t>
      </w:r>
      <w:r>
        <w:rPr>
          <w:rFonts w:hint="eastAsia" w:ascii="仿宋" w:hAnsi="仿宋" w:eastAsia="仿宋"/>
          <w:sz w:val="28"/>
          <w:szCs w:val="28"/>
        </w:rPr>
        <w:t xml:space="preserve"> （项目编号）公开询价邀请，本签字人愿意参加本次报价，提供公开询价文件中规定的</w:t>
      </w:r>
      <w:r>
        <w:rPr>
          <w:rFonts w:hint="eastAsia" w:ascii="仿宋" w:hAnsi="仿宋" w:eastAsia="仿宋"/>
          <w:sz w:val="28"/>
          <w:szCs w:val="28"/>
          <w:u w:val="single"/>
        </w:rPr>
        <w:t xml:space="preserve">                   </w:t>
      </w:r>
      <w:r>
        <w:rPr>
          <w:rFonts w:hint="eastAsia" w:ascii="仿宋" w:hAnsi="仿宋" w:eastAsia="仿宋"/>
          <w:sz w:val="28"/>
          <w:szCs w:val="28"/>
        </w:rPr>
        <w:t>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w:t>
      </w:r>
      <w:r>
        <w:rPr>
          <w:rFonts w:ascii="仿宋" w:hAnsi="仿宋" w:eastAsia="仿宋"/>
          <w:sz w:val="28"/>
          <w:szCs w:val="28"/>
        </w:rPr>
        <w:t>1</w:t>
      </w:r>
      <w:r>
        <w:rPr>
          <w:rFonts w:hint="eastAsia" w:ascii="仿宋" w:hAnsi="仿宋" w:eastAsia="仿宋"/>
          <w:sz w:val="28"/>
          <w:szCs w:val="28"/>
        </w:rPr>
        <w:t>份，副本</w:t>
      </w:r>
      <w:r>
        <w:rPr>
          <w:rFonts w:hint="eastAsia" w:ascii="仿宋" w:hAnsi="仿宋" w:eastAsia="仿宋"/>
          <w:sz w:val="28"/>
          <w:szCs w:val="28"/>
          <w:lang w:val="en-US" w:eastAsia="zh-CN"/>
        </w:rPr>
        <w:t>1</w:t>
      </w:r>
      <w:r>
        <w:rPr>
          <w:rFonts w:hint="eastAsia" w:ascii="仿宋" w:hAnsi="仿宋" w:eastAsia="仿宋"/>
          <w:sz w:val="28"/>
          <w:szCs w:val="28"/>
        </w:rPr>
        <w:t>份，随报价响应文件一同递交。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146" w:name="_Toc258401267"/>
      <w:bookmarkStart w:id="147" w:name="_Toc266870918"/>
      <w:bookmarkStart w:id="148" w:name="_Toc253066626"/>
      <w:bookmarkStart w:id="149" w:name="_Toc251586243"/>
      <w:bookmarkStart w:id="150" w:name="_Toc235438283"/>
      <w:bookmarkStart w:id="151" w:name="_Toc236021459"/>
      <w:bookmarkStart w:id="152" w:name="_Toc235438354"/>
      <w:bookmarkStart w:id="153" w:name="_Toc259520876"/>
      <w:bookmarkStart w:id="154" w:name="_Toc219800251"/>
      <w:bookmarkStart w:id="155" w:name="_Toc227058538"/>
      <w:bookmarkStart w:id="156" w:name="_Toc266868681"/>
      <w:bookmarkStart w:id="157" w:name="_Toc251613841"/>
      <w:bookmarkStart w:id="158" w:name="_Toc213756059"/>
      <w:bookmarkStart w:id="159" w:name="_Toc254790911"/>
      <w:bookmarkStart w:id="160" w:name="_Toc223146616"/>
      <w:bookmarkStart w:id="161" w:name="_Toc225669330"/>
      <w:bookmarkStart w:id="162" w:name="_Toc232302124"/>
      <w:bookmarkStart w:id="163" w:name="_Toc235438000"/>
      <w:bookmarkStart w:id="164" w:name="_Toc230071155"/>
      <w:bookmarkStart w:id="165" w:name="_Toc266870443"/>
      <w:bookmarkStart w:id="166" w:name="_Toc259692751"/>
      <w:bookmarkStart w:id="167" w:name="_Toc217891410"/>
      <w:bookmarkStart w:id="168" w:name="_Toc259692658"/>
      <w:bookmarkStart w:id="169" w:name="_Toc249325722"/>
      <w:bookmarkStart w:id="170" w:name="_Toc255975018"/>
    </w:p>
    <w:p>
      <w:pPr>
        <w:jc w:val="center"/>
        <w:outlineLvl w:val="1"/>
        <w:rPr>
          <w:rFonts w:ascii="仿宋" w:hAnsi="仿宋" w:eastAsia="仿宋"/>
          <w:b/>
          <w:sz w:val="28"/>
          <w:szCs w:val="28"/>
        </w:rPr>
      </w:pPr>
      <w:r>
        <w:rPr>
          <w:rFonts w:ascii="仿宋" w:hAnsi="仿宋" w:eastAsia="仿宋"/>
          <w:sz w:val="28"/>
          <w:szCs w:val="28"/>
        </w:rPr>
        <w:br w:type="page"/>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ascii="仿宋" w:hAnsi="仿宋" w:eastAsia="仿宋"/>
          <w:b/>
          <w:bCs/>
          <w:sz w:val="28"/>
          <w:szCs w:val="28"/>
        </w:rPr>
        <w:t>2</w:t>
      </w:r>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rPr>
          <w:rFonts w:ascii="仿宋" w:hAnsi="仿宋" w:eastAsia="仿宋"/>
          <w:sz w:val="28"/>
          <w:szCs w:val="28"/>
        </w:rPr>
      </w:pPr>
      <w:r>
        <w:rPr>
          <w:rFonts w:hint="eastAsia" w:ascii="仿宋" w:hAnsi="仿宋" w:eastAsia="仿宋"/>
          <w:sz w:val="28"/>
          <w:szCs w:val="28"/>
          <w:lang w:eastAsia="zh-CN"/>
        </w:rPr>
        <w:t>济南大学泉城学院</w:t>
      </w:r>
      <w:r>
        <w:rPr>
          <w:rFonts w:hint="eastAsia" w:ascii="仿宋" w:hAnsi="仿宋" w:eastAsia="仿宋"/>
          <w:sz w:val="28"/>
          <w:szCs w:val="28"/>
        </w:rPr>
        <w:t>：</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w:t>
      </w:r>
      <w:r>
        <w:rPr>
          <w:rFonts w:hint="eastAsia" w:ascii="仿宋" w:hAnsi="仿宋" w:eastAsia="仿宋"/>
          <w:sz w:val="28"/>
          <w:szCs w:val="28"/>
          <w:u w:val="single"/>
        </w:rPr>
        <w:t xml:space="preserve">                         </w:t>
      </w:r>
      <w:r>
        <w:rPr>
          <w:rFonts w:hint="eastAsia" w:ascii="仿宋" w:hAnsi="仿宋" w:eastAsia="仿宋"/>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171" w:name="_Toc192996454"/>
      <w:bookmarkStart w:id="172" w:name="_Toc191802698"/>
      <w:bookmarkStart w:id="173" w:name="_Toc255975023"/>
      <w:bookmarkStart w:id="174" w:name="_Toc267060466"/>
      <w:bookmarkStart w:id="175" w:name="_Toc267060221"/>
      <w:bookmarkStart w:id="176" w:name="_Toc266868686"/>
      <w:bookmarkStart w:id="177" w:name="_Toc267060081"/>
      <w:bookmarkStart w:id="178" w:name="_Toc235438003"/>
      <w:bookmarkStart w:id="179" w:name="_Toc259520881"/>
      <w:bookmarkStart w:id="180" w:name="_Toc203355741"/>
      <w:bookmarkStart w:id="181" w:name="_Toc259692756"/>
      <w:bookmarkStart w:id="182" w:name="_Toc160880168"/>
      <w:bookmarkStart w:id="183" w:name="_Toc266870447"/>
      <w:bookmarkStart w:id="184" w:name="_Toc266870922"/>
      <w:bookmarkStart w:id="185" w:name="_Toc170798801"/>
      <w:bookmarkStart w:id="186" w:name="_Toc191783230"/>
      <w:bookmarkStart w:id="187" w:name="_Toc181436573"/>
      <w:bookmarkStart w:id="188" w:name="_Toc193160456"/>
      <w:bookmarkStart w:id="189" w:name="_Toc235438357"/>
      <w:bookmarkStart w:id="190" w:name="_Toc258401272"/>
      <w:bookmarkStart w:id="191" w:name="_Toc251613844"/>
      <w:bookmarkStart w:id="192" w:name="_Toc193165742"/>
      <w:bookmarkStart w:id="193" w:name="_Toc236021462"/>
      <w:bookmarkStart w:id="194" w:name="_Toc251586246"/>
      <w:bookmarkStart w:id="195" w:name="_Toc211917124"/>
      <w:bookmarkStart w:id="196" w:name="_Toc249325725"/>
      <w:bookmarkStart w:id="197" w:name="_Toc254790916"/>
      <w:bookmarkStart w:id="198" w:name="_Toc232302127"/>
      <w:bookmarkStart w:id="199" w:name="_Toc235438286"/>
      <w:bookmarkStart w:id="200" w:name="_Toc182372790"/>
      <w:bookmarkStart w:id="201" w:name="_Toc253066629"/>
      <w:bookmarkStart w:id="202" w:name="_Toc191789337"/>
      <w:bookmarkStart w:id="203" w:name="_Toc182805225"/>
      <w:bookmarkStart w:id="204" w:name="_Toc169332957"/>
      <w:bookmarkStart w:id="205" w:name="_Toc266868684"/>
      <w:bookmarkStart w:id="206" w:name="_Toc259520879"/>
      <w:bookmarkStart w:id="207" w:name="_Toc192996346"/>
      <w:bookmarkStart w:id="208" w:name="_Toc191803634"/>
      <w:bookmarkStart w:id="209" w:name="_Toc267060220"/>
      <w:bookmarkStart w:id="210" w:name="_Toc259692663"/>
      <w:bookmarkStart w:id="211" w:name="_Toc181436469"/>
      <w:bookmarkStart w:id="212" w:name="_Toc254790914"/>
      <w:bookmarkStart w:id="213" w:name="_Toc177985477"/>
      <w:bookmarkStart w:id="214" w:name="_Toc266870921"/>
      <w:bookmarkStart w:id="215" w:name="_Toc258401270"/>
      <w:bookmarkStart w:id="216" w:name="_Toc160880537"/>
      <w:bookmarkStart w:id="217" w:name="_Toc267060465"/>
      <w:bookmarkStart w:id="218" w:name="_Toc259692661"/>
      <w:bookmarkStart w:id="219" w:name="_Toc180302921"/>
      <w:bookmarkStart w:id="220" w:name="_Toc192664161"/>
      <w:bookmarkStart w:id="221" w:name="_Toc255975021"/>
      <w:bookmarkStart w:id="222" w:name="_Toc259692754"/>
      <w:bookmarkStart w:id="223" w:name="_Toc266870446"/>
      <w:bookmarkStart w:id="224" w:name="_Toc267060080"/>
      <w:bookmarkStart w:id="225" w:name="_Toc192663843"/>
      <w:bookmarkStart w:id="226" w:name="_Toc192663694"/>
      <w:bookmarkStart w:id="227" w:name="_Toc169332846"/>
    </w:p>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Pr>
        <w:spacing w:after="0" w:line="480" w:lineRule="exact"/>
        <w:ind w:firstLine="570"/>
        <w:jc w:val="center"/>
        <w:rPr>
          <w:rFonts w:ascii="仿宋" w:hAnsi="仿宋" w:eastAsia="仿宋"/>
          <w:b/>
          <w:bCs/>
          <w:sz w:val="28"/>
          <w:szCs w:val="28"/>
        </w:rPr>
      </w:pPr>
      <w:bookmarkStart w:id="228" w:name="_Toc266868687"/>
      <w:bookmarkStart w:id="229" w:name="_Toc254790917"/>
      <w:bookmarkStart w:id="230" w:name="_Toc267059187"/>
      <w:bookmarkStart w:id="231" w:name="_Toc266870448"/>
      <w:bookmarkStart w:id="232" w:name="_Toc267059036"/>
      <w:bookmarkStart w:id="233" w:name="_Toc259692664"/>
      <w:bookmarkStart w:id="234" w:name="_Toc259692757"/>
      <w:bookmarkStart w:id="235" w:name="_Toc266870840"/>
      <w:bookmarkStart w:id="236" w:name="_Toc232302128"/>
      <w:bookmarkStart w:id="237" w:name="_Toc255975024"/>
      <w:bookmarkStart w:id="238" w:name="_Toc267060082"/>
      <w:bookmarkStart w:id="239" w:name="_Toc251613845"/>
      <w:bookmarkStart w:id="240" w:name="_Toc267060327"/>
      <w:bookmarkStart w:id="241" w:name="_Toc267060222"/>
      <w:bookmarkStart w:id="242" w:name="_Toc267059545"/>
      <w:bookmarkStart w:id="243" w:name="_Toc266868944"/>
      <w:bookmarkStart w:id="244" w:name="_Toc251586247"/>
      <w:bookmarkStart w:id="245" w:name="_Toc267059659"/>
      <w:bookmarkStart w:id="246" w:name="_Toc266870923"/>
      <w:bookmarkStart w:id="247" w:name="_Toc236021463"/>
      <w:bookmarkStart w:id="248" w:name="_Toc267059925"/>
      <w:bookmarkStart w:id="249" w:name="_Toc258401273"/>
      <w:bookmarkStart w:id="250" w:name="_Toc259520882"/>
      <w:bookmarkStart w:id="251" w:name="_Toc235438358"/>
      <w:bookmarkStart w:id="252" w:name="_Toc235438004"/>
      <w:bookmarkStart w:id="253" w:name="_Toc235438287"/>
      <w:bookmarkStart w:id="254" w:name="_Toc249325726"/>
      <w:bookmarkStart w:id="255" w:name="_Toc253066630"/>
      <w:bookmarkStart w:id="256" w:name="_Toc267059812"/>
      <w:bookmarkStart w:id="257" w:name="_Toc267060467"/>
      <w:bookmarkStart w:id="258" w:name="_Toc273178704"/>
      <w:r>
        <w:rPr>
          <w:rFonts w:ascii="仿宋" w:hAnsi="仿宋" w:eastAsia="仿宋"/>
          <w:b/>
          <w:bCs/>
          <w:sz w:val="28"/>
          <w:szCs w:val="28"/>
        </w:rPr>
        <w:t>4.</w:t>
      </w:r>
      <w:r>
        <w:rPr>
          <w:rFonts w:hint="eastAsia" w:ascii="仿宋" w:hAnsi="仿宋" w:eastAsia="仿宋"/>
          <w:b/>
          <w:bCs/>
          <w:sz w:val="28"/>
          <w:szCs w:val="28"/>
        </w:rPr>
        <w:t>质保期和售后服务承诺书</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spacing w:after="0" w:line="480" w:lineRule="exact"/>
        <w:ind w:firstLine="570"/>
        <w:jc w:val="center"/>
        <w:rPr>
          <w:rFonts w:ascii="仿宋" w:hAnsi="仿宋" w:eastAsia="仿宋"/>
          <w:sz w:val="28"/>
          <w:szCs w:val="28"/>
        </w:rPr>
      </w:pPr>
    </w:p>
    <w:p>
      <w:pPr>
        <w:widowControl w:val="0"/>
        <w:spacing w:after="0" w:line="240" w:lineRule="auto"/>
        <w:ind w:left="420"/>
        <w:jc w:val="center"/>
        <w:outlineLvl w:val="1"/>
        <w:rPr>
          <w:rFonts w:ascii="仿宋" w:hAnsi="仿宋" w:eastAsia="仿宋"/>
          <w:b/>
          <w:sz w:val="28"/>
          <w:szCs w:val="28"/>
        </w:rPr>
      </w:pPr>
    </w:p>
    <w:p>
      <w:pPr>
        <w:rPr>
          <w:rFonts w:ascii="仿宋" w:hAnsi="仿宋" w:eastAsia="仿宋"/>
          <w:b/>
          <w:sz w:val="28"/>
          <w:szCs w:val="28"/>
        </w:rPr>
      </w:pPr>
      <w:r>
        <w:rPr>
          <w:rFonts w:ascii="仿宋" w:hAnsi="仿宋" w:eastAsia="仿宋"/>
          <w:b/>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ind w:firstLine="426"/>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p>
    <w:sectPr>
      <w:type w:val="continuous"/>
      <w:pgSz w:w="11906" w:h="16838"/>
      <w:pgMar w:top="1440" w:right="1417" w:bottom="1440" w:left="1134" w:header="851" w:footer="992" w:gutter="0"/>
      <w:cols w:space="0" w:num="1"/>
      <w:titlePg/>
      <w:rtlGutter w:val="0"/>
      <w:docGrid w:type="lines" w:linePitch="32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1A36A1"/>
    <w:multiLevelType w:val="singleLevel"/>
    <w:tmpl w:val="BC1A36A1"/>
    <w:lvl w:ilvl="0" w:tentative="0">
      <w:start w:val="1"/>
      <w:numFmt w:val="decimal"/>
      <w:suff w:val="nothing"/>
      <w:lvlText w:val="（%1）"/>
      <w:lvlJc w:val="left"/>
    </w:lvl>
  </w:abstractNum>
  <w:abstractNum w:abstractNumId="1">
    <w:nsid w:val="3026868F"/>
    <w:multiLevelType w:val="singleLevel"/>
    <w:tmpl w:val="3026868F"/>
    <w:lvl w:ilvl="0" w:tentative="0">
      <w:start w:val="2"/>
      <w:numFmt w:val="chineseCounting"/>
      <w:suff w:val="nothing"/>
      <w:lvlText w:val="%1、"/>
      <w:lvlJc w:val="left"/>
      <w:rPr>
        <w:rFonts w:hint="eastAsia"/>
      </w:rPr>
    </w:lvl>
  </w:abstractNum>
  <w:abstractNum w:abstractNumId="2">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61"/>
  <w:displayHorizontalDrawingGridEvery w:val="1"/>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05B7"/>
    <w:rsid w:val="002772BB"/>
    <w:rsid w:val="0029119F"/>
    <w:rsid w:val="002C2C3D"/>
    <w:rsid w:val="002C4297"/>
    <w:rsid w:val="00334E6F"/>
    <w:rsid w:val="003570A0"/>
    <w:rsid w:val="00387942"/>
    <w:rsid w:val="003C60EF"/>
    <w:rsid w:val="003E6439"/>
    <w:rsid w:val="003F20A6"/>
    <w:rsid w:val="00404FA2"/>
    <w:rsid w:val="004242F4"/>
    <w:rsid w:val="0043243C"/>
    <w:rsid w:val="00441955"/>
    <w:rsid w:val="004B66B1"/>
    <w:rsid w:val="00502F52"/>
    <w:rsid w:val="0053082C"/>
    <w:rsid w:val="005548FD"/>
    <w:rsid w:val="00582530"/>
    <w:rsid w:val="00590957"/>
    <w:rsid w:val="005A5A4D"/>
    <w:rsid w:val="005F1FC8"/>
    <w:rsid w:val="006267D7"/>
    <w:rsid w:val="00630374"/>
    <w:rsid w:val="006F3C71"/>
    <w:rsid w:val="006F5FBA"/>
    <w:rsid w:val="007B0F09"/>
    <w:rsid w:val="007B2319"/>
    <w:rsid w:val="00820F76"/>
    <w:rsid w:val="00832578"/>
    <w:rsid w:val="00865B30"/>
    <w:rsid w:val="00874219"/>
    <w:rsid w:val="008854FB"/>
    <w:rsid w:val="008902DC"/>
    <w:rsid w:val="00916532"/>
    <w:rsid w:val="00923C7E"/>
    <w:rsid w:val="00936704"/>
    <w:rsid w:val="009606BC"/>
    <w:rsid w:val="00967E57"/>
    <w:rsid w:val="00994E59"/>
    <w:rsid w:val="00A148CE"/>
    <w:rsid w:val="00A24465"/>
    <w:rsid w:val="00A374BB"/>
    <w:rsid w:val="00A40610"/>
    <w:rsid w:val="00A4220E"/>
    <w:rsid w:val="00A44A63"/>
    <w:rsid w:val="00A64A5B"/>
    <w:rsid w:val="00AD29A3"/>
    <w:rsid w:val="00AF3C2A"/>
    <w:rsid w:val="00B14C37"/>
    <w:rsid w:val="00B171D5"/>
    <w:rsid w:val="00B54440"/>
    <w:rsid w:val="00B554E7"/>
    <w:rsid w:val="00BD49FB"/>
    <w:rsid w:val="00BD7232"/>
    <w:rsid w:val="00BE1921"/>
    <w:rsid w:val="00C035B5"/>
    <w:rsid w:val="00C66E1E"/>
    <w:rsid w:val="00C676BA"/>
    <w:rsid w:val="00C81AB4"/>
    <w:rsid w:val="00C857BF"/>
    <w:rsid w:val="00CC0DE6"/>
    <w:rsid w:val="00D2102C"/>
    <w:rsid w:val="00D36D52"/>
    <w:rsid w:val="00D56DEA"/>
    <w:rsid w:val="00DA1606"/>
    <w:rsid w:val="00E11567"/>
    <w:rsid w:val="00E12402"/>
    <w:rsid w:val="00E3310A"/>
    <w:rsid w:val="00E33B9E"/>
    <w:rsid w:val="00E33C1C"/>
    <w:rsid w:val="00E95973"/>
    <w:rsid w:val="00ED2437"/>
    <w:rsid w:val="00EE3803"/>
    <w:rsid w:val="00F0149B"/>
    <w:rsid w:val="00F5316C"/>
    <w:rsid w:val="00F63014"/>
    <w:rsid w:val="00F8646A"/>
    <w:rsid w:val="00F876DE"/>
    <w:rsid w:val="00FF1750"/>
    <w:rsid w:val="01D22801"/>
    <w:rsid w:val="049E7982"/>
    <w:rsid w:val="1544334F"/>
    <w:rsid w:val="182D0237"/>
    <w:rsid w:val="199C2DF6"/>
    <w:rsid w:val="2D620DA0"/>
    <w:rsid w:val="320D0BE4"/>
    <w:rsid w:val="38CD00C0"/>
    <w:rsid w:val="3BC736F4"/>
    <w:rsid w:val="4B470EA5"/>
    <w:rsid w:val="4CF95054"/>
    <w:rsid w:val="4DCD425A"/>
    <w:rsid w:val="5153768A"/>
    <w:rsid w:val="51A955D3"/>
    <w:rsid w:val="5AB23AE9"/>
    <w:rsid w:val="5AD773C0"/>
    <w:rsid w:val="5B886A51"/>
    <w:rsid w:val="6808449C"/>
    <w:rsid w:val="6CF15560"/>
    <w:rsid w:val="6D9253CB"/>
    <w:rsid w:val="6DD53CEB"/>
    <w:rsid w:val="6E5858DD"/>
    <w:rsid w:val="72262C94"/>
    <w:rsid w:val="7C8E4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9"/>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0"/>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1"/>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2"/>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3"/>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4"/>
    <w:semiHidden/>
    <w:unhideWhenUsed/>
    <w:qFormat/>
    <w:uiPriority w:val="9"/>
    <w:pPr>
      <w:keepNext/>
      <w:keepLines/>
      <w:spacing w:before="120" w:after="0"/>
      <w:outlineLvl w:val="6"/>
    </w:pPr>
    <w:rPr>
      <w:i/>
      <w:iCs/>
    </w:rPr>
  </w:style>
  <w:style w:type="paragraph" w:styleId="9">
    <w:name w:val="heading 8"/>
    <w:basedOn w:val="1"/>
    <w:next w:val="1"/>
    <w:link w:val="35"/>
    <w:semiHidden/>
    <w:unhideWhenUsed/>
    <w:qFormat/>
    <w:uiPriority w:val="9"/>
    <w:pPr>
      <w:keepNext/>
      <w:keepLines/>
      <w:spacing w:before="120" w:after="0"/>
      <w:outlineLvl w:val="7"/>
    </w:pPr>
    <w:rPr>
      <w:b/>
      <w:bCs/>
    </w:rPr>
  </w:style>
  <w:style w:type="paragraph" w:styleId="10">
    <w:name w:val="heading 9"/>
    <w:basedOn w:val="1"/>
    <w:next w:val="1"/>
    <w:link w:val="36"/>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8"/>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7"/>
    <w:unhideWhenUsed/>
    <w:qFormat/>
    <w:uiPriority w:val="0"/>
    <w:rPr>
      <w:rFonts w:hAnsi="Courier New" w:cs="Courier New" w:asciiTheme="minorEastAsia"/>
    </w:rPr>
  </w:style>
  <w:style w:type="paragraph" w:styleId="16">
    <w:name w:val="footer"/>
    <w:basedOn w:val="1"/>
    <w:link w:val="53"/>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8"/>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7"/>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customStyle="1" w:styleId="28">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29">
    <w:name w:val="标题 2 字符"/>
    <w:basedOn w:val="25"/>
    <w:link w:val="3"/>
    <w:semiHidden/>
    <w:qFormat/>
    <w:uiPriority w:val="9"/>
    <w:rPr>
      <w:rFonts w:asciiTheme="majorHAnsi" w:hAnsiTheme="majorHAnsi" w:eastAsiaTheme="majorEastAsia" w:cstheme="majorBidi"/>
      <w:b/>
      <w:bCs/>
      <w:sz w:val="28"/>
      <w:szCs w:val="28"/>
    </w:rPr>
  </w:style>
  <w:style w:type="character" w:customStyle="1" w:styleId="30">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1">
    <w:name w:val="标题 4 字符"/>
    <w:basedOn w:val="25"/>
    <w:link w:val="5"/>
    <w:semiHidden/>
    <w:qFormat/>
    <w:uiPriority w:val="9"/>
    <w:rPr>
      <w:rFonts w:asciiTheme="majorHAnsi" w:hAnsiTheme="majorHAnsi" w:eastAsiaTheme="majorEastAsia" w:cstheme="majorBidi"/>
      <w:i/>
      <w:iCs/>
      <w:sz w:val="24"/>
      <w:szCs w:val="24"/>
    </w:rPr>
  </w:style>
  <w:style w:type="character" w:customStyle="1" w:styleId="32">
    <w:name w:val="标题 5 字符"/>
    <w:basedOn w:val="25"/>
    <w:link w:val="6"/>
    <w:semiHidden/>
    <w:qFormat/>
    <w:uiPriority w:val="9"/>
    <w:rPr>
      <w:rFonts w:asciiTheme="majorHAnsi" w:hAnsiTheme="majorHAnsi" w:eastAsiaTheme="majorEastAsia" w:cstheme="majorBidi"/>
      <w:b/>
      <w:bCs/>
    </w:rPr>
  </w:style>
  <w:style w:type="character" w:customStyle="1" w:styleId="33">
    <w:name w:val="标题 6 字符"/>
    <w:basedOn w:val="25"/>
    <w:link w:val="7"/>
    <w:semiHidden/>
    <w:qFormat/>
    <w:uiPriority w:val="9"/>
    <w:rPr>
      <w:rFonts w:asciiTheme="majorHAnsi" w:hAnsiTheme="majorHAnsi" w:eastAsiaTheme="majorEastAsia" w:cstheme="majorBidi"/>
      <w:b/>
      <w:bCs/>
      <w:i/>
      <w:iCs/>
    </w:rPr>
  </w:style>
  <w:style w:type="character" w:customStyle="1" w:styleId="34">
    <w:name w:val="标题 7 字符"/>
    <w:basedOn w:val="25"/>
    <w:link w:val="8"/>
    <w:semiHidden/>
    <w:qFormat/>
    <w:uiPriority w:val="9"/>
    <w:rPr>
      <w:i/>
      <w:iCs/>
    </w:rPr>
  </w:style>
  <w:style w:type="character" w:customStyle="1" w:styleId="35">
    <w:name w:val="标题 8 字符"/>
    <w:basedOn w:val="25"/>
    <w:link w:val="9"/>
    <w:semiHidden/>
    <w:qFormat/>
    <w:uiPriority w:val="9"/>
    <w:rPr>
      <w:b/>
      <w:bCs/>
    </w:rPr>
  </w:style>
  <w:style w:type="character" w:customStyle="1" w:styleId="36">
    <w:name w:val="标题 9 字符"/>
    <w:basedOn w:val="25"/>
    <w:link w:val="10"/>
    <w:semiHidden/>
    <w:qFormat/>
    <w:uiPriority w:val="9"/>
    <w:rPr>
      <w:i/>
      <w:iCs/>
    </w:rPr>
  </w:style>
  <w:style w:type="character" w:customStyle="1" w:styleId="37">
    <w:name w:val="标题 字符"/>
    <w:basedOn w:val="25"/>
    <w:link w:val="22"/>
    <w:qFormat/>
    <w:uiPriority w:val="10"/>
    <w:rPr>
      <w:rFonts w:asciiTheme="majorHAnsi" w:hAnsiTheme="majorHAnsi" w:eastAsiaTheme="majorEastAsia" w:cstheme="majorBidi"/>
      <w:b/>
      <w:bCs/>
      <w:spacing w:val="-7"/>
      <w:sz w:val="48"/>
      <w:szCs w:val="48"/>
    </w:rPr>
  </w:style>
  <w:style w:type="character" w:customStyle="1" w:styleId="38">
    <w:name w:val="副标题 字符"/>
    <w:basedOn w:val="25"/>
    <w:link w:val="19"/>
    <w:qFormat/>
    <w:uiPriority w:val="11"/>
    <w:rPr>
      <w:rFonts w:asciiTheme="majorHAnsi" w:hAnsiTheme="majorHAnsi" w:eastAsiaTheme="majorEastAsia" w:cstheme="majorBidi"/>
      <w:sz w:val="24"/>
      <w:szCs w:val="24"/>
    </w:rPr>
  </w:style>
  <w:style w:type="paragraph" w:styleId="39">
    <w:name w:val="No Spacing"/>
    <w:link w:val="50"/>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0">
    <w:name w:val="Quote"/>
    <w:basedOn w:val="1"/>
    <w:next w:val="1"/>
    <w:link w:val="41"/>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1">
    <w:name w:val="引用 字符"/>
    <w:basedOn w:val="25"/>
    <w:link w:val="40"/>
    <w:qFormat/>
    <w:uiPriority w:val="29"/>
    <w:rPr>
      <w:rFonts w:asciiTheme="majorHAnsi" w:hAnsiTheme="majorHAnsi" w:eastAsiaTheme="majorEastAsia" w:cstheme="majorBidi"/>
      <w:i/>
      <w:iCs/>
      <w:sz w:val="24"/>
      <w:szCs w:val="24"/>
    </w:rPr>
  </w:style>
  <w:style w:type="paragraph" w:styleId="42">
    <w:name w:val="Intense Quote"/>
    <w:basedOn w:val="1"/>
    <w:next w:val="1"/>
    <w:link w:val="43"/>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3">
    <w:name w:val="明显引用 字符"/>
    <w:basedOn w:val="25"/>
    <w:link w:val="42"/>
    <w:qFormat/>
    <w:uiPriority w:val="30"/>
    <w:rPr>
      <w:rFonts w:asciiTheme="majorHAnsi" w:hAnsiTheme="majorHAnsi" w:eastAsiaTheme="majorEastAsia" w:cstheme="majorBidi"/>
      <w:sz w:val="26"/>
      <w:szCs w:val="26"/>
    </w:rPr>
  </w:style>
  <w:style w:type="character" w:customStyle="1" w:styleId="44">
    <w:name w:val="Subtle Emphasis"/>
    <w:basedOn w:val="25"/>
    <w:qFormat/>
    <w:uiPriority w:val="19"/>
    <w:rPr>
      <w:i/>
      <w:iCs/>
      <w:color w:val="auto"/>
    </w:rPr>
  </w:style>
  <w:style w:type="character" w:customStyle="1" w:styleId="45">
    <w:name w:val="Intense Emphasis"/>
    <w:basedOn w:val="25"/>
    <w:qFormat/>
    <w:uiPriority w:val="21"/>
    <w:rPr>
      <w:b/>
      <w:bCs/>
      <w:i/>
      <w:iCs/>
      <w:color w:val="auto"/>
    </w:rPr>
  </w:style>
  <w:style w:type="character" w:customStyle="1" w:styleId="46">
    <w:name w:val="Subtle Reference"/>
    <w:basedOn w:val="25"/>
    <w:qFormat/>
    <w:uiPriority w:val="31"/>
    <w:rPr>
      <w:smallCaps/>
      <w:color w:val="auto"/>
      <w:u w:val="single" w:color="7E7E7E" w:themeColor="text1" w:themeTint="80"/>
    </w:rPr>
  </w:style>
  <w:style w:type="character" w:customStyle="1" w:styleId="47">
    <w:name w:val="Intense Reference"/>
    <w:basedOn w:val="25"/>
    <w:qFormat/>
    <w:uiPriority w:val="32"/>
    <w:rPr>
      <w:b/>
      <w:bCs/>
      <w:smallCaps/>
      <w:color w:val="auto"/>
      <w:u w:val="single"/>
    </w:rPr>
  </w:style>
  <w:style w:type="character" w:customStyle="1" w:styleId="48">
    <w:name w:val="Book Title"/>
    <w:basedOn w:val="25"/>
    <w:qFormat/>
    <w:uiPriority w:val="33"/>
    <w:rPr>
      <w:b/>
      <w:bCs/>
      <w:smallCaps/>
      <w:color w:val="auto"/>
    </w:rPr>
  </w:style>
  <w:style w:type="paragraph" w:customStyle="1" w:styleId="49">
    <w:name w:val="TOC Heading"/>
    <w:basedOn w:val="2"/>
    <w:next w:val="1"/>
    <w:unhideWhenUsed/>
    <w:qFormat/>
    <w:uiPriority w:val="39"/>
    <w:pPr>
      <w:outlineLvl w:val="9"/>
    </w:pPr>
  </w:style>
  <w:style w:type="character" w:customStyle="1" w:styleId="50">
    <w:name w:val="无间隔 字符"/>
    <w:basedOn w:val="25"/>
    <w:link w:val="39"/>
    <w:qFormat/>
    <w:uiPriority w:val="1"/>
  </w:style>
  <w:style w:type="paragraph" w:customStyle="1" w:styleId="51">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2">
    <w:name w:val="页眉 字符"/>
    <w:basedOn w:val="25"/>
    <w:link w:val="17"/>
    <w:qFormat/>
    <w:uiPriority w:val="99"/>
    <w:rPr>
      <w:sz w:val="18"/>
      <w:szCs w:val="18"/>
    </w:rPr>
  </w:style>
  <w:style w:type="character" w:customStyle="1" w:styleId="53">
    <w:name w:val="页脚 字符"/>
    <w:basedOn w:val="25"/>
    <w:link w:val="16"/>
    <w:qFormat/>
    <w:uiPriority w:val="99"/>
    <w:rPr>
      <w:sz w:val="18"/>
      <w:szCs w:val="18"/>
    </w:rPr>
  </w:style>
  <w:style w:type="paragraph" w:styleId="54">
    <w:name w:val="List Paragraph"/>
    <w:basedOn w:val="1"/>
    <w:qFormat/>
    <w:uiPriority w:val="34"/>
    <w:pPr>
      <w:ind w:firstLine="420" w:firstLineChars="200"/>
    </w:pPr>
  </w:style>
  <w:style w:type="character" w:customStyle="1" w:styleId="55">
    <w:name w:val="正文文本缩进 3 字符"/>
    <w:basedOn w:val="25"/>
    <w:link w:val="20"/>
    <w:qFormat/>
    <w:uiPriority w:val="0"/>
    <w:rPr>
      <w:rFonts w:ascii="Times New Roman" w:hAnsi="Times New Roman" w:eastAsia="宋体" w:cs="Times New Roman"/>
      <w:kern w:val="2"/>
      <w:sz w:val="16"/>
      <w:szCs w:val="16"/>
    </w:rPr>
  </w:style>
  <w:style w:type="paragraph" w:customStyle="1" w:styleId="56">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字符"/>
    <w:basedOn w:val="25"/>
    <w:link w:val="15"/>
    <w:semiHidden/>
    <w:qFormat/>
    <w:uiPriority w:val="99"/>
    <w:rPr>
      <w:rFonts w:hAnsi="Courier New" w:cs="Courier New" w:asciiTheme="minorEastAsia"/>
    </w:rPr>
  </w:style>
  <w:style w:type="character" w:customStyle="1" w:styleId="58">
    <w:name w:val="正文文本 字符"/>
    <w:basedOn w:val="25"/>
    <w:link w:val="13"/>
    <w:semiHidden/>
    <w:qFormat/>
    <w:uiPriority w:val="99"/>
  </w:style>
  <w:style w:type="character" w:customStyle="1" w:styleId="59">
    <w:name w:val="纯文本 Char"/>
    <w:qFormat/>
    <w:uiPriority w:val="0"/>
    <w:rPr>
      <w:rFonts w:ascii="宋体" w:hAnsi="Courier New" w:eastAsia="宋体"/>
      <w:kern w:val="2"/>
      <w:sz w:val="21"/>
      <w:lang w:val="en-US" w:eastAsia="zh-CN" w:bidi="ar-SA"/>
    </w:rPr>
  </w:style>
  <w:style w:type="paragraph" w:customStyle="1" w:styleId="60">
    <w:name w:val="标准文本"/>
    <w:basedOn w:val="1"/>
    <w:qFormat/>
    <w:uiPriority w:val="0"/>
    <w:pPr>
      <w:widowControl w:val="0"/>
      <w:adjustRightInd/>
      <w:snapToGrid/>
      <w:spacing w:after="0" w:line="360" w:lineRule="auto"/>
      <w:ind w:firstLine="480" w:firstLineChars="200"/>
      <w:jc w:val="both"/>
    </w:pPr>
    <w:rPr>
      <w:rFonts w:ascii="Times New Roman" w:hAnsi="Times New Roman" w:eastAsia="宋体" w:cs="Times New Roman"/>
      <w:kern w:val="2"/>
      <w:sz w:val="24"/>
      <w:szCs w:val="20"/>
    </w:rPr>
  </w:style>
  <w:style w:type="character" w:customStyle="1" w:styleId="61">
    <w:name w:val="NormalCharacter"/>
    <w:semiHidden/>
    <w:qFormat/>
    <w:uiPriority w:val="0"/>
    <w:rPr>
      <w:rFonts w:asciiTheme="minorHAnsi" w:hAnsiTheme="minorHAnsi" w:eastAsiaTheme="minorEastAsia" w:cstheme="minorBidi"/>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2.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FD7026-7A80-451E-8CB7-D9276E9BEAB9}">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871</Words>
  <Characters>4969</Characters>
  <Lines>41</Lines>
  <Paragraphs>11</Paragraphs>
  <TotalTime>0</TotalTime>
  <ScaleCrop>false</ScaleCrop>
  <LinksUpToDate>false</LinksUpToDate>
  <CharactersWithSpaces>5829</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2020-11-10T00:16:00Z</dcterms:created>
  <dc:creator>树亮 门</dc:creator>
  <cp:lastModifiedBy>il菓菓</cp:lastModifiedBy>
  <dcterms:modified xsi:type="dcterms:W3CDTF">2021-09-03T09:00:34Z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B38EDF48FBE34A02ABB4899CD02B62A9</vt:lpwstr>
  </property>
</Properties>
</file>