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24" w:name="_GoBack"/>
      <w:bookmarkEnd w:id="324"/>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eastAsia="zh-CN"/>
        </w:rPr>
        <w:t>烟台科技</w:t>
      </w:r>
      <w:r>
        <w:rPr>
          <w:rFonts w:hint="eastAsia" w:ascii="仿宋" w:hAnsi="仿宋" w:eastAsia="仿宋"/>
          <w:b/>
          <w:sz w:val="72"/>
          <w:szCs w:val="72"/>
        </w:rPr>
        <w:t>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A3A4教学楼计算机机房光纤建设</w:t>
      </w:r>
      <w:r>
        <w:rPr>
          <w:rFonts w:hint="eastAsia" w:ascii="仿宋" w:hAnsi="仿宋" w:eastAsia="仿宋"/>
          <w:b/>
          <w:sz w:val="44"/>
          <w:szCs w:val="44"/>
        </w:rPr>
        <w:t>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1000" w:lineRule="exact"/>
        <w:jc w:val="center"/>
        <w:rPr>
          <w:rFonts w:ascii="仿宋" w:hAnsi="仿宋" w:eastAsia="仿宋"/>
          <w:b/>
          <w:sz w:val="72"/>
          <w:szCs w:val="72"/>
        </w:rPr>
      </w:pPr>
    </w:p>
    <w:p>
      <w:pPr>
        <w:spacing w:line="500" w:lineRule="exact"/>
        <w:rPr>
          <w:rFonts w:hint="eastAsia" w:ascii="新宋体" w:hAnsi="新宋体" w:eastAsia="新宋体" w:cs="新宋体"/>
          <w:b/>
          <w:sz w:val="36"/>
          <w:szCs w:val="36"/>
          <w:lang w:val="en-US" w:eastAsia="zh-CN"/>
        </w:rPr>
      </w:pPr>
      <w:r>
        <w:rPr>
          <w:rFonts w:hint="eastAsia" w:ascii="仿宋" w:hAnsi="仿宋" w:eastAsia="仿宋"/>
          <w:b/>
          <w:sz w:val="36"/>
          <w:szCs w:val="36"/>
        </w:rPr>
        <w:t>项目编号：</w:t>
      </w:r>
      <w:bookmarkStart w:id="1" w:name="_Toc169332792"/>
      <w:bookmarkStart w:id="2" w:name="_Toc160880485"/>
      <w:bookmarkStart w:id="3" w:name="_Toc160880118"/>
      <w:r>
        <w:rPr>
          <w:rFonts w:hint="eastAsia" w:ascii="新宋体" w:hAnsi="新宋体" w:eastAsia="新宋体" w:cs="新宋体"/>
          <w:b/>
          <w:sz w:val="36"/>
          <w:szCs w:val="36"/>
          <w:lang w:val="en-US" w:eastAsia="zh-CN"/>
        </w:rPr>
        <w:t>YKG2021005</w:t>
      </w:r>
    </w:p>
    <w:p>
      <w:pPr>
        <w:spacing w:line="500" w:lineRule="exact"/>
        <w:rPr>
          <w:rFonts w:hint="eastAsia" w:ascii="仿宋" w:hAnsi="仿宋" w:eastAsia="仿宋"/>
          <w:b/>
          <w:sz w:val="36"/>
          <w:szCs w:val="36"/>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6241307"/>
      <w:bookmarkStart w:id="5" w:name="_Toc235438227"/>
      <w:bookmarkStart w:id="6" w:name="_Toc177985424"/>
      <w:bookmarkStart w:id="7" w:name="_Toc219800200"/>
      <w:bookmarkStart w:id="8" w:name="_Toc267060162"/>
      <w:bookmarkStart w:id="9" w:name="_Toc223146565"/>
      <w:bookmarkStart w:id="10" w:name="_Toc207014580"/>
      <w:bookmarkStart w:id="11" w:name="_Toc267059786"/>
      <w:bookmarkStart w:id="12" w:name="_Toc254790852"/>
      <w:bookmarkStart w:id="13" w:name="_Toc267060407"/>
      <w:bookmarkStart w:id="14" w:name="_Toc169332794"/>
      <w:bookmarkStart w:id="15" w:name="_Toc235437942"/>
      <w:bookmarkStart w:id="16" w:name="_Toc267059899"/>
      <w:bookmarkStart w:id="17" w:name="_Toc259692693"/>
      <w:bookmarkStart w:id="18" w:name="_Toc259692600"/>
      <w:bookmarkStart w:id="19" w:name="_Toc217891359"/>
      <w:bookmarkStart w:id="20" w:name="_Toc255974963"/>
      <w:bookmarkStart w:id="21" w:name="_Toc212454753"/>
      <w:bookmarkStart w:id="22" w:name="_Toc266868924"/>
      <w:bookmarkStart w:id="23" w:name="_Toc253066567"/>
      <w:bookmarkStart w:id="24" w:name="_Toc251613780"/>
      <w:bookmarkStart w:id="25" w:name="_Toc258401210"/>
      <w:bookmarkStart w:id="26" w:name="_Toc211937196"/>
      <w:bookmarkStart w:id="27" w:name="_Toc266870861"/>
      <w:bookmarkStart w:id="28" w:name="_Toc267060022"/>
      <w:bookmarkStart w:id="29" w:name="_Toc266870386"/>
      <w:bookmarkStart w:id="30" w:name="_Toc267059519"/>
      <w:bookmarkStart w:id="31" w:name="_Toc227058483"/>
      <w:bookmarkStart w:id="32" w:name="_Toc212530253"/>
      <w:bookmarkStart w:id="33" w:name="_Toc273178686"/>
      <w:bookmarkStart w:id="34" w:name="_Toc212526081"/>
      <w:bookmarkStart w:id="35" w:name="_Toc259520819"/>
      <w:bookmarkStart w:id="36" w:name="_Toc235438297"/>
      <w:bookmarkStart w:id="37" w:name="_Toc169332904"/>
      <w:bookmarkStart w:id="38" w:name="_Toc251586187"/>
      <w:bookmarkStart w:id="39" w:name="_Toc249325665"/>
      <w:bookmarkStart w:id="40" w:name="_Toc266868624"/>
      <w:bookmarkStart w:id="41" w:name="_Toc267059633"/>
      <w:bookmarkStart w:id="42" w:name="_Toc160880487"/>
      <w:bookmarkStart w:id="43" w:name="_Toc236021402"/>
      <w:bookmarkStart w:id="44" w:name="_Toc225669277"/>
      <w:bookmarkStart w:id="45" w:name="_Toc212456146"/>
      <w:bookmarkStart w:id="46" w:name="_Toc267059161"/>
      <w:bookmarkStart w:id="47" w:name="_Toc267059010"/>
      <w:bookmarkStart w:id="48" w:name="_Toc170798743"/>
      <w:r>
        <w:rPr>
          <w:rFonts w:hint="eastAsia" w:ascii="仿宋" w:hAnsi="仿宋" w:eastAsia="仿宋"/>
          <w:b/>
          <w:sz w:val="36"/>
          <w:szCs w:val="36"/>
          <w:lang w:val="en-US" w:eastAsia="zh-CN"/>
        </w:rPr>
        <w:t>A3A4教学楼计算机机房光纤建设</w:t>
      </w:r>
      <w:r>
        <w:rPr>
          <w:rFonts w:hint="eastAsia" w:ascii="仿宋" w:hAnsi="仿宋" w:eastAsia="仿宋"/>
          <w:b/>
          <w:sz w:val="36"/>
          <w:szCs w:val="36"/>
        </w:rPr>
        <w:t>采购</w:t>
      </w:r>
      <w:r>
        <w:rPr>
          <w:rFonts w:hint="eastAsia" w:ascii="仿宋" w:hAnsi="仿宋" w:eastAsia="仿宋"/>
          <w:b/>
          <w:sz w:val="36"/>
          <w:szCs w:val="36"/>
          <w:lang w:eastAsia="zh-CN"/>
        </w:rPr>
        <w:t>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lang w:eastAsia="zh-CN"/>
        </w:rPr>
        <w:t>烟台科技学院原</w:t>
      </w:r>
      <w:r>
        <w:rPr>
          <w:rFonts w:hint="eastAsia" w:ascii="仿宋" w:hAnsi="仿宋" w:eastAsia="仿宋"/>
          <w:sz w:val="28"/>
          <w:szCs w:val="28"/>
        </w:rPr>
        <w:t>济南大学泉城学院成立于2005年，是国家教育部和山东省人民政府批准成立的全日制普通本科高校。现有全日制在校生</w:t>
      </w:r>
      <w:r>
        <w:rPr>
          <w:rFonts w:hint="eastAsia" w:ascii="仿宋" w:hAnsi="仿宋" w:eastAsia="仿宋"/>
          <w:sz w:val="28"/>
          <w:szCs w:val="28"/>
          <w:lang w:val="en-US" w:eastAsia="zh-CN"/>
        </w:rPr>
        <w:t>140</w:t>
      </w:r>
      <w:r>
        <w:rPr>
          <w:rFonts w:ascii="仿宋" w:hAnsi="仿宋" w:eastAsia="仿宋"/>
          <w:sz w:val="28"/>
          <w:szCs w:val="28"/>
        </w:rPr>
        <w:t>00</w:t>
      </w:r>
      <w:r>
        <w:rPr>
          <w:rFonts w:hint="eastAsia" w:ascii="仿宋" w:hAnsi="仿宋" w:eastAsia="仿宋"/>
          <w:sz w:val="28"/>
          <w:szCs w:val="28"/>
        </w:rPr>
        <w:t>余人，基础设施完备，教学科研条件优越。根据需要，对</w:t>
      </w:r>
      <w:r>
        <w:rPr>
          <w:rFonts w:hint="eastAsia" w:ascii="仿宋" w:hAnsi="仿宋" w:eastAsia="仿宋"/>
          <w:sz w:val="28"/>
          <w:szCs w:val="28"/>
          <w:lang w:eastAsia="zh-CN"/>
        </w:rPr>
        <w:t>烟台科技</w:t>
      </w:r>
      <w:r>
        <w:rPr>
          <w:rFonts w:hint="eastAsia" w:ascii="仿宋" w:hAnsi="仿宋" w:eastAsia="仿宋"/>
          <w:sz w:val="28"/>
          <w:szCs w:val="28"/>
        </w:rPr>
        <w:t>学院</w:t>
      </w:r>
      <w:r>
        <w:rPr>
          <w:rFonts w:hint="eastAsia" w:ascii="仿宋" w:hAnsi="仿宋" w:eastAsia="仿宋"/>
          <w:sz w:val="28"/>
          <w:szCs w:val="28"/>
          <w:lang w:val="en-US" w:eastAsia="zh-CN"/>
        </w:rPr>
        <w:t>A3A4教学楼计算机机房光纤建设</w:t>
      </w:r>
      <w:r>
        <w:rPr>
          <w:rFonts w:hint="eastAsia" w:ascii="仿宋" w:hAnsi="仿宋" w:eastAsia="仿宋"/>
          <w:sz w:val="28"/>
          <w:szCs w:val="28"/>
        </w:rPr>
        <w:t>采购项目进行公开询价，欢迎国内合格参与人参与。</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lang w:val="en-US" w:eastAsia="zh-CN"/>
        </w:rPr>
        <w:t>YKG2021005</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A3A4教学楼计算机机房光纤建设</w:t>
      </w:r>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供设备</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。具备相应的维护</w:t>
      </w:r>
      <w:r>
        <w:rPr>
          <w:rFonts w:hint="eastAsia" w:ascii="仿宋" w:hAnsi="仿宋" w:eastAsia="仿宋"/>
          <w:sz w:val="28"/>
          <w:szCs w:val="28"/>
          <w:lang w:eastAsia="zh-CN"/>
        </w:rPr>
        <w:t>售后</w:t>
      </w:r>
      <w:r>
        <w:rPr>
          <w:rFonts w:hint="eastAsia" w:ascii="仿宋" w:hAnsi="仿宋" w:eastAsia="仿宋"/>
          <w:sz w:val="28"/>
          <w:szCs w:val="28"/>
        </w:rPr>
        <w:t>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（4）参与人具有2年以上（包括2年）3个以上同类项目销售和良好的售后服务应用成功案例,近三年未发生重大安全或质量事故。</w:t>
      </w:r>
    </w:p>
    <w:p>
      <w:pPr>
        <w:pStyle w:val="3"/>
        <w:ind w:firstLine="840" w:firstLineChars="300"/>
        <w:rPr>
          <w:rFonts w:ascii="仿宋" w:hAnsi="仿宋" w:eastAsia="仿宋" w:cstheme="minorBidi"/>
          <w:b w:val="0"/>
          <w:bCs w:val="0"/>
        </w:rPr>
      </w:pPr>
      <w:r>
        <w:rPr>
          <w:rFonts w:hint="eastAsia" w:ascii="仿宋" w:hAnsi="仿宋" w:eastAsia="仿宋" w:cstheme="minorBidi"/>
          <w:b w:val="0"/>
          <w:bCs w:val="0"/>
        </w:rPr>
        <w:t>（5）参与人须依法缴纳税金、有良好的商业信誉和健全的财务制度。</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hint="eastAsia" w:ascii="仿宋" w:hAnsi="仿宋" w:eastAsia="仿宋"/>
          <w:sz w:val="28"/>
          <w:szCs w:val="28"/>
          <w:shd w:val="clear" w:color="auto" w:fill="FFFFFF"/>
          <w:lang w:val="en-US" w:eastAsia="zh-CN"/>
        </w:rPr>
        <w:t>9</w:t>
      </w:r>
      <w:r>
        <w:rPr>
          <w:rFonts w:hint="eastAsia"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报价响应文件递交地点：山东省烟台市蓬莱区仙境西路3</w:t>
      </w:r>
      <w:r>
        <w:rPr>
          <w:rFonts w:ascii="仿宋" w:hAnsi="仿宋" w:eastAsia="仿宋"/>
          <w:sz w:val="28"/>
          <w:szCs w:val="28"/>
        </w:rPr>
        <w:t>4</w:t>
      </w:r>
      <w:r>
        <w:rPr>
          <w:rFonts w:hint="eastAsia" w:ascii="仿宋" w:hAnsi="仿宋" w:eastAsia="仿宋"/>
          <w:sz w:val="28"/>
          <w:szCs w:val="28"/>
        </w:rPr>
        <w:t>号</w:t>
      </w:r>
      <w:r>
        <w:rPr>
          <w:rFonts w:hint="eastAsia" w:ascii="仿宋" w:hAnsi="仿宋" w:eastAsia="仿宋"/>
          <w:sz w:val="28"/>
          <w:szCs w:val="28"/>
          <w:lang w:eastAsia="zh-CN"/>
        </w:rPr>
        <w:t>烟台科技</w:t>
      </w:r>
      <w:r>
        <w:rPr>
          <w:rFonts w:hint="eastAsia" w:ascii="仿宋" w:hAnsi="仿宋" w:eastAsia="仿宋"/>
          <w:sz w:val="28"/>
          <w:szCs w:val="28"/>
        </w:rPr>
        <w:t>学院图文信息楼A616总务处采购科</w:t>
      </w:r>
    </w:p>
    <w:p>
      <w:pPr>
        <w:spacing w:after="0" w:line="500" w:lineRule="exact"/>
        <w:ind w:left="839"/>
        <w:rPr>
          <w:rFonts w:ascii="仿宋" w:hAnsi="仿宋" w:eastAsia="仿宋"/>
          <w:sz w:val="28"/>
          <w:szCs w:val="28"/>
        </w:rPr>
      </w:pPr>
      <w:r>
        <w:rPr>
          <w:rFonts w:hint="eastAsia" w:ascii="仿宋" w:hAnsi="仿宋" w:eastAsia="仿宋"/>
          <w:sz w:val="28"/>
          <w:szCs w:val="28"/>
        </w:rPr>
        <w:t>联系人：吴桂琦；联系电话：13573588959</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本项目监督投诉部门:中教集团内控部</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455" w:firstLineChars="162"/>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产品质量保证期为</w:t>
      </w:r>
      <w:r>
        <w:rPr>
          <w:rFonts w:hint="eastAsia" w:ascii="仿宋" w:hAnsi="仿宋" w:eastAsia="仿宋"/>
          <w:sz w:val="28"/>
          <w:szCs w:val="28"/>
          <w:lang w:val="en-US" w:eastAsia="zh-CN"/>
        </w:rPr>
        <w:t>3</w:t>
      </w:r>
      <w:r>
        <w:rPr>
          <w:rFonts w:hint="eastAsia" w:ascii="仿宋" w:hAnsi="仿宋" w:eastAsia="仿宋"/>
          <w:sz w:val="28"/>
          <w:szCs w:val="28"/>
        </w:rPr>
        <w:t>年，自安装完成之日起计算。</w:t>
      </w:r>
    </w:p>
    <w:p>
      <w:pPr>
        <w:spacing w:after="0" w:line="500" w:lineRule="exact"/>
        <w:ind w:firstLine="280" w:firstLineChars="100"/>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jc w:val="center"/>
        <w:outlineLvl w:val="0"/>
        <w:rPr>
          <w:rFonts w:ascii="仿宋" w:hAnsi="仿宋" w:eastAsia="仿宋" w:cs="仿宋"/>
          <w:b/>
          <w:color w:val="auto"/>
        </w:rPr>
      </w:pPr>
      <w:r>
        <w:rPr>
          <w:rFonts w:hint="eastAsia" w:ascii="仿宋" w:hAnsi="仿宋" w:eastAsia="仿宋"/>
          <w:b/>
          <w:color w:val="auto"/>
          <w:sz w:val="44"/>
          <w:szCs w:val="44"/>
        </w:rPr>
        <w:t>公开询价货物一览表</w:t>
      </w:r>
      <w:bookmarkEnd w:id="49"/>
    </w:p>
    <w:tbl>
      <w:tblPr>
        <w:tblStyle w:val="25"/>
        <w:tblpPr w:leftFromText="180" w:rightFromText="180" w:vertAnchor="page" w:horzAnchor="page" w:tblpX="1022" w:tblpY="2505"/>
        <w:tblOverlap w:val="never"/>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883"/>
        <w:gridCol w:w="7051"/>
        <w:gridCol w:w="84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 w:type="dxa"/>
            <w:vAlign w:val="center"/>
          </w:tcPr>
          <w:p>
            <w:pPr>
              <w:widowControl w:val="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序号</w:t>
            </w:r>
          </w:p>
        </w:tc>
        <w:tc>
          <w:tcPr>
            <w:tcW w:w="883" w:type="dxa"/>
            <w:vAlign w:val="center"/>
          </w:tcPr>
          <w:p>
            <w:pPr>
              <w:widowControl w:val="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物料名称</w:t>
            </w:r>
          </w:p>
        </w:tc>
        <w:tc>
          <w:tcPr>
            <w:tcW w:w="7051" w:type="dxa"/>
            <w:vAlign w:val="center"/>
          </w:tcPr>
          <w:p>
            <w:pPr>
              <w:widowControl w:val="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技术参数</w:t>
            </w:r>
          </w:p>
        </w:tc>
        <w:tc>
          <w:tcPr>
            <w:tcW w:w="846" w:type="dxa"/>
            <w:vAlign w:val="center"/>
          </w:tcPr>
          <w:p>
            <w:pPr>
              <w:widowControl w:val="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数量</w:t>
            </w:r>
          </w:p>
        </w:tc>
        <w:tc>
          <w:tcPr>
            <w:tcW w:w="760" w:type="dxa"/>
            <w:vAlign w:val="center"/>
          </w:tcPr>
          <w:p>
            <w:pPr>
              <w:widowControl w:val="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00"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光缆</w:t>
            </w:r>
          </w:p>
        </w:tc>
        <w:tc>
          <w:tcPr>
            <w:tcW w:w="7051"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12芯室内单模光缆</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1300</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 w:type="dxa"/>
            <w:vAlign w:val="center"/>
          </w:tcPr>
          <w:p>
            <w:pPr>
              <w:widowControl w:val="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光缆</w:t>
            </w:r>
          </w:p>
        </w:tc>
        <w:tc>
          <w:tcPr>
            <w:tcW w:w="7051"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12芯室外单模光缆</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 w:type="dxa"/>
            <w:vAlign w:val="center"/>
          </w:tcPr>
          <w:p>
            <w:pPr>
              <w:widowControl w:val="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光模块</w:t>
            </w:r>
          </w:p>
        </w:tc>
        <w:tc>
          <w:tcPr>
            <w:tcW w:w="7051" w:type="dxa"/>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万兆SFP+单模光模块，波长1310nm，最大传输距离≥10km，接口类型为双LC，需与交换机统一品牌，序列号官网可查。（提供备用件2个）</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0" w:type="dxa"/>
            <w:vAlign w:val="center"/>
          </w:tcPr>
          <w:p>
            <w:pPr>
              <w:widowControl w:val="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4</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汇聚交换机</w:t>
            </w:r>
          </w:p>
        </w:tc>
        <w:tc>
          <w:tcPr>
            <w:tcW w:w="7051" w:type="dxa"/>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1、整机交换容量≥2.5Tbps，包转发能力≥720Mpps，1/10GE SFP+光接口≥24个，QSFP+光接口≥2个，电源插槽≥2个，风扇插槽≥2个。</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2、slot扩展插槽≥2个，支持2个40GE QSFP+接口扩展，8个 1/2.5/5/10G BASE-T 接口扩展，支持防火墙板卡扩展，提供官网链接与截图；</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3、支持VxLAN二层网关、三层网关，支持EVPN；</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4、支持本地堆叠和远程堆叠，最大堆叠台数≥9台，最大堆叠带宽≥320G，支持通过标准以太端口进行堆叠（万兆或40G均支持）；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5、支持等价路由、VRRP、OSPFv1/v2、OSPF v3、BGP、ISIS、ECMP等三层路由协议，支持 ICMP v6、Telnet v6、SFTP v6、SNMP v6、BFD v6、VRRP v3；</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6、支持流量监控，支持SFLOW，支持DHCP auto-config及CWMP-TR069等零配置方式。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7、支持OPENFLOW 1.3标准支持普通模式和Openflow 模式切换，,支持多控制器（EQUAL模式、主备模式）；支持夺标流水线，支持Group table、Meter；</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8、支持智能管理中心功能，设备内置及图形化操作功能，实现对网络的统一运维及管理。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9、配置双电源双风扇。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10.提供设备制造厂家出具的原厂三年质保函并加盖原厂公章</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 w:type="dxa"/>
            <w:vAlign w:val="center"/>
          </w:tcPr>
          <w:p>
            <w:pPr>
              <w:widowControl w:val="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光纤跳线</w:t>
            </w:r>
          </w:p>
        </w:tc>
        <w:tc>
          <w:tcPr>
            <w:tcW w:w="7051"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光模块配套使用</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 w:type="dxa"/>
            <w:vAlign w:val="center"/>
          </w:tcPr>
          <w:p>
            <w:pPr>
              <w:widowControl w:val="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6</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ODF</w:t>
            </w:r>
          </w:p>
        </w:tc>
        <w:tc>
          <w:tcPr>
            <w:tcW w:w="7051"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48口ODF</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 w:type="dxa"/>
            <w:vAlign w:val="center"/>
          </w:tcPr>
          <w:p>
            <w:pPr>
              <w:widowControl w:val="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ODF</w:t>
            </w:r>
          </w:p>
        </w:tc>
        <w:tc>
          <w:tcPr>
            <w:tcW w:w="7051"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12口ODF</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00" w:type="dxa"/>
            <w:vAlign w:val="center"/>
          </w:tcPr>
          <w:p>
            <w:pPr>
              <w:widowControl w:val="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8</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施工费</w:t>
            </w:r>
          </w:p>
        </w:tc>
        <w:tc>
          <w:tcPr>
            <w:tcW w:w="7051"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包含综合布线、光纤熔接及辅材等</w:t>
            </w:r>
          </w:p>
        </w:tc>
        <w:tc>
          <w:tcPr>
            <w:tcW w:w="846"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760"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宗</w:t>
            </w:r>
          </w:p>
        </w:tc>
      </w:tr>
    </w:tbl>
    <w:p>
      <w:pPr>
        <w:spacing w:line="1000" w:lineRule="exact"/>
        <w:jc w:val="both"/>
        <w:rPr>
          <w:rFonts w:hint="eastAsia" w:ascii="仿宋" w:hAnsi="仿宋" w:eastAsia="仿宋"/>
          <w:b/>
          <w:sz w:val="72"/>
          <w:szCs w:val="72"/>
          <w:lang w:eastAsia="zh-CN"/>
        </w:rPr>
      </w:pPr>
    </w:p>
    <w:p>
      <w:pPr>
        <w:spacing w:line="1000" w:lineRule="exact"/>
        <w:jc w:val="center"/>
        <w:rPr>
          <w:rFonts w:ascii="仿宋" w:hAnsi="仿宋" w:eastAsia="仿宋"/>
          <w:b/>
          <w:sz w:val="72"/>
          <w:szCs w:val="72"/>
        </w:rPr>
      </w:pPr>
      <w:r>
        <w:rPr>
          <w:rFonts w:hint="eastAsia" w:ascii="仿宋" w:hAnsi="仿宋" w:eastAsia="仿宋"/>
          <w:b/>
          <w:sz w:val="72"/>
          <w:szCs w:val="72"/>
          <w:lang w:eastAsia="zh-CN"/>
        </w:rPr>
        <w:t>烟台科技</w:t>
      </w:r>
      <w:r>
        <w:rPr>
          <w:rFonts w:hint="eastAsia" w:ascii="仿宋" w:hAnsi="仿宋" w:eastAsia="仿宋"/>
          <w:b/>
          <w:sz w:val="72"/>
          <w:szCs w:val="72"/>
        </w:rPr>
        <w:t>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A3A4教学楼计算机机房光纤建设</w:t>
      </w:r>
      <w:r>
        <w:rPr>
          <w:rFonts w:hint="eastAsia" w:ascii="仿宋" w:hAnsi="仿宋" w:eastAsia="仿宋"/>
          <w:b/>
          <w:sz w:val="44"/>
          <w:szCs w:val="44"/>
        </w:rPr>
        <w:t>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both"/>
        <w:outlineLvl w:val="1"/>
        <w:rPr>
          <w:rFonts w:ascii="仿宋" w:hAnsi="仿宋" w:eastAsia="仿宋"/>
          <w:b/>
          <w:bCs/>
          <w:sz w:val="28"/>
          <w:szCs w:val="28"/>
        </w:rPr>
      </w:pPr>
      <w:bookmarkStart w:id="50" w:name="_Toc266870907"/>
      <w:bookmarkStart w:id="51" w:name="_Toc254790899"/>
      <w:bookmarkStart w:id="52" w:name="_Toc253066614"/>
      <w:bookmarkStart w:id="53" w:name="_Toc267059030"/>
      <w:bookmarkStart w:id="54" w:name="_Toc192664153"/>
      <w:bookmarkStart w:id="55" w:name="_Toc235438344"/>
      <w:bookmarkStart w:id="56" w:name="_Toc259692647"/>
      <w:bookmarkStart w:id="57" w:name="_Toc192663686"/>
      <w:bookmarkStart w:id="58" w:name="_Toc266870432"/>
      <w:bookmarkStart w:id="59" w:name="_Toc266870833"/>
      <w:bookmarkStart w:id="60" w:name="_Toc251613829"/>
      <w:bookmarkStart w:id="61" w:name="_Toc180302913"/>
      <w:bookmarkStart w:id="62" w:name="_Toc255975007"/>
      <w:bookmarkStart w:id="63" w:name="_Toc182805217"/>
      <w:bookmarkStart w:id="64" w:name="_Toc249325711"/>
      <w:bookmarkStart w:id="65" w:name="_Toc235438274"/>
      <w:bookmarkStart w:id="66" w:name="_Toc192996446"/>
      <w:bookmarkStart w:id="67" w:name="_Toc273178698"/>
      <w:bookmarkStart w:id="68" w:name="_Toc170798793"/>
      <w:bookmarkStart w:id="69" w:name="_Toc191783222"/>
      <w:bookmarkStart w:id="70" w:name="_Toc230071147"/>
      <w:bookmarkStart w:id="71" w:name="_Toc192996338"/>
      <w:bookmarkStart w:id="72" w:name="_Toc251586231"/>
      <w:bookmarkStart w:id="73" w:name="_Toc227058530"/>
      <w:bookmarkStart w:id="74" w:name="_Toc267059919"/>
      <w:bookmarkStart w:id="75" w:name="_Toc267060453"/>
      <w:bookmarkStart w:id="76" w:name="_Toc181436461"/>
      <w:bookmarkStart w:id="77" w:name="_Toc267060321"/>
      <w:bookmarkStart w:id="78" w:name="_Toc259692740"/>
      <w:bookmarkStart w:id="79" w:name="_Toc191789329"/>
      <w:bookmarkStart w:id="80" w:name="_Toc160880529"/>
      <w:bookmarkStart w:id="81" w:name="_Toc267060208"/>
      <w:bookmarkStart w:id="82" w:name="_Toc191803626"/>
      <w:bookmarkStart w:id="83" w:name="_Toc182372782"/>
      <w:bookmarkStart w:id="84" w:name="_Toc232302115"/>
      <w:bookmarkStart w:id="85" w:name="_Toc160880160"/>
      <w:bookmarkStart w:id="86" w:name="_Toc213756051"/>
      <w:bookmarkStart w:id="87" w:name="_Toc267060068"/>
      <w:bookmarkStart w:id="88" w:name="_Toc223146608"/>
      <w:bookmarkStart w:id="89" w:name="_Toc259520865"/>
      <w:bookmarkStart w:id="90" w:name="_Toc169332949"/>
      <w:bookmarkStart w:id="91" w:name="_Toc177985469"/>
      <w:bookmarkStart w:id="92" w:name="_Toc235437991"/>
      <w:bookmarkStart w:id="93" w:name="_Toc236021449"/>
      <w:bookmarkStart w:id="94" w:name="_Toc192663835"/>
      <w:bookmarkStart w:id="95" w:name="_Toc181436565"/>
      <w:bookmarkStart w:id="96" w:name="_Toc169332838"/>
      <w:bookmarkStart w:id="97" w:name="_Toc266868670"/>
      <w:bookmarkStart w:id="98" w:name="_Toc266868937"/>
      <w:bookmarkStart w:id="99" w:name="_Toc219800243"/>
      <w:bookmarkStart w:id="100" w:name="_Toc267059653"/>
      <w:bookmarkStart w:id="101" w:name="_Toc213755858"/>
      <w:bookmarkStart w:id="102" w:name="_Toc267059539"/>
      <w:bookmarkStart w:id="103" w:name="_Toc203355733"/>
      <w:bookmarkStart w:id="104" w:name="_Toc258401256"/>
      <w:bookmarkStart w:id="105" w:name="_Toc217891402"/>
      <w:bookmarkStart w:id="106" w:name="_Toc267059806"/>
      <w:bookmarkStart w:id="107" w:name="_Toc191802690"/>
      <w:bookmarkStart w:id="108" w:name="_Toc193165734"/>
      <w:bookmarkStart w:id="109" w:name="_Toc213208766"/>
      <w:bookmarkStart w:id="110" w:name="_Toc225669322"/>
      <w:bookmarkStart w:id="111" w:name="_Toc267059181"/>
      <w:bookmarkStart w:id="112" w:name="_Toc213755995"/>
      <w:bookmarkStart w:id="113" w:name="_Toc211917116"/>
      <w:bookmarkStart w:id="114" w:name="_Toc193160448"/>
      <w:bookmarkStart w:id="115" w:name="_Toc213755939"/>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lang w:eastAsia="zh-CN"/>
        </w:rPr>
        <w:t>烟台科技</w:t>
      </w:r>
      <w:r>
        <w:rPr>
          <w:rFonts w:hint="eastAsia" w:ascii="仿宋" w:hAnsi="仿宋" w:eastAsia="仿宋"/>
          <w:sz w:val="28"/>
          <w:szCs w:val="28"/>
        </w:rPr>
        <w:t>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w:t>
      </w:r>
      <w:r>
        <w:rPr>
          <w:rFonts w:hint="eastAsia" w:ascii="仿宋" w:hAnsi="仿宋" w:eastAsia="仿宋"/>
          <w:sz w:val="28"/>
          <w:szCs w:val="28"/>
          <w:u w:val="single"/>
          <w:lang w:val="en-US" w:eastAsia="zh-CN"/>
        </w:rPr>
        <w:t>A3A4教学楼计算机机房光纤建设</w:t>
      </w:r>
      <w:r>
        <w:rPr>
          <w:rFonts w:hint="eastAsia" w:ascii="仿宋" w:hAnsi="仿宋" w:eastAsia="仿宋"/>
          <w:sz w:val="28"/>
          <w:szCs w:val="28"/>
          <w:u w:val="single"/>
        </w:rPr>
        <w:t>采购</w:t>
      </w:r>
      <w:r>
        <w:rPr>
          <w:rFonts w:hint="eastAsia" w:ascii="仿宋" w:hAnsi="仿宋" w:eastAsia="仿宋"/>
          <w:sz w:val="28"/>
          <w:szCs w:val="28"/>
        </w:rPr>
        <w:t xml:space="preserve">项目的公开询价邀请（编号）: </w:t>
      </w:r>
      <w:r>
        <w:rPr>
          <w:rFonts w:hint="eastAsia" w:ascii="仿宋" w:hAnsi="仿宋" w:eastAsia="仿宋"/>
          <w:sz w:val="28"/>
          <w:szCs w:val="28"/>
          <w:u w:val="single"/>
          <w:lang w:val="en-US" w:eastAsia="zh-CN"/>
        </w:rPr>
        <w:t>YKG2021005</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500" w:lineRule="exact"/>
        <w:ind w:firstLine="420" w:firstLineChars="150"/>
        <w:rPr>
          <w:rFonts w:ascii="仿宋" w:hAnsi="仿宋" w:eastAsia="仿宋"/>
          <w:sz w:val="28"/>
          <w:szCs w:val="28"/>
          <w:u w:val="single"/>
        </w:rPr>
      </w:pPr>
      <w:r>
        <w:rPr>
          <w:rFonts w:hint="eastAsia" w:ascii="仿宋" w:hAnsi="仿宋" w:eastAsia="仿宋"/>
          <w:sz w:val="28"/>
          <w:szCs w:val="28"/>
        </w:rPr>
        <w:t xml:space="preserve"> 地址：邮编：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电话：传真：</w:t>
      </w:r>
    </w:p>
    <w:p>
      <w:pPr>
        <w:spacing w:after="0" w:line="480" w:lineRule="exact"/>
        <w:ind w:firstLine="560"/>
        <w:rPr>
          <w:rFonts w:ascii="仿宋" w:hAnsi="仿宋" w:eastAsia="仿宋"/>
          <w:sz w:val="28"/>
          <w:szCs w:val="28"/>
        </w:rPr>
      </w:pPr>
      <w:r>
        <w:rPr>
          <w:rFonts w:hint="eastAsia" w:ascii="仿宋" w:hAnsi="仿宋" w:eastAsia="仿宋"/>
          <w:sz w:val="28"/>
          <w:szCs w:val="28"/>
        </w:rPr>
        <w:t>参与人授权代表签字：</w:t>
      </w:r>
    </w:p>
    <w:p>
      <w:pPr>
        <w:spacing w:after="0" w:line="480" w:lineRule="exact"/>
        <w:ind w:firstLine="560"/>
        <w:rPr>
          <w:rFonts w:ascii="仿宋" w:hAnsi="仿宋" w:eastAsia="仿宋"/>
          <w:sz w:val="28"/>
          <w:szCs w:val="28"/>
        </w:rPr>
      </w:pPr>
      <w:r>
        <w:rPr>
          <w:rFonts w:hint="eastAsia" w:ascii="仿宋" w:hAnsi="仿宋" w:eastAsia="仿宋"/>
          <w:sz w:val="28"/>
          <w:szCs w:val="28"/>
        </w:rPr>
        <w:t>参与人（公司全称并加盖公章）：</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color w:val="FF0000"/>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r>
        <w:rPr>
          <w:rFonts w:hint="eastAsia" w:ascii="仿宋" w:hAnsi="仿宋" w:eastAsia="仿宋"/>
          <w:sz w:val="28"/>
          <w:szCs w:val="28"/>
          <w:lang w:val="en-US" w:eastAsia="zh-CN"/>
        </w:rPr>
        <w:t>YKG2021005</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10233" w:type="dxa"/>
        <w:tblInd w:w="-5" w:type="dxa"/>
        <w:tblLayout w:type="fixed"/>
        <w:tblCellMar>
          <w:top w:w="0" w:type="dxa"/>
          <w:left w:w="108" w:type="dxa"/>
          <w:bottom w:w="0" w:type="dxa"/>
          <w:right w:w="108" w:type="dxa"/>
        </w:tblCellMar>
      </w:tblPr>
      <w:tblGrid>
        <w:gridCol w:w="537"/>
        <w:gridCol w:w="1195"/>
        <w:gridCol w:w="4001"/>
        <w:gridCol w:w="540"/>
        <w:gridCol w:w="760"/>
        <w:gridCol w:w="1040"/>
        <w:gridCol w:w="1120"/>
        <w:gridCol w:w="1040"/>
      </w:tblGrid>
      <w:tr>
        <w:tblPrEx>
          <w:tblCellMar>
            <w:top w:w="0" w:type="dxa"/>
            <w:left w:w="108" w:type="dxa"/>
            <w:bottom w:w="0" w:type="dxa"/>
            <w:right w:w="108" w:type="dxa"/>
          </w:tblCellMar>
        </w:tblPrEx>
        <w:trPr>
          <w:trHeight w:val="492"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序号</w:t>
            </w:r>
          </w:p>
        </w:tc>
        <w:tc>
          <w:tcPr>
            <w:tcW w:w="119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物料名称</w:t>
            </w:r>
          </w:p>
        </w:tc>
        <w:tc>
          <w:tcPr>
            <w:tcW w:w="40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规格型号</w:t>
            </w:r>
          </w:p>
        </w:tc>
        <w:tc>
          <w:tcPr>
            <w:tcW w:w="5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单位</w:t>
            </w:r>
          </w:p>
        </w:tc>
        <w:tc>
          <w:tcPr>
            <w:tcW w:w="76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数量</w:t>
            </w:r>
          </w:p>
        </w:tc>
        <w:tc>
          <w:tcPr>
            <w:tcW w:w="10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单价（元）</w:t>
            </w:r>
          </w:p>
        </w:tc>
        <w:tc>
          <w:tcPr>
            <w:tcW w:w="1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总价（元）</w:t>
            </w:r>
          </w:p>
        </w:tc>
        <w:tc>
          <w:tcPr>
            <w:tcW w:w="10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备注</w:t>
            </w:r>
          </w:p>
        </w:tc>
      </w:tr>
      <w:tr>
        <w:tblPrEx>
          <w:tblCellMar>
            <w:top w:w="0" w:type="dxa"/>
            <w:left w:w="108" w:type="dxa"/>
            <w:bottom w:w="0" w:type="dxa"/>
            <w:right w:w="108" w:type="dxa"/>
          </w:tblCellMar>
        </w:tblPrEx>
        <w:trPr>
          <w:trHeight w:val="551"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1</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光缆</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12芯室内单模光缆</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米</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1300</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531"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2</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光缆</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12芯室外单模光缆</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米</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1885"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光模块</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万兆SFP+单模光模块，波长1310nm，最大传输距离≥10km，接口类型为双LC，需与交换机统一品牌，序列号官网可查。（提供备用件2个）</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1093"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汇聚交换机</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1、整机交换容量≥2.5Tbps，包转发能力≥720Mpps，1/10GE SFP+光接口≥24个，QSFP+光接口≥2个，电源插槽≥2个，风扇插槽≥2个。</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2、slot扩展插槽≥2个，支持2个40GE QSFP+接口扩展，8个 1/2.5/5/10G BASE-T 接口扩展，支持防火墙板卡扩展，提供官网链接与截图；</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3、支持VxLAN二层网关、三层网关，支持EVPN；</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4、支持本地堆叠和远程堆叠，最大堆叠台数≥9台，最大堆叠带宽≥320G，支持通过标准以太端口进行堆叠（万兆或40G均支持）；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5、支持等价路由、VRRP、OSPFv1/v2、OSPF v3、BGP、ISIS、ECMP等三层路由协议，支持 ICMP v6、Telnet v6、SFTP v6、SNMP v6、BFD v6、VRRP v3；</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6、支持流量监控，支持SFLOW，支持DHCP auto-config及CWMP-TR069等零配置方式。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7、支持OPENFLOW 1.3标准支持普通模式和Openflow 模式切换，,支持多控制器（EQUAL模式、主备模式）；支持夺标流水线，支持Group table、Meter；</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8、支持智能管理中心功能，设备内置及图形化操作功能，实现对网络的统一运维及管理。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9、配置双电源双风扇。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10.提供设备制造厂家出具的原厂三年质保函并加盖原厂公章</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台</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713"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光纤跳线</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光模块配套使用</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653"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ODF</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48口ODF</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533"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ODF</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12口ODF</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633" w:hRule="atLeast"/>
        </w:trPr>
        <w:tc>
          <w:tcPr>
            <w:tcW w:w="537" w:type="dxa"/>
            <w:tcBorders>
              <w:top w:val="single" w:color="auto" w:sz="4" w:space="0"/>
              <w:left w:val="single" w:color="auto" w:sz="4" w:space="0"/>
              <w:right w:val="single" w:color="auto" w:sz="4" w:space="0"/>
            </w:tcBorders>
            <w:shd w:val="clear" w:color="000000" w:fill="FFFFFF"/>
            <w:vAlign w:val="center"/>
          </w:tcPr>
          <w:p>
            <w:pPr>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19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施工费</w:t>
            </w:r>
          </w:p>
        </w:tc>
        <w:tc>
          <w:tcPr>
            <w:tcW w:w="40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包含综合布线、光纤熔接及辅材等</w:t>
            </w:r>
          </w:p>
        </w:tc>
        <w:tc>
          <w:tcPr>
            <w:tcW w:w="54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宗</w:t>
            </w:r>
          </w:p>
        </w:tc>
        <w:tc>
          <w:tcPr>
            <w:tcW w:w="76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04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120" w:type="dxa"/>
            <w:tcBorders>
              <w:top w:val="single" w:color="auto" w:sz="4" w:space="0"/>
              <w:left w:val="single" w:color="auto" w:sz="4" w:space="0"/>
              <w:right w:val="single" w:color="auto" w:sz="4" w:space="0"/>
            </w:tcBorders>
            <w:vAlign w:val="center"/>
          </w:tcPr>
          <w:p>
            <w:pPr>
              <w:jc w:val="center"/>
              <w:rPr>
                <w:rFonts w:ascii="仿宋" w:hAnsi="仿宋" w:eastAsia="仿宋" w:cs="Tahoma"/>
                <w:color w:val="000000"/>
                <w:sz w:val="24"/>
                <w:szCs w:val="24"/>
              </w:rPr>
            </w:pPr>
          </w:p>
        </w:tc>
        <w:tc>
          <w:tcPr>
            <w:tcW w:w="1040" w:type="dxa"/>
            <w:tcBorders>
              <w:top w:val="single" w:color="auto" w:sz="4" w:space="0"/>
              <w:left w:val="single" w:color="auto" w:sz="4" w:space="0"/>
              <w:right w:val="single" w:color="auto" w:sz="4" w:space="0"/>
            </w:tcBorders>
            <w:vAlign w:val="center"/>
          </w:tcPr>
          <w:p>
            <w:pPr>
              <w:jc w:val="center"/>
              <w:textAlignment w:val="center"/>
              <w:rPr>
                <w:rFonts w:hint="eastAsia" w:ascii="仿宋" w:hAnsi="仿宋" w:eastAsia="仿宋" w:cs="仿宋"/>
                <w:color w:val="000000"/>
                <w:sz w:val="24"/>
                <w:szCs w:val="24"/>
                <w:lang w:val="en-US" w:eastAsia="zh-CN" w:bidi="ar-SA"/>
              </w:rPr>
            </w:pPr>
          </w:p>
        </w:tc>
      </w:tr>
      <w:tr>
        <w:tblPrEx>
          <w:tblCellMar>
            <w:top w:w="0" w:type="dxa"/>
            <w:left w:w="108" w:type="dxa"/>
            <w:bottom w:w="0" w:type="dxa"/>
            <w:right w:w="108" w:type="dxa"/>
          </w:tblCellMar>
        </w:tblPrEx>
        <w:trPr>
          <w:trHeight w:val="606" w:hRule="atLeast"/>
        </w:trPr>
        <w:tc>
          <w:tcPr>
            <w:tcW w:w="17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4"/>
                <w:szCs w:val="24"/>
              </w:rPr>
            </w:pPr>
            <w:r>
              <w:rPr>
                <w:rFonts w:hint="eastAsia" w:ascii="仿宋" w:hAnsi="仿宋" w:eastAsia="仿宋" w:cs="Tahoma"/>
                <w:color w:val="000000"/>
                <w:sz w:val="24"/>
                <w:szCs w:val="24"/>
              </w:rPr>
              <w:t>合计</w:t>
            </w:r>
          </w:p>
        </w:tc>
        <w:tc>
          <w:tcPr>
            <w:tcW w:w="8501"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Tahoma"/>
                <w:color w:val="000000"/>
                <w:sz w:val="24"/>
                <w:szCs w:val="24"/>
              </w:rPr>
            </w:pPr>
            <w:r>
              <w:rPr>
                <w:rFonts w:hint="eastAsia" w:ascii="仿宋" w:hAnsi="仿宋" w:eastAsia="仿宋" w:cs="Tahoma"/>
                <w:color w:val="000000"/>
                <w:sz w:val="24"/>
                <w:szCs w:val="24"/>
              </w:rPr>
              <w:t>小写：                   大写：</w:t>
            </w:r>
          </w:p>
        </w:tc>
      </w:tr>
    </w:tbl>
    <w:p>
      <w:pPr>
        <w:spacing w:line="380" w:lineRule="exact"/>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numPr>
          <w:ilvl w:val="0"/>
          <w:numId w:val="1"/>
        </w:numPr>
        <w:spacing w:line="380" w:lineRule="exact"/>
        <w:rPr>
          <w:rFonts w:ascii="仿宋" w:hAnsi="仿宋" w:eastAsia="仿宋"/>
          <w:sz w:val="28"/>
          <w:szCs w:val="28"/>
        </w:rPr>
      </w:pP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267059811"/>
      <w:bookmarkStart w:id="117" w:name="_Toc213755864"/>
      <w:bookmarkStart w:id="118" w:name="_Toc160880165"/>
      <w:bookmarkStart w:id="119" w:name="_Toc267060216"/>
      <w:bookmarkStart w:id="120" w:name="_Toc255975016"/>
      <w:bookmarkStart w:id="121" w:name="_Toc267059924"/>
      <w:bookmarkStart w:id="122" w:name="_Toc259692749"/>
      <w:bookmarkStart w:id="123" w:name="_Toc217891408"/>
      <w:bookmarkStart w:id="124" w:name="_Toc254790909"/>
      <w:bookmarkStart w:id="125" w:name="_Toc273178703"/>
      <w:bookmarkStart w:id="126" w:name="_Toc203355738"/>
      <w:bookmarkStart w:id="127" w:name="_Toc266868679"/>
      <w:bookmarkStart w:id="128" w:name="_Toc227058536"/>
      <w:bookmarkStart w:id="129" w:name="_Toc259520874"/>
      <w:bookmarkStart w:id="130" w:name="_Toc267060076"/>
      <w:bookmarkStart w:id="131" w:name="_Toc267059544"/>
      <w:bookmarkStart w:id="132" w:name="_Toc211917121"/>
      <w:bookmarkStart w:id="133" w:name="_Toc267059658"/>
      <w:bookmarkStart w:id="134" w:name="_Toc251586241"/>
      <w:bookmarkStart w:id="135" w:name="_Toc192663691"/>
      <w:bookmarkStart w:id="136" w:name="_Toc219800249"/>
      <w:bookmarkStart w:id="137" w:name="_Toc182372787"/>
      <w:bookmarkStart w:id="138" w:name="_Toc235438352"/>
      <w:bookmarkStart w:id="139" w:name="_Toc192664158"/>
      <w:bookmarkStart w:id="140" w:name="_Toc213755945"/>
      <w:bookmarkStart w:id="141" w:name="_Toc213756001"/>
      <w:bookmarkStart w:id="142" w:name="_Toc193160453"/>
      <w:bookmarkStart w:id="143" w:name="_Toc169332954"/>
      <w:bookmarkStart w:id="144" w:name="_Toc180302918"/>
      <w:bookmarkStart w:id="145" w:name="_Toc191802695"/>
      <w:bookmarkStart w:id="146" w:name="_Toc266870916"/>
      <w:bookmarkStart w:id="147" w:name="_Toc193165739"/>
      <w:bookmarkStart w:id="148" w:name="_Toc170798798"/>
      <w:bookmarkStart w:id="149" w:name="_Toc169332843"/>
      <w:bookmarkStart w:id="150" w:name="_Toc267060461"/>
      <w:bookmarkStart w:id="151" w:name="_Toc235438281"/>
      <w:bookmarkStart w:id="152" w:name="_Toc230071153"/>
      <w:bookmarkStart w:id="153" w:name="_Toc236021457"/>
      <w:bookmarkStart w:id="154" w:name="_Toc213208771"/>
      <w:bookmarkStart w:id="155" w:name="_Toc223146614"/>
      <w:bookmarkStart w:id="156" w:name="_Toc266868943"/>
      <w:bookmarkStart w:id="157" w:name="_Toc266870441"/>
      <w:bookmarkStart w:id="158" w:name="_Toc235437998"/>
      <w:bookmarkStart w:id="159" w:name="_Toc258401265"/>
      <w:bookmarkStart w:id="160" w:name="_Toc213756057"/>
      <w:bookmarkStart w:id="161" w:name="_Toc267060326"/>
      <w:bookmarkStart w:id="162" w:name="_Toc249325720"/>
      <w:bookmarkStart w:id="163" w:name="_Toc267059035"/>
      <w:bookmarkStart w:id="164" w:name="_Toc259692656"/>
      <w:bookmarkStart w:id="165" w:name="_Toc192996451"/>
      <w:bookmarkStart w:id="166" w:name="_Toc192996343"/>
      <w:bookmarkStart w:id="167" w:name="_Toc182805222"/>
      <w:bookmarkStart w:id="168" w:name="_Toc181436466"/>
      <w:bookmarkStart w:id="169" w:name="_Toc191783227"/>
      <w:bookmarkStart w:id="170" w:name="_Toc191789334"/>
      <w:bookmarkStart w:id="171" w:name="_Toc177985474"/>
      <w:bookmarkStart w:id="172" w:name="_Toc251613839"/>
      <w:bookmarkStart w:id="173" w:name="_Toc160880534"/>
      <w:bookmarkStart w:id="174" w:name="_Toc253066624"/>
      <w:bookmarkStart w:id="175" w:name="_Toc181436570"/>
      <w:bookmarkStart w:id="176" w:name="_Toc192663840"/>
      <w:bookmarkStart w:id="177" w:name="_Toc225669328"/>
      <w:bookmarkStart w:id="178" w:name="_Toc232302122"/>
      <w:bookmarkStart w:id="179" w:name="_Toc266870839"/>
      <w:bookmarkStart w:id="180" w:name="_Toc191803631"/>
      <w:bookmarkStart w:id="181" w:name="_Toc267059186"/>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sz w:val="28"/>
          <w:szCs w:val="28"/>
        </w:rPr>
      </w:pPr>
      <w:bookmarkStart w:id="182" w:name="_Toc232302123"/>
      <w:bookmarkStart w:id="183" w:name="_Toc266870442"/>
      <w:bookmarkStart w:id="184" w:name="_Toc213756058"/>
      <w:bookmarkStart w:id="185" w:name="_Toc225669329"/>
      <w:bookmarkStart w:id="186" w:name="_Toc230071154"/>
      <w:bookmarkStart w:id="187" w:name="_Toc253066625"/>
      <w:bookmarkStart w:id="188" w:name="_Toc235438353"/>
      <w:bookmarkStart w:id="189" w:name="_Toc251586242"/>
      <w:bookmarkStart w:id="190" w:name="_Toc251613840"/>
      <w:bookmarkStart w:id="191" w:name="_Toc258401266"/>
      <w:bookmarkStart w:id="192" w:name="_Toc266870917"/>
      <w:bookmarkStart w:id="193" w:name="_Toc223146615"/>
      <w:bookmarkStart w:id="194" w:name="_Toc267060077"/>
      <w:bookmarkStart w:id="195" w:name="_Toc259520875"/>
      <w:bookmarkStart w:id="196" w:name="_Toc219800250"/>
      <w:bookmarkStart w:id="197" w:name="_Toc235437999"/>
      <w:bookmarkStart w:id="198" w:name="_Toc236021458"/>
      <w:bookmarkStart w:id="199" w:name="_Toc259692750"/>
      <w:bookmarkStart w:id="200" w:name="_Toc266868680"/>
      <w:bookmarkStart w:id="201" w:name="_Toc267060217"/>
      <w:bookmarkStart w:id="202" w:name="_Toc259692657"/>
      <w:bookmarkStart w:id="203" w:name="_Toc217891409"/>
      <w:bookmarkStart w:id="204" w:name="_Toc267060462"/>
      <w:bookmarkStart w:id="205" w:name="_Toc227058537"/>
      <w:bookmarkStart w:id="206" w:name="_Toc235438282"/>
      <w:bookmarkStart w:id="207" w:name="_Toc255975017"/>
      <w:bookmarkStart w:id="208" w:name="_Toc254790910"/>
      <w:bookmarkStart w:id="209" w:name="_Toc249325721"/>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lang w:eastAsia="zh-CN"/>
        </w:rPr>
        <w:t>烟台科技</w:t>
      </w:r>
      <w:r>
        <w:rPr>
          <w:rFonts w:hint="eastAsia" w:ascii="仿宋" w:hAnsi="仿宋" w:eastAsia="仿宋"/>
          <w:sz w:val="28"/>
          <w:szCs w:val="28"/>
        </w:rPr>
        <w:t>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w:t>
      </w:r>
      <w:r>
        <w:rPr>
          <w:rFonts w:hint="eastAsia" w:ascii="仿宋" w:hAnsi="仿宋" w:eastAsia="仿宋"/>
          <w:sz w:val="28"/>
          <w:szCs w:val="28"/>
          <w:u w:val="single"/>
          <w:lang w:val="en-US" w:eastAsia="zh-CN"/>
        </w:rPr>
        <w:t>YTG2021005</w:t>
      </w:r>
      <w:r>
        <w:rPr>
          <w:rFonts w:hint="eastAsia" w:ascii="仿宋" w:hAnsi="仿宋" w:eastAsia="仿宋"/>
          <w:sz w:val="28"/>
          <w:szCs w:val="28"/>
        </w:rPr>
        <w:t>（项目编号）公开询价邀请，本签字人愿意参加本次报价，提供公开询价文件中规定的</w:t>
      </w:r>
      <w:r>
        <w:rPr>
          <w:rFonts w:hint="eastAsia" w:ascii="仿宋" w:hAnsi="仿宋" w:eastAsia="仿宋"/>
          <w:sz w:val="28"/>
          <w:szCs w:val="28"/>
          <w:u w:val="single"/>
          <w:lang w:val="en-US" w:eastAsia="zh-CN"/>
        </w:rPr>
        <w:t>A3A4教学楼计算机机房光纤建设</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13756059"/>
      <w:bookmarkStart w:id="212" w:name="_Toc217891410"/>
      <w:bookmarkStart w:id="213" w:name="_Toc249325722"/>
      <w:bookmarkStart w:id="214" w:name="_Toc223146616"/>
      <w:bookmarkStart w:id="215" w:name="_Toc258401267"/>
      <w:bookmarkStart w:id="216" w:name="_Toc251586243"/>
      <w:bookmarkStart w:id="217" w:name="_Toc259692751"/>
      <w:bookmarkStart w:id="218" w:name="_Toc259692658"/>
      <w:bookmarkStart w:id="219" w:name="_Toc254790911"/>
      <w:bookmarkStart w:id="220" w:name="_Toc259520876"/>
      <w:bookmarkStart w:id="221" w:name="_Toc235438354"/>
      <w:bookmarkStart w:id="222" w:name="_Toc236021459"/>
      <w:bookmarkStart w:id="223" w:name="_Toc251613841"/>
      <w:bookmarkStart w:id="224" w:name="_Toc253066626"/>
      <w:bookmarkStart w:id="225" w:name="_Toc266868681"/>
      <w:bookmarkStart w:id="226" w:name="_Toc230071155"/>
      <w:bookmarkStart w:id="227" w:name="_Toc227058538"/>
      <w:bookmarkStart w:id="228" w:name="_Toc235438283"/>
      <w:bookmarkStart w:id="229" w:name="_Toc232302124"/>
      <w:bookmarkStart w:id="230" w:name="_Toc219800251"/>
      <w:bookmarkStart w:id="231" w:name="_Toc235438000"/>
      <w:bookmarkStart w:id="232" w:name="_Toc225669330"/>
      <w:bookmarkStart w:id="233" w:name="_Toc255975018"/>
      <w:bookmarkStart w:id="234" w:name="_Toc266870443"/>
      <w:bookmarkStart w:id="235" w:name="_Toc266870918"/>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ind w:firstLine="560" w:firstLineChars="200"/>
        <w:rPr>
          <w:rFonts w:ascii="仿宋" w:hAnsi="仿宋" w:eastAsia="仿宋"/>
          <w:sz w:val="28"/>
          <w:szCs w:val="28"/>
        </w:rPr>
      </w:pPr>
      <w:r>
        <w:rPr>
          <w:rFonts w:hint="eastAsia" w:ascii="仿宋" w:hAnsi="仿宋" w:eastAsia="仿宋"/>
          <w:sz w:val="28"/>
          <w:szCs w:val="28"/>
          <w:lang w:eastAsia="zh-CN"/>
        </w:rPr>
        <w:t>烟台科技</w:t>
      </w:r>
      <w:r>
        <w:rPr>
          <w:rFonts w:hint="eastAsia" w:ascii="仿宋" w:hAnsi="仿宋" w:eastAsia="仿宋"/>
          <w:sz w:val="28"/>
          <w:szCs w:val="28"/>
        </w:rPr>
        <w:t>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70798801"/>
      <w:bookmarkStart w:id="237" w:name="_Toc255975021"/>
      <w:bookmarkStart w:id="238" w:name="_Toc249325725"/>
      <w:bookmarkStart w:id="239" w:name="_Toc181436469"/>
      <w:bookmarkStart w:id="240" w:name="_Toc267060466"/>
      <w:bookmarkStart w:id="241" w:name="_Toc180302921"/>
      <w:bookmarkStart w:id="242" w:name="_Toc191802698"/>
      <w:bookmarkStart w:id="243" w:name="_Toc235438286"/>
      <w:bookmarkStart w:id="244" w:name="_Toc235438003"/>
      <w:bookmarkStart w:id="245" w:name="_Toc259692756"/>
      <w:bookmarkStart w:id="246" w:name="_Toc177985477"/>
      <w:bookmarkStart w:id="247" w:name="_Toc182372790"/>
      <w:bookmarkStart w:id="248" w:name="_Toc181436573"/>
      <w:bookmarkStart w:id="249" w:name="_Toc193160456"/>
      <w:bookmarkStart w:id="250" w:name="_Toc267060081"/>
      <w:bookmarkStart w:id="251" w:name="_Toc211917124"/>
      <w:bookmarkStart w:id="252" w:name="_Toc182805225"/>
      <w:bookmarkStart w:id="253" w:name="_Toc193165742"/>
      <w:bookmarkStart w:id="254" w:name="_Toc255975023"/>
      <w:bookmarkStart w:id="255" w:name="_Toc267060465"/>
      <w:bookmarkStart w:id="256" w:name="_Toc259692663"/>
      <w:bookmarkStart w:id="257" w:name="_Toc203355741"/>
      <w:bookmarkStart w:id="258" w:name="_Toc267060220"/>
      <w:bookmarkStart w:id="259" w:name="_Toc232302127"/>
      <w:bookmarkStart w:id="260" w:name="_Toc191789337"/>
      <w:bookmarkStart w:id="261" w:name="_Toc192663694"/>
      <w:bookmarkStart w:id="262" w:name="_Toc160880537"/>
      <w:bookmarkStart w:id="263" w:name="_Toc192996454"/>
      <w:bookmarkStart w:id="264" w:name="_Toc259520881"/>
      <w:bookmarkStart w:id="265" w:name="_Toc251586246"/>
      <w:bookmarkStart w:id="266" w:name="_Toc169332846"/>
      <w:bookmarkStart w:id="267" w:name="_Toc235438357"/>
      <w:bookmarkStart w:id="268" w:name="_Toc191803634"/>
      <w:bookmarkStart w:id="269" w:name="_Toc192996346"/>
      <w:bookmarkStart w:id="270" w:name="_Toc266870446"/>
      <w:bookmarkStart w:id="271" w:name="_Toc259692661"/>
      <w:bookmarkStart w:id="272" w:name="_Toc192664161"/>
      <w:bookmarkStart w:id="273" w:name="_Toc266868686"/>
      <w:bookmarkStart w:id="274" w:name="_Toc266870921"/>
      <w:bookmarkStart w:id="275" w:name="_Toc267060080"/>
      <w:bookmarkStart w:id="276" w:name="_Toc254790914"/>
      <w:bookmarkStart w:id="277" w:name="_Toc236021462"/>
      <w:bookmarkStart w:id="278" w:name="_Toc259692754"/>
      <w:bookmarkStart w:id="279" w:name="_Toc251613844"/>
      <w:bookmarkStart w:id="280" w:name="_Toc169332957"/>
      <w:bookmarkStart w:id="281" w:name="_Toc259520879"/>
      <w:bookmarkStart w:id="282" w:name="_Toc258401272"/>
      <w:bookmarkStart w:id="283" w:name="_Toc254790916"/>
      <w:bookmarkStart w:id="284" w:name="_Toc191783230"/>
      <w:bookmarkStart w:id="285" w:name="_Toc253066629"/>
      <w:bookmarkStart w:id="286" w:name="_Toc267060221"/>
      <w:bookmarkStart w:id="287" w:name="_Toc266870447"/>
      <w:bookmarkStart w:id="288" w:name="_Toc266870922"/>
      <w:bookmarkStart w:id="289" w:name="_Toc160880168"/>
      <w:bookmarkStart w:id="290" w:name="_Toc258401270"/>
      <w:bookmarkStart w:id="291" w:name="_Toc192663843"/>
      <w:bookmarkStart w:id="292" w:name="_Toc26686868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500" w:lineRule="exact"/>
        <w:ind w:firstLine="560" w:firstLineChars="200"/>
        <w:jc w:val="center"/>
        <w:rPr>
          <w:rFonts w:ascii="仿宋" w:hAnsi="仿宋" w:eastAsia="仿宋"/>
          <w:sz w:val="28"/>
          <w:szCs w:val="28"/>
        </w:rPr>
      </w:pPr>
      <w:bookmarkStart w:id="293" w:name="_Toc259520882"/>
      <w:bookmarkStart w:id="294" w:name="_Toc255975024"/>
      <w:bookmarkStart w:id="295" w:name="_Toc254790917"/>
      <w:bookmarkStart w:id="296" w:name="_Toc273178704"/>
      <w:bookmarkStart w:id="297" w:name="_Toc251586247"/>
      <w:bookmarkStart w:id="298" w:name="_Toc266870448"/>
      <w:bookmarkStart w:id="299" w:name="_Toc259692664"/>
      <w:bookmarkStart w:id="300" w:name="_Toc232302128"/>
      <w:bookmarkStart w:id="301" w:name="_Toc267059925"/>
      <w:bookmarkStart w:id="302" w:name="_Toc267059036"/>
      <w:bookmarkStart w:id="303" w:name="_Toc259692757"/>
      <w:bookmarkStart w:id="304" w:name="_Toc266870840"/>
      <w:bookmarkStart w:id="305" w:name="_Toc267059187"/>
      <w:bookmarkStart w:id="306" w:name="_Toc267059812"/>
      <w:bookmarkStart w:id="307" w:name="_Toc266868687"/>
      <w:bookmarkStart w:id="308" w:name="_Toc266868944"/>
      <w:bookmarkStart w:id="309" w:name="_Toc235438358"/>
      <w:bookmarkStart w:id="310" w:name="_Toc267059545"/>
      <w:bookmarkStart w:id="311" w:name="_Toc253066630"/>
      <w:bookmarkStart w:id="312" w:name="_Toc235438287"/>
      <w:bookmarkStart w:id="313" w:name="_Toc266870923"/>
      <w:bookmarkStart w:id="314" w:name="_Toc267060082"/>
      <w:bookmarkStart w:id="315" w:name="_Toc267060467"/>
      <w:bookmarkStart w:id="316" w:name="_Toc249325726"/>
      <w:bookmarkStart w:id="317" w:name="_Toc267060327"/>
      <w:bookmarkStart w:id="318" w:name="_Toc267060222"/>
      <w:bookmarkStart w:id="319" w:name="_Toc258401273"/>
      <w:bookmarkStart w:id="320" w:name="_Toc251613845"/>
      <w:bookmarkStart w:id="321" w:name="_Toc235438004"/>
      <w:bookmarkStart w:id="322" w:name="_Toc236021463"/>
      <w:bookmarkStart w:id="323" w:name="_Toc267059659"/>
      <w:r>
        <w:rPr>
          <w:rFonts w:hint="eastAsia" w:ascii="仿宋" w:hAnsi="仿宋" w:eastAsia="仿宋"/>
          <w:sz w:val="28"/>
          <w:szCs w:val="28"/>
        </w:rPr>
        <w:t>4.质保期和售后服务承诺书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p>
    <w:p>
      <w:pPr>
        <w:spacing w:line="420" w:lineRule="exact"/>
        <w:ind w:firstLine="3897" w:firstLineChars="1392"/>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4" w:type="first"/>
      <w:headerReference r:id="rId13" w:type="default"/>
      <w:footerReference r:id="rId15"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DC65C"/>
    <w:multiLevelType w:val="singleLevel"/>
    <w:tmpl w:val="0AFDC65C"/>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3844"/>
    <w:rsid w:val="000569E1"/>
    <w:rsid w:val="00074B20"/>
    <w:rsid w:val="00082572"/>
    <w:rsid w:val="000934D4"/>
    <w:rsid w:val="000F4F45"/>
    <w:rsid w:val="0013118F"/>
    <w:rsid w:val="001561E9"/>
    <w:rsid w:val="00176CD4"/>
    <w:rsid w:val="00182C6E"/>
    <w:rsid w:val="001A5B43"/>
    <w:rsid w:val="001B719E"/>
    <w:rsid w:val="001C6943"/>
    <w:rsid w:val="001F1B71"/>
    <w:rsid w:val="00235C32"/>
    <w:rsid w:val="00244E90"/>
    <w:rsid w:val="002772BB"/>
    <w:rsid w:val="002A1D99"/>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B5FA4"/>
    <w:rsid w:val="00FF1750"/>
    <w:rsid w:val="01BE2330"/>
    <w:rsid w:val="035D0D1A"/>
    <w:rsid w:val="0AEE2A61"/>
    <w:rsid w:val="0EB50813"/>
    <w:rsid w:val="112D3E30"/>
    <w:rsid w:val="15EE4C40"/>
    <w:rsid w:val="203423AF"/>
    <w:rsid w:val="243D551C"/>
    <w:rsid w:val="2670024B"/>
    <w:rsid w:val="293A3430"/>
    <w:rsid w:val="2ADB1801"/>
    <w:rsid w:val="2C555D10"/>
    <w:rsid w:val="2CE1498F"/>
    <w:rsid w:val="34A37860"/>
    <w:rsid w:val="3F6F2665"/>
    <w:rsid w:val="3FF430EE"/>
    <w:rsid w:val="456A6611"/>
    <w:rsid w:val="4806155B"/>
    <w:rsid w:val="4D75435B"/>
    <w:rsid w:val="4F531976"/>
    <w:rsid w:val="53887268"/>
    <w:rsid w:val="55341549"/>
    <w:rsid w:val="55A14EE9"/>
    <w:rsid w:val="5A125DD2"/>
    <w:rsid w:val="5E366CCF"/>
    <w:rsid w:val="5EEF3762"/>
    <w:rsid w:val="5EFA7993"/>
    <w:rsid w:val="5F1D16E0"/>
    <w:rsid w:val="5FF000CC"/>
    <w:rsid w:val="61F45A42"/>
    <w:rsid w:val="64607523"/>
    <w:rsid w:val="65EB42D5"/>
    <w:rsid w:val="680A1813"/>
    <w:rsid w:val="6E0577C3"/>
    <w:rsid w:val="6E14759B"/>
    <w:rsid w:val="6E7A4C22"/>
    <w:rsid w:val="723C3295"/>
    <w:rsid w:val="74641633"/>
    <w:rsid w:val="764B1CD7"/>
    <w:rsid w:val="7C7A5435"/>
    <w:rsid w:val="7D253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6"/>
    <w:qFormat/>
    <w:uiPriority w:val="0"/>
    <w:rPr>
      <w:rFonts w:hint="default" w:ascii="Arial" w:hAnsi="Arial" w:cs="Arial"/>
      <w:color w:val="000000"/>
      <w:sz w:val="18"/>
      <w:szCs w:val="18"/>
      <w:u w:val="none"/>
    </w:rPr>
  </w:style>
  <w:style w:type="character" w:customStyle="1" w:styleId="62">
    <w:name w:val="font21"/>
    <w:basedOn w:val="26"/>
    <w:qFormat/>
    <w:uiPriority w:val="0"/>
    <w:rPr>
      <w:rFonts w:hint="eastAsia" w:ascii="宋体" w:hAnsi="宋体" w:eastAsia="宋体" w:cs="宋体"/>
      <w:color w:val="000000"/>
      <w:sz w:val="18"/>
      <w:szCs w:val="18"/>
      <w:u w:val="none"/>
    </w:rPr>
  </w:style>
  <w:style w:type="character" w:customStyle="1" w:styleId="63">
    <w:name w:val="批注框文本 Char"/>
    <w:basedOn w:val="26"/>
    <w:link w:val="16"/>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2285</Words>
  <Characters>2580</Characters>
  <Lines>19</Lines>
  <Paragraphs>5</Paragraphs>
  <TotalTime>2</TotalTime>
  <ScaleCrop>false</ScaleCrop>
  <LinksUpToDate>false</LinksUpToDate>
  <CharactersWithSpaces>2763</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il雅琼</cp:lastModifiedBy>
  <dcterms:modified xsi:type="dcterms:W3CDTF">2021-09-30T01:34:21Z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6A2935FE5B564DBF94FAFDE541E87F2D</vt:lpwstr>
  </property>
</Properties>
</file>