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eastAsia" w:ascii="仿宋" w:hAnsi="仿宋" w:eastAsia="仿宋"/>
          <w:b/>
          <w:color w:val="auto"/>
          <w:sz w:val="72"/>
          <w:szCs w:val="72"/>
          <w:lang w:val="en-US" w:eastAsia="zh-CN"/>
        </w:rPr>
      </w:pPr>
      <w:bookmarkStart w:id="324" w:name="_GoBack"/>
      <w:bookmarkEnd w:id="324"/>
      <w:bookmarkStart w:id="0" w:name="_Hlk38472698"/>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default" w:ascii="仿宋" w:hAnsi="仿宋" w:eastAsia="仿宋"/>
          <w:b/>
          <w:color w:val="auto"/>
          <w:sz w:val="72"/>
          <w:szCs w:val="72"/>
          <w:lang w:val="en-US"/>
        </w:rPr>
      </w:pPr>
      <w:r>
        <w:rPr>
          <w:rFonts w:hint="eastAsia" w:ascii="仿宋" w:hAnsi="仿宋" w:eastAsia="仿宋"/>
          <w:b/>
          <w:color w:val="auto"/>
          <w:sz w:val="72"/>
          <w:szCs w:val="72"/>
          <w:lang w:val="en-US" w:eastAsia="zh-CN"/>
        </w:rPr>
        <w:t>广州应用科技学院</w:t>
      </w:r>
    </w:p>
    <w:bookmarkEnd w:id="0"/>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hint="eastAsia" w:ascii="仿宋" w:hAnsi="仿宋" w:eastAsia="仿宋"/>
          <w:b/>
          <w:sz w:val="32"/>
          <w:szCs w:val="32"/>
          <w:lang w:val="en-US" w:eastAsia="zh-CN"/>
        </w:rPr>
      </w:pPr>
      <w:r>
        <w:rPr>
          <w:rFonts w:hint="eastAsia" w:ascii="仿宋" w:hAnsi="仿宋" w:eastAsia="仿宋"/>
          <w:b/>
          <w:sz w:val="44"/>
          <w:szCs w:val="44"/>
        </w:rPr>
        <w:t>关于</w:t>
      </w:r>
      <w:r>
        <w:rPr>
          <w:rFonts w:hint="eastAsia" w:ascii="仿宋" w:hAnsi="仿宋" w:eastAsia="仿宋"/>
          <w:b/>
          <w:sz w:val="44"/>
          <w:szCs w:val="44"/>
          <w:lang w:val="en-US" w:eastAsia="zh-CN"/>
        </w:rPr>
        <w:t>肇庆校区体育馆耗材采购及安装项目</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公</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开</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询</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价</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邀</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请</w:t>
      </w:r>
    </w:p>
    <w:p>
      <w:pPr>
        <w:keepNext w:val="0"/>
        <w:keepLines w:val="0"/>
        <w:pageBreakBefore w:val="0"/>
        <w:widowControl/>
        <w:kinsoku/>
        <w:wordWrap/>
        <w:overflowPunct/>
        <w:topLinePunct w:val="0"/>
        <w:autoSpaceDE/>
        <w:autoSpaceDN/>
        <w:bidi w:val="0"/>
        <w:adjustRightInd/>
        <w:snapToGrid/>
        <w:spacing w:line="800" w:lineRule="exact"/>
        <w:jc w:val="center"/>
        <w:textAlignment w:val="auto"/>
        <w:rPr>
          <w:rFonts w:ascii="仿宋" w:hAnsi="仿宋" w:eastAsia="仿宋"/>
          <w:b/>
          <w:color w:val="auto"/>
          <w:sz w:val="72"/>
          <w:szCs w:val="72"/>
        </w:rPr>
      </w:pPr>
      <w:r>
        <w:rPr>
          <w:rFonts w:hint="eastAsia" w:ascii="仿宋" w:hAnsi="仿宋" w:eastAsia="仿宋"/>
          <w:b/>
          <w:color w:val="auto"/>
          <w:sz w:val="72"/>
          <w:szCs w:val="72"/>
        </w:rPr>
        <w:t>函</w:t>
      </w:r>
    </w:p>
    <w:p>
      <w:pPr>
        <w:keepNext w:val="0"/>
        <w:keepLines w:val="0"/>
        <w:pageBreakBefore w:val="0"/>
        <w:widowControl/>
        <w:kinsoku/>
        <w:wordWrap/>
        <w:overflowPunct/>
        <w:topLinePunct w:val="0"/>
        <w:autoSpaceDE/>
        <w:autoSpaceDN/>
        <w:bidi w:val="0"/>
        <w:adjustRightInd/>
        <w:snapToGrid/>
        <w:spacing w:line="800" w:lineRule="exact"/>
        <w:ind w:firstLine="2168" w:firstLineChars="600"/>
        <w:textAlignment w:val="auto"/>
        <w:rPr>
          <w:rFonts w:hint="default" w:ascii="仿宋" w:hAnsi="仿宋" w:eastAsia="仿宋"/>
          <w:b/>
          <w:color w:val="auto"/>
          <w:sz w:val="36"/>
          <w:szCs w:val="36"/>
          <w:lang w:val="en-US" w:eastAsia="zh-CN"/>
        </w:rPr>
      </w:pPr>
      <w:r>
        <w:rPr>
          <w:rFonts w:hint="eastAsia" w:ascii="仿宋" w:hAnsi="仿宋" w:eastAsia="仿宋"/>
          <w:b/>
          <w:color w:val="auto"/>
          <w:sz w:val="36"/>
          <w:szCs w:val="36"/>
        </w:rPr>
        <w:t>项目编号：</w:t>
      </w:r>
      <w:r>
        <w:rPr>
          <w:rFonts w:hint="eastAsia" w:ascii="仿宋" w:hAnsi="仿宋" w:eastAsia="仿宋"/>
          <w:b/>
          <w:color w:val="auto"/>
          <w:sz w:val="32"/>
          <w:szCs w:val="32"/>
          <w:lang w:val="en-US" w:eastAsia="zh-CN"/>
        </w:rPr>
        <w:t>A-ZQXJ2021-0901</w:t>
      </w:r>
    </w:p>
    <w:p>
      <w:pPr>
        <w:keepNext w:val="0"/>
        <w:keepLines w:val="0"/>
        <w:pageBreakBefore w:val="0"/>
        <w:widowControl/>
        <w:kinsoku/>
        <w:wordWrap/>
        <w:overflowPunct/>
        <w:topLinePunct w:val="0"/>
        <w:autoSpaceDE/>
        <w:autoSpaceDN/>
        <w:bidi w:val="0"/>
        <w:adjustRightInd/>
        <w:snapToGrid/>
        <w:spacing w:line="800" w:lineRule="exact"/>
        <w:ind w:left="3959" w:leftChars="978" w:hanging="1807" w:hangingChars="500"/>
        <w:textAlignment w:val="auto"/>
        <w:rPr>
          <w:rFonts w:hint="eastAsia" w:ascii="仿宋" w:hAnsi="仿宋" w:eastAsia="仿宋"/>
          <w:b/>
          <w:color w:val="auto"/>
          <w:sz w:val="32"/>
          <w:szCs w:val="32"/>
          <w:lang w:val="en-US" w:eastAsia="zh-CN"/>
        </w:rPr>
      </w:pPr>
      <w:bookmarkStart w:id="1" w:name="_Toc160880118"/>
      <w:bookmarkStart w:id="2" w:name="_Toc160880485"/>
      <w:bookmarkStart w:id="3" w:name="_Toc169332792"/>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12530253"/>
      <w:bookmarkStart w:id="5" w:name="_Toc251586187"/>
      <w:bookmarkStart w:id="6" w:name="_Toc217891359"/>
      <w:bookmarkStart w:id="7" w:name="_Toc170798743"/>
      <w:bookmarkStart w:id="8" w:name="_Toc249325665"/>
      <w:bookmarkStart w:id="9" w:name="_Toc259520819"/>
      <w:bookmarkStart w:id="10" w:name="_Toc253066567"/>
      <w:bookmarkStart w:id="11" w:name="_Toc267059786"/>
      <w:bookmarkStart w:id="12" w:name="_Toc211937196"/>
      <w:bookmarkStart w:id="13" w:name="_Toc267059899"/>
      <w:bookmarkStart w:id="14" w:name="_Toc236021402"/>
      <w:bookmarkStart w:id="15" w:name="_Toc219800200"/>
      <w:bookmarkStart w:id="16" w:name="_Toc216241307"/>
      <w:bookmarkStart w:id="17" w:name="_Toc169332904"/>
      <w:bookmarkStart w:id="18" w:name="_Toc169332794"/>
      <w:bookmarkStart w:id="19" w:name="_Toc267059519"/>
      <w:bookmarkStart w:id="20" w:name="_Toc267060022"/>
      <w:bookmarkStart w:id="21" w:name="_Toc267060407"/>
      <w:bookmarkStart w:id="22" w:name="_Toc267059633"/>
      <w:bookmarkStart w:id="23" w:name="_Toc259692693"/>
      <w:bookmarkStart w:id="24" w:name="_Toc227058483"/>
      <w:bookmarkStart w:id="25" w:name="_Toc177985424"/>
      <w:bookmarkStart w:id="26" w:name="_Toc266870861"/>
      <w:bookmarkStart w:id="27" w:name="_Toc273178686"/>
      <w:bookmarkStart w:id="28" w:name="_Toc223146565"/>
      <w:bookmarkStart w:id="29" w:name="_Toc267059010"/>
      <w:bookmarkStart w:id="30" w:name="_Toc160880487"/>
      <w:bookmarkStart w:id="31" w:name="_Toc266868624"/>
      <w:bookmarkStart w:id="32" w:name="_Toc212526081"/>
      <w:bookmarkStart w:id="33" w:name="_Toc235437942"/>
      <w:bookmarkStart w:id="34" w:name="_Toc267060162"/>
      <w:bookmarkStart w:id="35" w:name="_Toc258401210"/>
      <w:bookmarkStart w:id="36" w:name="_Toc267059161"/>
      <w:bookmarkStart w:id="37" w:name="_Toc235438227"/>
      <w:bookmarkStart w:id="38" w:name="_Toc212454753"/>
      <w:bookmarkStart w:id="39" w:name="_Toc207014580"/>
      <w:bookmarkStart w:id="40" w:name="_Toc255974963"/>
      <w:bookmarkStart w:id="41" w:name="_Toc266868924"/>
      <w:bookmarkStart w:id="42" w:name="_Toc235438297"/>
      <w:bookmarkStart w:id="43" w:name="_Toc259692600"/>
      <w:bookmarkStart w:id="44" w:name="_Toc212456146"/>
      <w:bookmarkStart w:id="45" w:name="_Toc266870386"/>
      <w:bookmarkStart w:id="46" w:name="_Toc251613780"/>
      <w:bookmarkStart w:id="47" w:name="_Toc225669277"/>
      <w:bookmarkStart w:id="48" w:name="_Toc254790852"/>
      <w:r>
        <w:rPr>
          <w:rFonts w:hint="eastAsia" w:ascii="仿宋" w:hAnsi="仿宋" w:eastAsia="仿宋"/>
          <w:b/>
          <w:color w:val="auto"/>
          <w:sz w:val="32"/>
          <w:szCs w:val="32"/>
          <w:lang w:val="en-US" w:eastAsia="zh-CN"/>
        </w:rPr>
        <w:t>肇庆校区体育馆耗材采购及安装项目</w:t>
      </w:r>
    </w:p>
    <w:p>
      <w:pPr>
        <w:keepNext w:val="0"/>
        <w:keepLines w:val="0"/>
        <w:pageBreakBefore w:val="0"/>
        <w:widowControl/>
        <w:kinsoku/>
        <w:wordWrap/>
        <w:overflowPunct/>
        <w:topLinePunct w:val="0"/>
        <w:autoSpaceDE/>
        <w:autoSpaceDN/>
        <w:bidi w:val="0"/>
        <w:adjustRightInd/>
        <w:snapToGrid/>
        <w:spacing w:line="800" w:lineRule="exact"/>
        <w:ind w:left="3758" w:leftChars="978" w:hanging="1606" w:hangingChars="500"/>
        <w:textAlignment w:val="auto"/>
        <w:rPr>
          <w:rFonts w:hint="eastAsia" w:ascii="仿宋" w:hAnsi="仿宋" w:eastAsia="仿宋"/>
          <w:b/>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800" w:lineRule="exact"/>
        <w:ind w:left="3758" w:leftChars="978" w:hanging="1606" w:hangingChars="500"/>
        <w:textAlignment w:val="auto"/>
        <w:rPr>
          <w:rFonts w:hint="eastAsia" w:ascii="仿宋" w:hAnsi="仿宋" w:eastAsia="仿宋"/>
          <w:b/>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800" w:lineRule="exact"/>
        <w:ind w:left="3758" w:leftChars="978" w:hanging="1606" w:hangingChars="500"/>
        <w:textAlignment w:val="auto"/>
        <w:rPr>
          <w:rFonts w:hint="eastAsia" w:ascii="仿宋" w:hAnsi="仿宋" w:eastAsia="仿宋"/>
          <w:b/>
          <w:color w:val="auto"/>
          <w:sz w:val="32"/>
          <w:szCs w:val="32"/>
          <w:lang w:val="en-US" w:eastAsia="zh-CN"/>
        </w:rPr>
        <w:sectPr>
          <w:footerReference r:id="rId7" w:type="first"/>
          <w:headerReference r:id="rId5" w:type="default"/>
          <w:footerReference r:id="rId6" w:type="default"/>
          <w:pgSz w:w="11906" w:h="16838"/>
          <w:pgMar w:top="1440" w:right="1416" w:bottom="1440" w:left="1134" w:header="851" w:footer="227" w:gutter="0"/>
          <w:pgNumType w:fmt="decimal"/>
          <w:cols w:space="425" w:num="1"/>
          <w:titlePg/>
          <w:docGrid w:type="lines" w:linePitch="312" w:charSpace="0"/>
        </w:sectPr>
      </w:pPr>
    </w:p>
    <w:p>
      <w:pPr>
        <w:pStyle w:val="52"/>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keepNext w:val="0"/>
        <w:keepLines w:val="0"/>
        <w:pageBreakBefore w:val="0"/>
        <w:kinsoku/>
        <w:wordWrap/>
        <w:overflowPunct/>
        <w:topLinePunct w:val="0"/>
        <w:autoSpaceDE/>
        <w:autoSpaceDN/>
        <w:bidi w:val="0"/>
        <w:adjustRightInd/>
        <w:snapToGrid/>
        <w:spacing w:after="0" w:line="440" w:lineRule="exact"/>
        <w:ind w:firstLine="560" w:firstLineChars="200"/>
        <w:textAlignment w:val="auto"/>
        <w:rPr>
          <w:rFonts w:ascii="仿宋" w:hAnsi="仿宋" w:eastAsia="仿宋"/>
          <w:color w:val="auto"/>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肇庆校区体育馆耗材采购及安装项目项目</w:t>
      </w:r>
      <w:r>
        <w:rPr>
          <w:rFonts w:hint="eastAsia" w:ascii="仿宋" w:hAnsi="仿宋" w:eastAsia="仿宋"/>
          <w:color w:val="auto"/>
          <w:sz w:val="28"/>
          <w:szCs w:val="28"/>
        </w:rPr>
        <w:t>进行公开询价，欢迎国内合格参与人参与。</w:t>
      </w:r>
    </w:p>
    <w:p>
      <w:pPr>
        <w:keepNext w:val="0"/>
        <w:keepLines w:val="0"/>
        <w:pageBreakBefore w:val="0"/>
        <w:kinsoku/>
        <w:wordWrap/>
        <w:overflowPunct/>
        <w:topLinePunct w:val="0"/>
        <w:autoSpaceDE/>
        <w:autoSpaceDN/>
        <w:bidi w:val="0"/>
        <w:adjustRightInd/>
        <w:snapToGrid/>
        <w:spacing w:after="0" w:line="440" w:lineRule="exact"/>
        <w:ind w:firstLine="425" w:firstLineChars="152"/>
        <w:jc w:val="left"/>
        <w:textAlignment w:val="auto"/>
        <w:rPr>
          <w:rFonts w:ascii="仿宋" w:hAnsi="仿宋" w:eastAsia="仿宋"/>
          <w:color w:val="auto"/>
          <w:sz w:val="28"/>
          <w:szCs w:val="28"/>
        </w:rPr>
      </w:pPr>
      <w:r>
        <w:rPr>
          <w:rFonts w:hint="eastAsia" w:ascii="仿宋" w:hAnsi="仿宋" w:eastAsia="仿宋"/>
          <w:color w:val="auto"/>
          <w:sz w:val="28"/>
          <w:szCs w:val="28"/>
        </w:rPr>
        <w:t>一、项目说明</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A-ZQXJ2021-0901</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肇庆校区体育馆耗材采购及安装项目</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color w:val="auto"/>
          <w:sz w:val="28"/>
          <w:szCs w:val="28"/>
        </w:rPr>
      </w:pPr>
      <w:r>
        <w:rPr>
          <w:rFonts w:hint="eastAsia" w:ascii="仿宋" w:hAnsi="仿宋" w:eastAsia="仿宋"/>
          <w:color w:val="auto"/>
          <w:sz w:val="28"/>
          <w:szCs w:val="28"/>
        </w:rPr>
        <w:t>数量及主要技术要求</w:t>
      </w:r>
      <w:r>
        <w:rPr>
          <w:rFonts w:hint="eastAsia" w:ascii="仿宋" w:hAnsi="仿宋" w:eastAsia="仿宋"/>
          <w:color w:val="auto"/>
          <w:sz w:val="28"/>
          <w:szCs w:val="28"/>
          <w:lang w:eastAsia="zh-CN"/>
        </w:rPr>
        <w:t>：</w:t>
      </w:r>
      <w:r>
        <w:rPr>
          <w:rFonts w:hint="eastAsia" w:ascii="仿宋" w:hAnsi="仿宋" w:eastAsia="仿宋"/>
          <w:color w:val="auto"/>
          <w:sz w:val="28"/>
          <w:szCs w:val="28"/>
        </w:rPr>
        <w:t>详见《公开询价货物一览表》。</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color w:val="auto"/>
          <w:sz w:val="28"/>
          <w:szCs w:val="28"/>
        </w:rPr>
      </w:pPr>
      <w:r>
        <w:rPr>
          <w:rFonts w:hint="eastAsia" w:ascii="仿宋" w:hAnsi="仿宋" w:eastAsia="仿宋"/>
          <w:color w:val="auto"/>
          <w:sz w:val="28"/>
          <w:szCs w:val="28"/>
        </w:rPr>
        <w:t>参与人资格标准：</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（1）参与人应具有独立法人资格。</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（2）参与人应具有提供相关物资、施工能力及售后维护等相关服务的资格及能力，并具备相应的维护保养能力。</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（3）参与人应遵守中国的有关法律、法规和各项规章制度。</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（4）参与人具有1年以上（包括1年）2个以上同类项目销售和良好的售后服务应用成功案例，近三年未发生重大安全或质量事故。</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（5）参与人须有良好的商业信誉和健全的财务制度。</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（6）参与人有依法缴纳税金和社会保障资金的良好记录。</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w:t>
      </w:r>
      <w:r>
        <w:rPr>
          <w:rFonts w:hint="eastAsia" w:ascii="仿宋" w:hAnsi="仿宋" w:eastAsia="仿宋"/>
          <w:color w:val="auto"/>
          <w:sz w:val="28"/>
          <w:szCs w:val="28"/>
          <w:lang w:val="en-US" w:eastAsia="zh-CN"/>
        </w:rPr>
        <w:t>现场递交</w:t>
      </w:r>
      <w:r>
        <w:rPr>
          <w:rFonts w:hint="eastAsia" w:ascii="仿宋" w:hAnsi="仿宋" w:eastAsia="仿宋"/>
          <w:color w:val="auto"/>
          <w:sz w:val="28"/>
          <w:szCs w:val="28"/>
        </w:rPr>
        <w:t>。</w:t>
      </w:r>
    </w:p>
    <w:p>
      <w:pPr>
        <w:keepNext w:val="0"/>
        <w:keepLines w:val="0"/>
        <w:pageBreakBefore w:val="0"/>
        <w:widowControl w:val="0"/>
        <w:numPr>
          <w:ilvl w:val="1"/>
          <w:numId w:val="1"/>
        </w:numPr>
        <w:kinsoku/>
        <w:wordWrap/>
        <w:overflowPunct/>
        <w:topLinePunct w:val="0"/>
        <w:autoSpaceDE/>
        <w:autoSpaceDN/>
        <w:bidi w:val="0"/>
        <w:adjustRightInd/>
        <w:snapToGrid/>
        <w:spacing w:after="0" w:line="440" w:lineRule="exact"/>
        <w:textAlignment w:val="auto"/>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rPr>
        <w:t>20</w:t>
      </w:r>
      <w:r>
        <w:rPr>
          <w:rFonts w:hint="eastAsia" w:ascii="仿宋" w:hAnsi="仿宋" w:eastAsia="仿宋"/>
          <w:b/>
          <w:bCs/>
          <w:color w:val="auto"/>
          <w:sz w:val="28"/>
          <w:szCs w:val="28"/>
          <w:u w:val="single"/>
          <w:shd w:val="clear" w:color="auto" w:fill="FFFFFF"/>
          <w:lang w:val="en-US" w:eastAsia="zh-CN"/>
        </w:rPr>
        <w:t>21</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10</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08</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上午12</w:t>
      </w:r>
      <w:r>
        <w:rPr>
          <w:rFonts w:hint="eastAsia" w:ascii="仿宋" w:hAnsi="仿宋" w:eastAsia="仿宋"/>
          <w:b/>
          <w:bCs/>
          <w:color w:val="auto"/>
          <w:sz w:val="28"/>
          <w:szCs w:val="28"/>
          <w:u w:val="single"/>
          <w:shd w:val="clear" w:color="auto" w:fill="FFFFFF"/>
        </w:rPr>
        <w:t>:</w:t>
      </w:r>
      <w:r>
        <w:rPr>
          <w:rFonts w:ascii="仿宋" w:hAnsi="仿宋" w:eastAsia="仿宋"/>
          <w:b/>
          <w:bCs/>
          <w:color w:val="auto"/>
          <w:sz w:val="28"/>
          <w:szCs w:val="28"/>
          <w:u w:val="single"/>
          <w:shd w:val="clear" w:color="auto" w:fill="FFFFFF"/>
        </w:rPr>
        <w:t>00</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keepNext w:val="0"/>
        <w:keepLines w:val="0"/>
        <w:pageBreakBefore w:val="0"/>
        <w:kinsoku/>
        <w:wordWrap/>
        <w:overflowPunct/>
        <w:topLinePunct w:val="0"/>
        <w:autoSpaceDE/>
        <w:autoSpaceDN/>
        <w:bidi w:val="0"/>
        <w:adjustRightInd/>
        <w:snapToGrid/>
        <w:spacing w:after="0" w:line="440" w:lineRule="exact"/>
        <w:ind w:firstLine="420" w:firstLineChars="150"/>
        <w:textAlignment w:val="auto"/>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w:t>
      </w:r>
      <w:r>
        <w:rPr>
          <w:rFonts w:hint="eastAsia" w:ascii="仿宋" w:hAnsi="仿宋" w:eastAsia="仿宋"/>
          <w:color w:val="auto"/>
          <w:sz w:val="28"/>
          <w:szCs w:val="28"/>
          <w:lang w:val="en-US" w:eastAsia="zh-CN"/>
        </w:rPr>
        <w:t>肇庆市鼎湖区莲花镇莲乐路广州应用科技学院（肇庆校区）</w:t>
      </w:r>
      <w:r>
        <w:rPr>
          <w:rFonts w:hint="eastAsia" w:ascii="仿宋" w:hAnsi="仿宋" w:eastAsia="仿宋"/>
          <w:color w:val="auto"/>
          <w:sz w:val="28"/>
          <w:szCs w:val="28"/>
        </w:rPr>
        <w:t>采购</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keepNext w:val="0"/>
        <w:keepLines w:val="0"/>
        <w:pageBreakBefore w:val="0"/>
        <w:kinsoku/>
        <w:wordWrap/>
        <w:overflowPunct/>
        <w:topLinePunct w:val="0"/>
        <w:autoSpaceDE/>
        <w:autoSpaceDN/>
        <w:bidi w:val="0"/>
        <w:adjustRightInd/>
        <w:snapToGrid/>
        <w:spacing w:after="0" w:line="440" w:lineRule="exact"/>
        <w:ind w:left="839"/>
        <w:textAlignment w:val="auto"/>
        <w:rPr>
          <w:rFonts w:hint="eastAsia" w:ascii="仿宋" w:hAnsi="仿宋" w:eastAsia="仿宋"/>
          <w:color w:val="auto"/>
          <w:sz w:val="28"/>
          <w:szCs w:val="28"/>
          <w:u w:val="single"/>
          <w:lang w:eastAsia="zh-CN"/>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黄天纬</w:t>
      </w:r>
      <w:r>
        <w:rPr>
          <w:rFonts w:hint="eastAsia" w:ascii="仿宋" w:hAnsi="仿宋" w:eastAsia="仿宋"/>
          <w:color w:val="auto"/>
          <w:sz w:val="28"/>
          <w:szCs w:val="28"/>
        </w:rPr>
        <w:t>；联系电话：</w:t>
      </w:r>
      <w:r>
        <w:rPr>
          <w:rFonts w:hint="eastAsia" w:ascii="仿宋" w:hAnsi="仿宋" w:eastAsia="仿宋"/>
          <w:color w:val="auto"/>
          <w:sz w:val="28"/>
          <w:szCs w:val="28"/>
          <w:u w:val="single"/>
          <w:lang w:val="en-US" w:eastAsia="zh-CN"/>
        </w:rPr>
        <w:t>13610240607</w:t>
      </w:r>
      <w:r>
        <w:rPr>
          <w:rFonts w:hint="eastAsia" w:ascii="仿宋" w:hAnsi="仿宋" w:eastAsia="仿宋"/>
          <w:color w:val="auto"/>
          <w:sz w:val="28"/>
          <w:szCs w:val="28"/>
          <w:u w:val="none"/>
          <w:lang w:eastAsia="zh-CN"/>
        </w:rPr>
        <w:t>。</w:t>
      </w:r>
    </w:p>
    <w:p>
      <w:pPr>
        <w:keepNext w:val="0"/>
        <w:keepLines w:val="0"/>
        <w:pageBreakBefore w:val="0"/>
        <w:kinsoku/>
        <w:wordWrap/>
        <w:overflowPunct/>
        <w:topLinePunct w:val="0"/>
        <w:autoSpaceDE/>
        <w:autoSpaceDN/>
        <w:bidi w:val="0"/>
        <w:adjustRightInd/>
        <w:snapToGrid/>
        <w:spacing w:after="0" w:line="440" w:lineRule="exact"/>
        <w:ind w:left="839"/>
        <w:textAlignment w:val="auto"/>
        <w:rPr>
          <w:rFonts w:ascii="仿宋" w:hAnsi="仿宋" w:eastAsia="仿宋"/>
          <w:b/>
          <w:bCs/>
          <w:sz w:val="28"/>
          <w:szCs w:val="28"/>
        </w:rPr>
      </w:pPr>
      <w:r>
        <w:rPr>
          <w:rFonts w:hint="eastAsia" w:ascii="仿宋" w:hAnsi="仿宋" w:eastAsia="仿宋"/>
          <w:b/>
          <w:bCs/>
          <w:sz w:val="28"/>
          <w:szCs w:val="28"/>
        </w:rPr>
        <w:t>本项目监督投诉部门：中教集团内控部；投诉电话：</w:t>
      </w:r>
      <w:r>
        <w:rPr>
          <w:rFonts w:ascii="仿宋" w:hAnsi="仿宋" w:eastAsia="仿宋"/>
          <w:b/>
          <w:bCs/>
          <w:sz w:val="28"/>
          <w:szCs w:val="28"/>
        </w:rPr>
        <w:t xml:space="preserve"> 0791</w:t>
      </w:r>
      <w:r>
        <w:rPr>
          <w:rFonts w:hint="eastAsia" w:ascii="仿宋" w:hAnsi="仿宋" w:eastAsia="仿宋"/>
          <w:b/>
          <w:bCs/>
          <w:sz w:val="28"/>
          <w:szCs w:val="28"/>
        </w:rPr>
        <w:t>-</w:t>
      </w:r>
      <w:r>
        <w:rPr>
          <w:rFonts w:ascii="仿宋" w:hAnsi="仿宋" w:eastAsia="仿宋"/>
          <w:b/>
          <w:bCs/>
          <w:sz w:val="28"/>
          <w:szCs w:val="28"/>
        </w:rPr>
        <w:t>88102608</w:t>
      </w:r>
      <w:r>
        <w:rPr>
          <w:rFonts w:hint="eastAsia" w:ascii="仿宋" w:hAnsi="仿宋" w:eastAsia="仿宋"/>
          <w:b/>
          <w:bCs/>
          <w:sz w:val="28"/>
          <w:szCs w:val="28"/>
        </w:rPr>
        <w:t>；</w:t>
      </w:r>
    </w:p>
    <w:p>
      <w:pPr>
        <w:keepNext w:val="0"/>
        <w:keepLines w:val="0"/>
        <w:pageBreakBefore w:val="0"/>
        <w:kinsoku/>
        <w:wordWrap/>
        <w:overflowPunct/>
        <w:topLinePunct w:val="0"/>
        <w:autoSpaceDE/>
        <w:autoSpaceDN/>
        <w:bidi w:val="0"/>
        <w:adjustRightInd/>
        <w:snapToGrid/>
        <w:spacing w:line="440" w:lineRule="exact"/>
        <w:ind w:left="838" w:leftChars="381"/>
        <w:textAlignment w:val="auto"/>
        <w:rPr>
          <w:rFonts w:ascii="仿宋" w:hAnsi="仿宋" w:eastAsia="仿宋"/>
          <w:sz w:val="28"/>
          <w:szCs w:val="28"/>
        </w:rPr>
      </w:pPr>
      <w:r>
        <w:rPr>
          <w:rFonts w:hint="eastAsia" w:ascii="仿宋" w:hAnsi="仿宋" w:eastAsia="仿宋"/>
          <w:b/>
          <w:bCs/>
          <w:sz w:val="28"/>
          <w:szCs w:val="28"/>
        </w:rPr>
        <w:t>投诉邮箱：</w:t>
      </w:r>
      <w:r>
        <w:rPr>
          <w:rFonts w:ascii="仿宋" w:hAnsi="仿宋" w:eastAsia="仿宋"/>
          <w:b/>
          <w:bCs/>
          <w:sz w:val="28"/>
          <w:szCs w:val="28"/>
        </w:rPr>
        <w:t>Neikongbu@educationgroup.cn</w:t>
      </w:r>
      <w:r>
        <w:rPr>
          <w:rFonts w:ascii="仿宋" w:hAnsi="仿宋" w:eastAsia="仿宋"/>
          <w:sz w:val="28"/>
          <w:szCs w:val="28"/>
        </w:rPr>
        <w:t xml:space="preserve"> </w:t>
      </w:r>
      <w:r>
        <w:rPr>
          <w:rFonts w:hint="eastAsia" w:ascii="仿宋" w:hAnsi="仿宋" w:eastAsia="仿宋"/>
          <w:b/>
          <w:bCs/>
          <w:sz w:val="28"/>
          <w:szCs w:val="28"/>
        </w:rPr>
        <w:t>本项目最终成交结果会在中教集团后勤贤知平台“中标信息公示”板块公示，网址：www.ceghqxz.com</w:t>
      </w:r>
      <w:r>
        <w:rPr>
          <w:rFonts w:ascii="仿宋" w:hAnsi="仿宋" w:eastAsia="仿宋"/>
          <w:sz w:val="28"/>
          <w:szCs w:val="28"/>
        </w:rPr>
        <w:t xml:space="preserve"> </w:t>
      </w:r>
    </w:p>
    <w:p>
      <w:pPr>
        <w:keepNext w:val="0"/>
        <w:keepLines w:val="0"/>
        <w:pageBreakBefore w:val="0"/>
        <w:kinsoku/>
        <w:wordWrap/>
        <w:overflowPunct/>
        <w:topLinePunct w:val="0"/>
        <w:autoSpaceDE/>
        <w:autoSpaceDN/>
        <w:bidi w:val="0"/>
        <w:adjustRightInd/>
        <w:snapToGrid/>
        <w:spacing w:line="440" w:lineRule="exact"/>
        <w:ind w:left="838" w:leftChars="381"/>
        <w:textAlignment w:val="auto"/>
        <w:rPr>
          <w:rFonts w:ascii="仿宋" w:hAnsi="仿宋" w:eastAsia="仿宋"/>
          <w:sz w:val="28"/>
          <w:szCs w:val="28"/>
        </w:rPr>
      </w:pPr>
    </w:p>
    <w:p>
      <w:pPr>
        <w:keepNext w:val="0"/>
        <w:keepLines w:val="0"/>
        <w:pageBreakBefore w:val="0"/>
        <w:kinsoku/>
        <w:wordWrap/>
        <w:overflowPunct/>
        <w:topLinePunct w:val="0"/>
        <w:autoSpaceDE/>
        <w:autoSpaceDN/>
        <w:bidi w:val="0"/>
        <w:adjustRightInd/>
        <w:snapToGrid/>
        <w:spacing w:after="0" w:line="440" w:lineRule="exact"/>
        <w:ind w:firstLine="425" w:firstLineChars="152"/>
        <w:jc w:val="left"/>
        <w:textAlignment w:val="auto"/>
        <w:rPr>
          <w:rFonts w:ascii="仿宋" w:hAnsi="仿宋" w:eastAsia="仿宋"/>
          <w:color w:val="auto"/>
          <w:sz w:val="28"/>
          <w:szCs w:val="28"/>
        </w:rPr>
      </w:pPr>
      <w:r>
        <w:rPr>
          <w:rFonts w:hint="eastAsia" w:ascii="仿宋" w:hAnsi="仿宋" w:eastAsia="仿宋"/>
          <w:color w:val="auto"/>
          <w:sz w:val="28"/>
          <w:szCs w:val="28"/>
        </w:rPr>
        <w:t>二、参与人须知</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hint="eastAsia" w:ascii="仿宋" w:hAnsi="仿宋" w:eastAsia="仿宋"/>
          <w:color w:val="auto"/>
          <w:sz w:val="28"/>
          <w:szCs w:val="28"/>
          <w:lang w:eastAsia="zh-CN"/>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w:t>
      </w:r>
      <w:r>
        <w:rPr>
          <w:rFonts w:hint="eastAsia" w:ascii="仿宋" w:hAnsi="仿宋" w:eastAsia="仿宋"/>
          <w:sz w:val="28"/>
          <w:szCs w:val="28"/>
        </w:rPr>
        <w:t>文件</w:t>
      </w:r>
      <w:r>
        <w:rPr>
          <w:rFonts w:hint="eastAsia" w:ascii="仿宋" w:hAnsi="仿宋" w:eastAsia="仿宋"/>
          <w:color w:val="FF0000"/>
          <w:sz w:val="28"/>
          <w:szCs w:val="28"/>
          <w:lang w:val="en-US" w:eastAsia="zh-CN"/>
        </w:rPr>
        <w:t>4</w:t>
      </w:r>
      <w:r>
        <w:rPr>
          <w:rFonts w:hint="eastAsia" w:ascii="仿宋" w:hAnsi="仿宋" w:eastAsia="仿宋"/>
          <w:sz w:val="28"/>
          <w:szCs w:val="28"/>
        </w:rPr>
        <w:t>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w:t>
      </w:r>
      <w:r>
        <w:rPr>
          <w:rFonts w:hint="eastAsia" w:ascii="仿宋" w:hAnsi="仿宋" w:eastAsia="仿宋"/>
          <w:color w:val="FF0000"/>
          <w:sz w:val="28"/>
          <w:szCs w:val="28"/>
          <w:lang w:val="en-US" w:eastAsia="zh-CN"/>
        </w:rPr>
        <w:t>1</w:t>
      </w:r>
      <w:r>
        <w:rPr>
          <w:rFonts w:hint="eastAsia" w:ascii="仿宋" w:hAnsi="仿宋" w:eastAsia="仿宋"/>
          <w:sz w:val="28"/>
          <w:szCs w:val="28"/>
        </w:rPr>
        <w:t>份副本</w:t>
      </w:r>
      <w:r>
        <w:rPr>
          <w:rFonts w:hint="eastAsia" w:ascii="仿宋" w:hAnsi="仿宋" w:eastAsia="仿宋"/>
          <w:color w:val="FF0000"/>
          <w:sz w:val="28"/>
          <w:szCs w:val="28"/>
          <w:lang w:val="en-US" w:eastAsia="zh-CN"/>
        </w:rPr>
        <w:t>2</w:t>
      </w:r>
      <w:r>
        <w:rPr>
          <w:rFonts w:hint="eastAsia"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lang w:val="en-US" w:eastAsia="zh-CN"/>
        </w:rPr>
        <w:t>报价分项一览表</w:t>
      </w:r>
      <w:r>
        <w:rPr>
          <w:rFonts w:hint="eastAsia" w:ascii="仿宋" w:hAnsi="仿宋" w:eastAsia="仿宋"/>
          <w:color w:val="FF0000"/>
          <w:sz w:val="28"/>
          <w:szCs w:val="28"/>
          <w:lang w:val="en-US" w:eastAsia="zh-CN"/>
        </w:rPr>
        <w:t>1</w:t>
      </w:r>
      <w:r>
        <w:rPr>
          <w:rFonts w:hint="eastAsia" w:ascii="仿宋" w:hAnsi="仿宋" w:eastAsia="仿宋"/>
          <w:sz w:val="28"/>
          <w:szCs w:val="28"/>
          <w:lang w:val="en-US" w:eastAsia="zh-CN"/>
        </w:rPr>
        <w:t>份</w:t>
      </w:r>
      <w:r>
        <w:rPr>
          <w:rFonts w:hint="eastAsia" w:ascii="仿宋" w:hAnsi="仿宋" w:eastAsia="仿宋"/>
          <w:sz w:val="28"/>
          <w:szCs w:val="28"/>
        </w:rPr>
        <w:t>）</w:t>
      </w:r>
      <w:r>
        <w:rPr>
          <w:rFonts w:hint="eastAsia" w:ascii="仿宋" w:hAnsi="仿宋" w:eastAsia="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w:t>
      </w:r>
      <w:r>
        <w:rPr>
          <w:rFonts w:hint="eastAsia" w:ascii="仿宋" w:hAnsi="仿宋" w:eastAsia="仿宋"/>
          <w:color w:val="auto"/>
          <w:sz w:val="28"/>
          <w:szCs w:val="28"/>
          <w:lang w:eastAsia="zh-CN"/>
        </w:rPr>
        <w:t>褪色</w:t>
      </w:r>
      <w:r>
        <w:rPr>
          <w:rFonts w:hint="eastAsia" w:ascii="仿宋" w:hAnsi="仿宋" w:eastAsia="仿宋"/>
          <w:color w:val="auto"/>
          <w:sz w:val="28"/>
          <w:szCs w:val="28"/>
        </w:rPr>
        <w:t>墨水书写或打印，因字迹潦草或表达不清所引起的后果由参与人自负；</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r>
        <w:rPr>
          <w:rFonts w:hint="eastAsia" w:ascii="仿宋" w:hAnsi="仿宋" w:eastAsia="仿宋"/>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keepNext w:val="0"/>
        <w:keepLines w:val="0"/>
        <w:pageBreakBefore w:val="0"/>
        <w:kinsoku/>
        <w:wordWrap/>
        <w:overflowPunct/>
        <w:topLinePunct w:val="0"/>
        <w:autoSpaceDE/>
        <w:autoSpaceDN/>
        <w:bidi w:val="0"/>
        <w:adjustRightInd/>
        <w:snapToGrid/>
        <w:spacing w:after="0" w:line="440" w:lineRule="exact"/>
        <w:ind w:firstLine="425" w:firstLineChars="152"/>
        <w:jc w:val="left"/>
        <w:textAlignment w:val="auto"/>
        <w:rPr>
          <w:rFonts w:ascii="仿宋" w:hAnsi="仿宋" w:eastAsia="仿宋"/>
          <w:color w:val="auto"/>
          <w:sz w:val="28"/>
          <w:szCs w:val="28"/>
        </w:rPr>
      </w:pPr>
      <w:r>
        <w:rPr>
          <w:rFonts w:hint="eastAsia" w:ascii="仿宋" w:hAnsi="仿宋" w:eastAsia="仿宋"/>
          <w:color w:val="auto"/>
          <w:sz w:val="28"/>
          <w:szCs w:val="28"/>
        </w:rPr>
        <w:t>三、售后服务要求</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lang w:val="en-US" w:eastAsia="zh-CN"/>
        </w:rPr>
        <w:t>质保</w:t>
      </w:r>
      <w:r>
        <w:rPr>
          <w:rFonts w:hint="eastAsia" w:ascii="仿宋" w:hAnsi="仿宋" w:eastAsia="仿宋"/>
          <w:color w:val="auto"/>
          <w:sz w:val="28"/>
          <w:szCs w:val="28"/>
        </w:rPr>
        <w:t>期；</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lang w:val="en-US" w:eastAsia="zh-CN"/>
        </w:rPr>
        <w:t>3</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rPr>
        <w:t>维修联系电话及联系人员；</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lang w:val="en-US" w:eastAsia="zh-CN"/>
        </w:rPr>
        <w:t>4</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keepNext w:val="0"/>
        <w:keepLines w:val="0"/>
        <w:pageBreakBefore w:val="0"/>
        <w:widowControl w:val="0"/>
        <w:kinsoku/>
        <w:wordWrap/>
        <w:overflowPunct/>
        <w:topLinePunct w:val="0"/>
        <w:autoSpaceDE/>
        <w:autoSpaceDN/>
        <w:bidi w:val="0"/>
        <w:adjustRightInd/>
        <w:snapToGrid/>
        <w:spacing w:after="0" w:line="440" w:lineRule="exact"/>
        <w:ind w:left="426"/>
        <w:jc w:val="left"/>
        <w:textAlignment w:val="auto"/>
        <w:rPr>
          <w:rFonts w:ascii="仿宋" w:hAnsi="仿宋" w:eastAsia="仿宋"/>
          <w:color w:val="auto"/>
          <w:sz w:val="28"/>
          <w:szCs w:val="28"/>
        </w:rPr>
      </w:pPr>
      <w:r>
        <w:rPr>
          <w:rFonts w:hint="eastAsia" w:ascii="仿宋" w:hAnsi="仿宋" w:eastAsia="仿宋"/>
          <w:color w:val="auto"/>
          <w:sz w:val="28"/>
          <w:szCs w:val="28"/>
          <w:lang w:val="en-US" w:eastAsia="zh-CN"/>
        </w:rPr>
        <w:t>5</w:t>
      </w:r>
      <w:r>
        <w:rPr>
          <w:rFonts w:hint="eastAsia" w:ascii="仿宋" w:hAnsi="仿宋" w:eastAsia="仿宋"/>
          <w:color w:val="auto"/>
          <w:sz w:val="28"/>
          <w:szCs w:val="28"/>
        </w:rPr>
        <w:t>.</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keepNext w:val="0"/>
        <w:keepLines w:val="0"/>
        <w:pageBreakBefore w:val="0"/>
        <w:kinsoku/>
        <w:wordWrap/>
        <w:overflowPunct/>
        <w:topLinePunct w:val="0"/>
        <w:autoSpaceDE/>
        <w:autoSpaceDN/>
        <w:bidi w:val="0"/>
        <w:adjustRightInd/>
        <w:snapToGrid/>
        <w:spacing w:after="0" w:line="440" w:lineRule="exact"/>
        <w:ind w:firstLine="425" w:firstLineChars="152"/>
        <w:jc w:val="left"/>
        <w:textAlignment w:val="auto"/>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keepNext w:val="0"/>
        <w:keepLines w:val="0"/>
        <w:pageBreakBefore w:val="0"/>
        <w:widowControl w:val="0"/>
        <w:kinsoku/>
        <w:wordWrap/>
        <w:overflowPunct/>
        <w:topLinePunct w:val="0"/>
        <w:autoSpaceDE/>
        <w:autoSpaceDN/>
        <w:bidi w:val="0"/>
        <w:adjustRightInd/>
        <w:snapToGrid/>
        <w:spacing w:after="0" w:line="440" w:lineRule="exact"/>
        <w:ind w:left="426" w:firstLine="560" w:firstLineChars="200"/>
        <w:jc w:val="left"/>
        <w:textAlignment w:val="auto"/>
        <w:rPr>
          <w:rFonts w:ascii="仿宋" w:hAnsi="仿宋" w:eastAsia="仿宋"/>
          <w:color w:val="auto"/>
          <w:sz w:val="28"/>
          <w:szCs w:val="28"/>
        </w:rPr>
      </w:pPr>
      <w:r>
        <w:rPr>
          <w:rFonts w:hint="eastAsia" w:ascii="仿宋" w:hAnsi="仿宋" w:eastAsia="仿宋"/>
          <w:color w:val="auto"/>
          <w:sz w:val="28"/>
          <w:szCs w:val="28"/>
        </w:rPr>
        <w:t>所投</w:t>
      </w:r>
      <w:r>
        <w:rPr>
          <w:rFonts w:hint="eastAsia" w:ascii="仿宋" w:hAnsi="仿宋" w:eastAsia="仿宋"/>
          <w:color w:val="auto"/>
          <w:sz w:val="28"/>
          <w:szCs w:val="28"/>
          <w:lang w:val="en-US" w:eastAsia="zh-CN"/>
        </w:rPr>
        <w:t>物资</w:t>
      </w:r>
      <w:r>
        <w:rPr>
          <w:rFonts w:hint="eastAsia" w:ascii="仿宋" w:hAnsi="仿宋" w:eastAsia="仿宋"/>
          <w:color w:val="auto"/>
          <w:sz w:val="28"/>
          <w:szCs w:val="28"/>
        </w:rPr>
        <w:t>符合采购需求、质量和服务要求</w:t>
      </w:r>
      <w:r>
        <w:rPr>
          <w:rFonts w:hint="eastAsia" w:ascii="仿宋" w:hAnsi="仿宋" w:eastAsia="仿宋"/>
          <w:color w:val="auto"/>
          <w:sz w:val="28"/>
          <w:szCs w:val="28"/>
          <w:lang w:eastAsia="zh-CN"/>
        </w:rPr>
        <w:t>，</w:t>
      </w:r>
      <w:r>
        <w:rPr>
          <w:rFonts w:hint="eastAsia" w:ascii="仿宋" w:hAnsi="仿宋" w:eastAsia="仿宋"/>
          <w:color w:val="auto"/>
          <w:sz w:val="28"/>
          <w:szCs w:val="28"/>
        </w:rPr>
        <w:t>经过磋商所报价格为合理价格的参与人为成交参与人，最低报价不作为成交的保证。</w:t>
      </w:r>
    </w:p>
    <w:p>
      <w:pPr>
        <w:rPr>
          <w:rFonts w:ascii="仿宋" w:hAnsi="仿宋" w:eastAsia="仿宋"/>
          <w:color w:val="FF0000"/>
          <w:sz w:val="28"/>
          <w:szCs w:val="28"/>
        </w:rPr>
      </w:pPr>
      <w:r>
        <w:rPr>
          <w:rFonts w:ascii="仿宋" w:hAnsi="仿宋" w:eastAsia="仿宋"/>
          <w:color w:val="FF0000"/>
          <w:sz w:val="28"/>
          <w:szCs w:val="28"/>
        </w:rPr>
        <w:br w:type="page"/>
      </w:r>
    </w:p>
    <w:p>
      <w:pPr>
        <w:pStyle w:val="52"/>
        <w:numPr>
          <w:ilvl w:val="0"/>
          <w:numId w:val="2"/>
        </w:numPr>
        <w:spacing w:line="360" w:lineRule="auto"/>
        <w:jc w:val="center"/>
        <w:outlineLvl w:val="0"/>
        <w:rPr>
          <w:rFonts w:hint="eastAsia" w:ascii="仿宋" w:hAnsi="仿宋" w:eastAsia="仿宋"/>
          <w:b/>
          <w:color w:val="auto"/>
          <w:sz w:val="44"/>
          <w:szCs w:val="44"/>
        </w:rPr>
      </w:pPr>
      <w:r>
        <w:rPr>
          <w:rFonts w:hint="eastAsia" w:ascii="仿宋" w:hAnsi="仿宋" w:eastAsia="仿宋"/>
          <w:b/>
          <w:color w:val="auto"/>
          <w:sz w:val="44"/>
          <w:szCs w:val="44"/>
        </w:rPr>
        <w:t>公开询价货物一览表</w:t>
      </w:r>
      <w:bookmarkEnd w:id="49"/>
    </w:p>
    <w:p>
      <w:pPr>
        <w:pStyle w:val="52"/>
        <w:numPr>
          <w:ilvl w:val="0"/>
          <w:numId w:val="0"/>
        </w:numPr>
        <w:spacing w:line="360" w:lineRule="auto"/>
        <w:jc w:val="right"/>
        <w:outlineLvl w:val="0"/>
        <w:rPr>
          <w:rFonts w:hint="default"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tbl>
      <w:tblPr>
        <w:tblStyle w:val="24"/>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675"/>
        <w:gridCol w:w="2000"/>
        <w:gridCol w:w="1075"/>
        <w:gridCol w:w="1025"/>
        <w:gridCol w:w="1088"/>
        <w:gridCol w:w="1295"/>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602"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序号</w:t>
            </w:r>
          </w:p>
        </w:tc>
        <w:tc>
          <w:tcPr>
            <w:tcW w:w="167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rPr>
            </w:pPr>
            <w:r>
              <w:rPr>
                <w:rFonts w:hint="eastAsia" w:ascii="仿宋" w:hAnsi="仿宋" w:eastAsia="仿宋" w:cs="仿宋"/>
                <w:b w:val="0"/>
                <w:bCs/>
                <w:color w:val="auto"/>
                <w:sz w:val="22"/>
                <w:szCs w:val="22"/>
              </w:rPr>
              <w:t>货物名称</w:t>
            </w:r>
          </w:p>
        </w:tc>
        <w:tc>
          <w:tcPr>
            <w:tcW w:w="20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rPr>
              <w:t>技术要求</w:t>
            </w:r>
          </w:p>
        </w:tc>
        <w:tc>
          <w:tcPr>
            <w:tcW w:w="107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数量</w:t>
            </w:r>
          </w:p>
        </w:tc>
        <w:tc>
          <w:tcPr>
            <w:tcW w:w="102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lang w:val="en-US" w:eastAsia="zh-CN" w:bidi="ar-SA"/>
              </w:rPr>
              <w:t>单位</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lang w:val="en-US" w:eastAsia="zh-CN"/>
              </w:rPr>
              <w:t>单价</w:t>
            </w: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b w:val="0"/>
                <w:bCs/>
                <w:color w:val="auto"/>
                <w:sz w:val="22"/>
                <w:szCs w:val="22"/>
                <w:lang w:val="en-US" w:eastAsia="zh-CN"/>
              </w:rPr>
            </w:pPr>
            <w:r>
              <w:rPr>
                <w:rFonts w:hint="eastAsia" w:ascii="仿宋" w:hAnsi="仿宋" w:eastAsia="仿宋" w:cs="仿宋"/>
                <w:b w:val="0"/>
                <w:bCs/>
                <w:color w:val="auto"/>
                <w:sz w:val="22"/>
                <w:szCs w:val="22"/>
                <w:lang w:val="en-US" w:eastAsia="zh-CN"/>
              </w:rPr>
              <w:t>金额</w:t>
            </w: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sz w:val="22"/>
                <w:szCs w:val="22"/>
                <w:lang w:val="en-US" w:eastAsia="zh-CN" w:bidi="ar-SA"/>
              </w:rPr>
            </w:pPr>
            <w:r>
              <w:rPr>
                <w:rFonts w:hint="eastAsia" w:ascii="仿宋" w:hAnsi="仿宋" w:eastAsia="仿宋" w:cs="仿宋"/>
                <w:b w:val="0"/>
                <w:bCs/>
                <w:color w:val="auto"/>
                <w:sz w:val="22"/>
                <w:szCs w:val="2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02"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rPr>
            </w:pPr>
            <w:r>
              <w:rPr>
                <w:rFonts w:hint="eastAsia" w:ascii="宋体" w:hAnsi="宋体" w:eastAsia="宋体" w:cs="宋体"/>
                <w:i w:val="0"/>
                <w:iCs w:val="0"/>
                <w:color w:val="000000"/>
                <w:kern w:val="0"/>
                <w:sz w:val="24"/>
                <w:szCs w:val="24"/>
                <w:u w:val="none"/>
                <w:lang w:val="en-US" w:eastAsia="zh-CN" w:bidi="ar"/>
              </w:rPr>
              <w:t>1</w:t>
            </w:r>
          </w:p>
        </w:tc>
        <w:tc>
          <w:tcPr>
            <w:tcW w:w="1675" w:type="dxa"/>
            <w:noWrap w:val="0"/>
            <w:vAlign w:val="center"/>
          </w:tcPr>
          <w:p>
            <w:pPr>
              <w:keepNext w:val="0"/>
              <w:keepLines w:val="0"/>
              <w:widowControl/>
              <w:suppressLineNumbers w:val="0"/>
              <w:jc w:val="center"/>
              <w:textAlignment w:val="center"/>
              <w:rPr>
                <w:rFonts w:hint="default" w:ascii="仿宋" w:hAnsi="仿宋" w:eastAsia="仿宋" w:cs="仿宋"/>
                <w:b w:val="0"/>
                <w:bCs/>
                <w:color w:val="auto"/>
                <w:sz w:val="24"/>
                <w:szCs w:val="24"/>
                <w:lang w:val="en-US"/>
              </w:rPr>
            </w:pPr>
            <w:r>
              <w:rPr>
                <w:rFonts w:hint="eastAsia" w:ascii="宋体" w:hAnsi="宋体" w:eastAsia="宋体" w:cs="宋体"/>
                <w:i w:val="0"/>
                <w:iCs w:val="0"/>
                <w:color w:val="000000"/>
                <w:kern w:val="0"/>
                <w:sz w:val="24"/>
                <w:szCs w:val="24"/>
                <w:u w:val="none"/>
                <w:lang w:val="en-US" w:eastAsia="zh-CN" w:bidi="ar"/>
              </w:rPr>
              <w:t>健身房地垫</w:t>
            </w:r>
          </w:p>
        </w:tc>
        <w:tc>
          <w:tcPr>
            <w:tcW w:w="2000"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健身房专用地垫</w:t>
            </w:r>
          </w:p>
        </w:tc>
        <w:tc>
          <w:tcPr>
            <w:tcW w:w="1075" w:type="dxa"/>
            <w:noWrap w:val="0"/>
            <w:vAlign w:val="center"/>
          </w:tcPr>
          <w:p>
            <w:pPr>
              <w:keepNext w:val="0"/>
              <w:keepLines w:val="0"/>
              <w:widowControl/>
              <w:suppressLineNumbers w:val="0"/>
              <w:jc w:val="center"/>
              <w:textAlignment w:val="center"/>
              <w:rPr>
                <w:rFonts w:hint="default" w:ascii="仿宋" w:hAnsi="仿宋" w:eastAsia="仿宋" w:cs="仿宋"/>
                <w:b w:val="0"/>
                <w:bCs/>
                <w:color w:val="auto"/>
                <w:sz w:val="24"/>
                <w:szCs w:val="24"/>
                <w:lang w:val="en-US"/>
              </w:rPr>
            </w:pPr>
            <w:r>
              <w:rPr>
                <w:rFonts w:hint="eastAsia" w:ascii="宋体" w:hAnsi="宋体" w:eastAsia="宋体" w:cs="宋体"/>
                <w:i w:val="0"/>
                <w:iCs w:val="0"/>
                <w:color w:val="000000"/>
                <w:kern w:val="0"/>
                <w:sz w:val="24"/>
                <w:szCs w:val="24"/>
                <w:u w:val="none"/>
                <w:lang w:val="en-US" w:eastAsia="zh-CN" w:bidi="ar"/>
              </w:rPr>
              <w:t>平方米</w:t>
            </w:r>
          </w:p>
        </w:tc>
        <w:tc>
          <w:tcPr>
            <w:tcW w:w="1025"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522</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4"/>
                <w:szCs w:val="24"/>
                <w:lang w:eastAsia="zh-CN"/>
              </w:rPr>
            </w:pP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4"/>
                <w:szCs w:val="24"/>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02"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675" w:type="dxa"/>
            <w:noWrap w:val="0"/>
            <w:vAlign w:val="center"/>
          </w:tcPr>
          <w:p>
            <w:pPr>
              <w:keepNext w:val="0"/>
              <w:keepLines w:val="0"/>
              <w:widowControl/>
              <w:suppressLineNumbers w:val="0"/>
              <w:jc w:val="center"/>
              <w:textAlignment w:val="center"/>
              <w:rPr>
                <w:rFonts w:hint="default" w:ascii="仿宋" w:hAnsi="仿宋" w:eastAsia="仿宋" w:cs="仿宋"/>
                <w:b w:val="0"/>
                <w:bCs/>
                <w:color w:val="auto"/>
                <w:sz w:val="24"/>
                <w:szCs w:val="24"/>
                <w:lang w:val="en-US"/>
              </w:rPr>
            </w:pPr>
            <w:r>
              <w:rPr>
                <w:rFonts w:hint="eastAsia" w:ascii="宋体" w:hAnsi="宋体" w:eastAsia="宋体" w:cs="宋体"/>
                <w:i w:val="0"/>
                <w:iCs w:val="0"/>
                <w:color w:val="000000"/>
                <w:kern w:val="0"/>
                <w:sz w:val="24"/>
                <w:szCs w:val="24"/>
                <w:u w:val="none"/>
                <w:lang w:val="en-US" w:eastAsia="zh-CN" w:bidi="ar"/>
              </w:rPr>
              <w:t>羽毛球场地地胶</w:t>
            </w:r>
          </w:p>
        </w:tc>
        <w:tc>
          <w:tcPr>
            <w:tcW w:w="2000"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硅PU材质</w:t>
            </w:r>
          </w:p>
        </w:tc>
        <w:tc>
          <w:tcPr>
            <w:tcW w:w="1075" w:type="dxa"/>
            <w:noWrap w:val="0"/>
            <w:vAlign w:val="center"/>
          </w:tcPr>
          <w:p>
            <w:pPr>
              <w:keepNext w:val="0"/>
              <w:keepLines w:val="0"/>
              <w:widowControl/>
              <w:suppressLineNumbers w:val="0"/>
              <w:jc w:val="center"/>
              <w:textAlignment w:val="center"/>
              <w:rPr>
                <w:rFonts w:hint="default" w:ascii="仿宋" w:hAnsi="仿宋" w:eastAsia="仿宋" w:cs="仿宋"/>
                <w:b w:val="0"/>
                <w:bCs/>
                <w:color w:val="auto"/>
                <w:sz w:val="24"/>
                <w:szCs w:val="24"/>
                <w:lang w:val="en-US"/>
              </w:rPr>
            </w:pPr>
            <w:r>
              <w:rPr>
                <w:rFonts w:hint="eastAsia" w:ascii="宋体" w:hAnsi="宋体" w:eastAsia="宋体" w:cs="宋体"/>
                <w:i w:val="0"/>
                <w:iCs w:val="0"/>
                <w:color w:val="000000"/>
                <w:kern w:val="0"/>
                <w:sz w:val="24"/>
                <w:szCs w:val="24"/>
                <w:u w:val="none"/>
                <w:lang w:val="en-US" w:eastAsia="zh-CN" w:bidi="ar"/>
              </w:rPr>
              <w:t>平方米</w:t>
            </w:r>
          </w:p>
        </w:tc>
        <w:tc>
          <w:tcPr>
            <w:tcW w:w="1025"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1000</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4"/>
                <w:szCs w:val="24"/>
                <w:lang w:eastAsia="zh-CN"/>
              </w:rPr>
            </w:pP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4"/>
                <w:szCs w:val="24"/>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02"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675" w:type="dxa"/>
            <w:noWrap w:val="0"/>
            <w:vAlign w:val="center"/>
          </w:tcPr>
          <w:p>
            <w:pPr>
              <w:keepNext w:val="0"/>
              <w:keepLines w:val="0"/>
              <w:widowControl/>
              <w:suppressLineNumbers w:val="0"/>
              <w:jc w:val="center"/>
              <w:textAlignment w:val="center"/>
              <w:rPr>
                <w:rFonts w:hint="default" w:ascii="仿宋" w:hAnsi="仿宋" w:eastAsia="仿宋" w:cs="仿宋"/>
                <w:b w:val="0"/>
                <w:bCs/>
                <w:color w:val="auto"/>
                <w:sz w:val="24"/>
                <w:szCs w:val="24"/>
                <w:lang w:val="en-US"/>
              </w:rPr>
            </w:pPr>
            <w:r>
              <w:rPr>
                <w:rFonts w:hint="eastAsia" w:ascii="宋体" w:hAnsi="宋体" w:eastAsia="宋体" w:cs="宋体"/>
                <w:i w:val="0"/>
                <w:iCs w:val="0"/>
                <w:color w:val="000000"/>
                <w:kern w:val="0"/>
                <w:sz w:val="24"/>
                <w:szCs w:val="24"/>
                <w:u w:val="none"/>
                <w:lang w:val="en-US" w:eastAsia="zh-CN" w:bidi="ar"/>
              </w:rPr>
              <w:t>器材货架</w:t>
            </w:r>
          </w:p>
        </w:tc>
        <w:tc>
          <w:tcPr>
            <w:tcW w:w="2000" w:type="dxa"/>
            <w:noWrap w:val="0"/>
            <w:vAlign w:val="center"/>
          </w:tcPr>
          <w:p>
            <w:pPr>
              <w:keepNext w:val="0"/>
              <w:keepLines w:val="0"/>
              <w:widowControl/>
              <w:suppressLineNumbers w:val="0"/>
              <w:jc w:val="center"/>
              <w:textAlignment w:val="center"/>
              <w:rPr>
                <w:rFonts w:hint="default" w:ascii="仿宋" w:hAnsi="仿宋" w:eastAsia="仿宋" w:cs="仿宋"/>
                <w:b w:val="0"/>
                <w:bCs/>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200X150X60cm</w:t>
            </w:r>
          </w:p>
        </w:tc>
        <w:tc>
          <w:tcPr>
            <w:tcW w:w="1075" w:type="dxa"/>
            <w:noWrap w:val="0"/>
            <w:vAlign w:val="center"/>
          </w:tcPr>
          <w:p>
            <w:pPr>
              <w:keepNext w:val="0"/>
              <w:keepLines w:val="0"/>
              <w:widowControl/>
              <w:suppressLineNumbers w:val="0"/>
              <w:jc w:val="center"/>
              <w:textAlignment w:val="center"/>
              <w:rPr>
                <w:rFonts w:hint="default" w:ascii="仿宋" w:hAnsi="仿宋" w:eastAsia="仿宋" w:cs="仿宋"/>
                <w:b w:val="0"/>
                <w:bCs/>
                <w:color w:val="auto"/>
                <w:sz w:val="24"/>
                <w:szCs w:val="24"/>
                <w:lang w:val="en-US"/>
              </w:rPr>
            </w:pPr>
            <w:r>
              <w:rPr>
                <w:rFonts w:hint="eastAsia" w:ascii="宋体" w:hAnsi="宋体" w:eastAsia="宋体" w:cs="宋体"/>
                <w:i w:val="0"/>
                <w:iCs w:val="0"/>
                <w:color w:val="000000"/>
                <w:kern w:val="0"/>
                <w:sz w:val="24"/>
                <w:szCs w:val="24"/>
                <w:u w:val="none"/>
                <w:lang w:val="en-US" w:eastAsia="zh-CN" w:bidi="ar"/>
              </w:rPr>
              <w:t>个</w:t>
            </w:r>
          </w:p>
        </w:tc>
        <w:tc>
          <w:tcPr>
            <w:tcW w:w="1025"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4"/>
                <w:szCs w:val="24"/>
                <w:lang w:eastAsia="zh-CN"/>
              </w:rPr>
            </w:pP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4"/>
                <w:szCs w:val="24"/>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02"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675" w:type="dxa"/>
            <w:noWrap w:val="0"/>
            <w:vAlign w:val="center"/>
          </w:tcPr>
          <w:p>
            <w:pPr>
              <w:keepNext w:val="0"/>
              <w:keepLines w:val="0"/>
              <w:widowControl/>
              <w:suppressLineNumbers w:val="0"/>
              <w:jc w:val="center"/>
              <w:textAlignment w:val="center"/>
              <w:rPr>
                <w:rFonts w:hint="default" w:ascii="仿宋" w:hAnsi="仿宋" w:eastAsia="仿宋" w:cs="仿宋"/>
                <w:b w:val="0"/>
                <w:bCs/>
                <w:color w:val="auto"/>
                <w:sz w:val="24"/>
                <w:szCs w:val="24"/>
                <w:lang w:val="en-US"/>
              </w:rPr>
            </w:pPr>
            <w:r>
              <w:rPr>
                <w:rFonts w:hint="eastAsia" w:ascii="宋体" w:hAnsi="宋体" w:eastAsia="宋体" w:cs="宋体"/>
                <w:i w:val="0"/>
                <w:iCs w:val="0"/>
                <w:color w:val="000000"/>
                <w:kern w:val="0"/>
                <w:sz w:val="24"/>
                <w:szCs w:val="24"/>
                <w:u w:val="none"/>
                <w:lang w:val="en-US" w:eastAsia="zh-CN" w:bidi="ar"/>
              </w:rPr>
              <w:t>乒乓球馆地胶</w:t>
            </w:r>
          </w:p>
        </w:tc>
        <w:tc>
          <w:tcPr>
            <w:tcW w:w="2000"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硅PU材质</w:t>
            </w:r>
          </w:p>
        </w:tc>
        <w:tc>
          <w:tcPr>
            <w:tcW w:w="1075" w:type="dxa"/>
            <w:noWrap w:val="0"/>
            <w:vAlign w:val="center"/>
          </w:tcPr>
          <w:p>
            <w:pPr>
              <w:keepNext w:val="0"/>
              <w:keepLines w:val="0"/>
              <w:widowControl/>
              <w:suppressLineNumbers w:val="0"/>
              <w:jc w:val="center"/>
              <w:textAlignment w:val="center"/>
              <w:rPr>
                <w:rFonts w:hint="default" w:ascii="仿宋" w:hAnsi="仿宋" w:eastAsia="仿宋" w:cs="仿宋"/>
                <w:b w:val="0"/>
                <w:bCs/>
                <w:color w:val="auto"/>
                <w:sz w:val="24"/>
                <w:szCs w:val="24"/>
                <w:lang w:val="en-US"/>
              </w:rPr>
            </w:pPr>
            <w:r>
              <w:rPr>
                <w:rFonts w:hint="eastAsia" w:ascii="宋体" w:hAnsi="宋体" w:eastAsia="宋体" w:cs="宋体"/>
                <w:i w:val="0"/>
                <w:iCs w:val="0"/>
                <w:color w:val="000000"/>
                <w:kern w:val="0"/>
                <w:sz w:val="24"/>
                <w:szCs w:val="24"/>
                <w:u w:val="none"/>
                <w:lang w:val="en-US" w:eastAsia="zh-CN" w:bidi="ar"/>
              </w:rPr>
              <w:t>平方米</w:t>
            </w:r>
          </w:p>
        </w:tc>
        <w:tc>
          <w:tcPr>
            <w:tcW w:w="1025"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530</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4"/>
                <w:szCs w:val="24"/>
                <w:lang w:eastAsia="zh-CN"/>
              </w:rPr>
            </w:pP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4"/>
                <w:szCs w:val="24"/>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02" w:type="dxa"/>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675" w:type="dxa"/>
            <w:noWrap w:val="0"/>
            <w:vAlign w:val="center"/>
          </w:tcPr>
          <w:p>
            <w:pPr>
              <w:keepNext w:val="0"/>
              <w:keepLines w:val="0"/>
              <w:widowControl/>
              <w:suppressLineNumbers w:val="0"/>
              <w:jc w:val="center"/>
              <w:textAlignment w:val="center"/>
              <w:rPr>
                <w:rFonts w:hint="default" w:ascii="仿宋" w:hAnsi="仿宋" w:eastAsia="仿宋" w:cs="仿宋"/>
                <w:b w:val="0"/>
                <w:bCs/>
                <w:color w:val="auto"/>
                <w:sz w:val="24"/>
                <w:szCs w:val="24"/>
                <w:lang w:val="en-US"/>
              </w:rPr>
            </w:pPr>
            <w:r>
              <w:rPr>
                <w:rFonts w:hint="eastAsia" w:ascii="宋体" w:hAnsi="宋体" w:eastAsia="宋体" w:cs="宋体"/>
                <w:i w:val="0"/>
                <w:iCs w:val="0"/>
                <w:color w:val="000000"/>
                <w:kern w:val="0"/>
                <w:sz w:val="24"/>
                <w:szCs w:val="24"/>
                <w:u w:val="none"/>
                <w:lang w:val="en-US" w:eastAsia="zh-CN" w:bidi="ar"/>
              </w:rPr>
              <w:t>比赛毽球</w:t>
            </w:r>
          </w:p>
        </w:tc>
        <w:tc>
          <w:tcPr>
            <w:tcW w:w="2000"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太仓牌比赛球</w:t>
            </w:r>
          </w:p>
        </w:tc>
        <w:tc>
          <w:tcPr>
            <w:tcW w:w="1075" w:type="dxa"/>
            <w:noWrap w:val="0"/>
            <w:vAlign w:val="center"/>
          </w:tcPr>
          <w:p>
            <w:pPr>
              <w:keepNext w:val="0"/>
              <w:keepLines w:val="0"/>
              <w:widowControl/>
              <w:suppressLineNumbers w:val="0"/>
              <w:jc w:val="center"/>
              <w:textAlignment w:val="center"/>
              <w:rPr>
                <w:rFonts w:hint="default" w:ascii="仿宋" w:hAnsi="仿宋" w:eastAsia="仿宋" w:cs="仿宋"/>
                <w:b w:val="0"/>
                <w:bCs/>
                <w:color w:val="auto"/>
                <w:sz w:val="24"/>
                <w:szCs w:val="24"/>
                <w:lang w:val="en-US"/>
              </w:rPr>
            </w:pPr>
            <w:r>
              <w:rPr>
                <w:rFonts w:hint="eastAsia" w:ascii="宋体" w:hAnsi="宋体" w:eastAsia="宋体" w:cs="宋体"/>
                <w:i w:val="0"/>
                <w:iCs w:val="0"/>
                <w:color w:val="000000"/>
                <w:kern w:val="0"/>
                <w:sz w:val="24"/>
                <w:szCs w:val="24"/>
                <w:u w:val="none"/>
                <w:lang w:val="en-US" w:eastAsia="zh-CN" w:bidi="ar"/>
              </w:rPr>
              <w:t>个</w:t>
            </w:r>
          </w:p>
        </w:tc>
        <w:tc>
          <w:tcPr>
            <w:tcW w:w="1025" w:type="dxa"/>
            <w:noWrap w:val="0"/>
            <w:vAlign w:val="center"/>
          </w:tcPr>
          <w:p>
            <w:pPr>
              <w:keepNext w:val="0"/>
              <w:keepLines w:val="0"/>
              <w:widowControl/>
              <w:suppressLineNumbers w:val="0"/>
              <w:jc w:val="center"/>
              <w:textAlignment w:val="center"/>
              <w:rPr>
                <w:rFonts w:hint="eastAsia" w:ascii="仿宋" w:hAnsi="仿宋" w:eastAsia="仿宋" w:cs="仿宋"/>
                <w:b w:val="0"/>
                <w:bCs/>
                <w:color w:val="auto"/>
                <w:sz w:val="24"/>
                <w:szCs w:val="24"/>
                <w:lang w:val="en-US" w:eastAsia="zh-CN"/>
              </w:rPr>
            </w:pPr>
            <w:r>
              <w:rPr>
                <w:rFonts w:hint="eastAsia" w:ascii="宋体" w:hAnsi="宋体" w:eastAsia="宋体" w:cs="宋体"/>
                <w:i w:val="0"/>
                <w:iCs w:val="0"/>
                <w:color w:val="000000"/>
                <w:kern w:val="0"/>
                <w:sz w:val="24"/>
                <w:szCs w:val="24"/>
                <w:u w:val="none"/>
                <w:lang w:val="en-US" w:eastAsia="zh-CN" w:bidi="ar"/>
              </w:rPr>
              <w:t>4000</w:t>
            </w:r>
          </w:p>
        </w:tc>
        <w:tc>
          <w:tcPr>
            <w:tcW w:w="108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4"/>
                <w:szCs w:val="24"/>
                <w:lang w:eastAsia="zh-CN"/>
              </w:rPr>
            </w:pP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4"/>
                <w:szCs w:val="24"/>
                <w:lang w:eastAsia="zh-CN"/>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277" w:type="dxa"/>
            <w:gridSpan w:val="3"/>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2"/>
                <w:szCs w:val="22"/>
                <w:lang w:val="en-US" w:eastAsia="zh-CN"/>
              </w:rPr>
            </w:pPr>
            <w:r>
              <w:rPr>
                <w:rFonts w:hint="eastAsia" w:ascii="仿宋" w:hAnsi="仿宋" w:eastAsia="仿宋" w:cs="仿宋"/>
                <w:b w:val="0"/>
                <w:bCs/>
                <w:color w:val="auto"/>
                <w:kern w:val="0"/>
                <w:sz w:val="22"/>
                <w:szCs w:val="22"/>
                <w:lang w:val="en-US" w:eastAsia="zh-CN"/>
              </w:rPr>
              <w:t>合计（含税）</w:t>
            </w:r>
          </w:p>
        </w:tc>
        <w:tc>
          <w:tcPr>
            <w:tcW w:w="107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2"/>
                <w:szCs w:val="22"/>
                <w:lang w:val="en-US" w:eastAsia="zh-CN"/>
              </w:rPr>
            </w:pPr>
          </w:p>
        </w:tc>
        <w:tc>
          <w:tcPr>
            <w:tcW w:w="102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b w:val="0"/>
                <w:bCs/>
                <w:color w:val="auto"/>
                <w:kern w:val="0"/>
                <w:sz w:val="22"/>
                <w:szCs w:val="22"/>
                <w:lang w:val="en-US" w:eastAsia="zh-CN"/>
              </w:rPr>
            </w:pPr>
          </w:p>
        </w:tc>
        <w:tc>
          <w:tcPr>
            <w:tcW w:w="1088"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2"/>
                <w:szCs w:val="22"/>
              </w:rPr>
            </w:pPr>
          </w:p>
        </w:tc>
        <w:tc>
          <w:tcPr>
            <w:tcW w:w="1295"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2"/>
                <w:szCs w:val="22"/>
              </w:rPr>
            </w:pPr>
          </w:p>
        </w:tc>
        <w:tc>
          <w:tcPr>
            <w:tcW w:w="700" w:type="dxa"/>
            <w:noWrap w:val="0"/>
            <w:vAlign w:val="center"/>
          </w:tcPr>
          <w:p>
            <w:pPr>
              <w:keepNext w:val="0"/>
              <w:keepLines w:val="0"/>
              <w:pageBreakBefore w:val="0"/>
              <w:widowControl/>
              <w:kinsoku/>
              <w:wordWrap/>
              <w:overflowPunct/>
              <w:topLinePunct w:val="0"/>
              <w:autoSpaceDE/>
              <w:autoSpaceDN/>
              <w:bidi w:val="0"/>
              <w:adjustRightInd/>
              <w:snapToGrid w:val="0"/>
              <w:spacing w:after="0" w:line="240" w:lineRule="auto"/>
              <w:textAlignment w:val="auto"/>
              <w:rPr>
                <w:rFonts w:hint="eastAsia" w:ascii="仿宋" w:hAnsi="仿宋" w:eastAsia="仿宋" w:cs="仿宋"/>
                <w:b w:val="0"/>
                <w:bCs/>
                <w:color w:val="auto"/>
                <w:kern w:val="0"/>
                <w:sz w:val="22"/>
                <w:szCs w:val="22"/>
              </w:rPr>
            </w:pPr>
          </w:p>
        </w:tc>
      </w:tr>
    </w:tbl>
    <w:p>
      <w:pPr>
        <w:widowControl w:val="0"/>
        <w:numPr>
          <w:ilvl w:val="0"/>
          <w:numId w:val="0"/>
        </w:numPr>
        <w:spacing w:after="0" w:line="500" w:lineRule="exact"/>
        <w:ind w:left="220" w:leftChars="0"/>
        <w:rPr>
          <w:rFonts w:hint="eastAsia" w:ascii="仿宋" w:hAnsi="仿宋" w:eastAsia="仿宋"/>
          <w:color w:val="auto"/>
          <w:sz w:val="24"/>
          <w:szCs w:val="24"/>
          <w:lang w:val="en-US" w:eastAsia="zh-CN"/>
        </w:rPr>
      </w:pPr>
      <w:r>
        <w:rPr>
          <w:rFonts w:hint="eastAsia" w:ascii="仿宋" w:hAnsi="仿宋" w:eastAsia="仿宋" w:cs="仿宋"/>
          <w:bCs/>
          <w:sz w:val="24"/>
          <w:szCs w:val="24"/>
        </w:rPr>
        <w:t>注：</w:t>
      </w:r>
      <w:r>
        <w:rPr>
          <w:rFonts w:hint="eastAsia" w:ascii="仿宋" w:hAnsi="仿宋" w:eastAsia="仿宋"/>
          <w:color w:val="auto"/>
          <w:sz w:val="24"/>
          <w:szCs w:val="24"/>
          <w:lang w:val="en-US" w:eastAsia="zh-CN"/>
        </w:rPr>
        <w:t>1、以上报价包含税费、运费、搬运费、安装费、安装辅材等一切费用，提供足额的增值税普通发票。</w:t>
      </w:r>
    </w:p>
    <w:p>
      <w:pPr>
        <w:widowControl w:val="0"/>
        <w:numPr>
          <w:ilvl w:val="0"/>
          <w:numId w:val="0"/>
        </w:numPr>
        <w:spacing w:after="0" w:line="500" w:lineRule="exact"/>
        <w:ind w:left="220" w:leftChars="0"/>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2、本次项目请注明备货期、工期、质保年限及售后服务。</w:t>
      </w:r>
    </w:p>
    <w:p>
      <w:pPr>
        <w:widowControl w:val="0"/>
        <w:numPr>
          <w:ilvl w:val="0"/>
          <w:numId w:val="0"/>
        </w:numPr>
        <w:spacing w:after="0" w:line="500" w:lineRule="exact"/>
        <w:ind w:left="220" w:leftChars="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3、报价文件需含营业执照、案例、纳税记录。</w:t>
      </w:r>
    </w:p>
    <w:p>
      <w:pPr>
        <w:widowControl w:val="0"/>
        <w:numPr>
          <w:ilvl w:val="0"/>
          <w:numId w:val="0"/>
        </w:numPr>
        <w:spacing w:after="0" w:line="500" w:lineRule="exact"/>
        <w:ind w:left="220" w:leftChars="0"/>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4、递交报价文件时必须附上地垫、地胶、毽球样本，没有样本的报价视为无效报价。</w:t>
      </w: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both"/>
        <w:rPr>
          <w:rFonts w:hint="eastAsia" w:ascii="仿宋" w:hAnsi="仿宋" w:eastAsia="仿宋"/>
          <w:b/>
          <w:sz w:val="72"/>
          <w:szCs w:val="72"/>
          <w:lang w:val="en-US" w:eastAsia="zh-CN"/>
        </w:rPr>
      </w:pPr>
    </w:p>
    <w:p>
      <w:pPr>
        <w:spacing w:line="1000" w:lineRule="exact"/>
        <w:jc w:val="center"/>
        <w:rPr>
          <w:rFonts w:hint="default" w:ascii="仿宋" w:hAnsi="仿宋" w:eastAsia="仿宋"/>
          <w:b/>
          <w:sz w:val="72"/>
          <w:szCs w:val="72"/>
          <w:lang w:val="en-US"/>
        </w:rPr>
      </w:pPr>
      <w:r>
        <w:rPr>
          <w:rFonts w:hint="eastAsia" w:ascii="仿宋" w:hAnsi="仿宋" w:eastAsia="仿宋"/>
          <w:b/>
          <w:sz w:val="72"/>
          <w:szCs w:val="72"/>
          <w:lang w:val="en-US" w:eastAsia="zh-CN"/>
        </w:rPr>
        <w:t>广州应用科技学院</w:t>
      </w:r>
    </w:p>
    <w:p>
      <w:pPr>
        <w:spacing w:line="580" w:lineRule="exact"/>
        <w:jc w:val="center"/>
        <w:rPr>
          <w:rFonts w:hint="eastAsia" w:ascii="仿宋" w:hAnsi="仿宋" w:eastAsia="仿宋"/>
          <w:b/>
          <w:sz w:val="44"/>
          <w:szCs w:val="44"/>
          <w:lang w:val="en-US" w:eastAsia="zh-CN"/>
        </w:rPr>
      </w:pPr>
      <w:r>
        <w:rPr>
          <w:rFonts w:hint="eastAsia" w:ascii="仿宋" w:hAnsi="仿宋" w:eastAsia="仿宋"/>
          <w:b/>
          <w:sz w:val="44"/>
          <w:szCs w:val="44"/>
        </w:rPr>
        <w:t>关于</w:t>
      </w:r>
      <w:r>
        <w:rPr>
          <w:rFonts w:hint="eastAsia" w:ascii="仿宋" w:hAnsi="仿宋" w:eastAsia="仿宋"/>
          <w:b/>
          <w:sz w:val="44"/>
          <w:szCs w:val="44"/>
          <w:lang w:val="en-US" w:eastAsia="zh-CN"/>
        </w:rPr>
        <w:t>肇庆校区体育馆耗材采购及安装项目</w:t>
      </w: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p>
    <w:p>
      <w:pPr>
        <w:jc w:val="center"/>
        <w:rPr>
          <w:rFonts w:ascii="仿宋" w:hAnsi="仿宋" w:eastAsia="仿宋"/>
          <w:b/>
          <w:bCs/>
          <w:sz w:val="30"/>
          <w:szCs w:val="30"/>
        </w:rPr>
      </w:pPr>
    </w:p>
    <w:p>
      <w:pPr>
        <w:jc w:val="both"/>
        <w:rPr>
          <w:rFonts w:ascii="仿宋" w:hAnsi="仿宋" w:eastAsia="仿宋"/>
          <w:b/>
          <w:bCs/>
          <w:sz w:val="30"/>
          <w:szCs w:val="30"/>
        </w:rPr>
      </w:pPr>
    </w:p>
    <w:p>
      <w:pPr>
        <w:jc w:val="center"/>
        <w:rPr>
          <w:rFonts w:hint="eastAsia" w:ascii="仿宋" w:hAnsi="仿宋" w:eastAsia="仿宋"/>
          <w:b/>
          <w:bCs/>
          <w:sz w:val="30"/>
          <w:szCs w:val="30"/>
        </w:rPr>
      </w:pPr>
      <w:r>
        <w:rPr>
          <w:rFonts w:hint="eastAsia" w:ascii="仿宋" w:hAnsi="仿宋" w:eastAsia="仿宋"/>
          <w:b/>
          <w:bCs/>
          <w:sz w:val="30"/>
          <w:szCs w:val="30"/>
        </w:rPr>
        <w:t>此封面应作为报价响应文件封面</w:t>
      </w:r>
    </w:p>
    <w:p>
      <w:pPr>
        <w:jc w:val="center"/>
        <w:rPr>
          <w:rFonts w:hint="eastAsia" w:ascii="仿宋" w:hAnsi="仿宋" w:eastAsia="仿宋"/>
          <w:b/>
          <w:bCs/>
          <w:sz w:val="30"/>
          <w:szCs w:val="30"/>
        </w:rPr>
      </w:pPr>
    </w:p>
    <w:p>
      <w:pPr>
        <w:rPr>
          <w:rFonts w:ascii="仿宋" w:hAnsi="仿宋" w:eastAsia="仿宋"/>
          <w:b/>
          <w:bCs/>
          <w:sz w:val="30"/>
          <w:szCs w:val="30"/>
        </w:rPr>
        <w:sectPr>
          <w:headerReference r:id="rId9" w:type="first"/>
          <w:headerReference r:id="rId8" w:type="default"/>
          <w:type w:val="continuous"/>
          <w:pgSz w:w="11906" w:h="16838"/>
          <w:pgMar w:top="1440" w:right="1416" w:bottom="1440" w:left="1134" w:header="851" w:footer="227" w:gutter="0"/>
          <w:pgNumType w:fmt="decimal"/>
          <w:cols w:space="425" w:num="1"/>
          <w:titlePg/>
          <w:docGrid w:type="lines" w:linePitch="312" w:charSpace="0"/>
        </w:sectPr>
      </w:pPr>
    </w:p>
    <w:p>
      <w:pPr>
        <w:jc w:val="center"/>
        <w:outlineLvl w:val="1"/>
        <w:rPr>
          <w:rFonts w:ascii="仿宋" w:hAnsi="仿宋" w:eastAsia="仿宋"/>
          <w:b/>
          <w:bCs/>
          <w:sz w:val="28"/>
          <w:szCs w:val="28"/>
        </w:rPr>
      </w:pPr>
      <w:bookmarkStart w:id="50" w:name="_Toc258401256"/>
      <w:bookmarkStart w:id="51" w:name="_Toc253066614"/>
      <w:bookmarkStart w:id="52" w:name="_Toc266868937"/>
      <w:bookmarkStart w:id="53" w:name="_Toc192996446"/>
      <w:bookmarkStart w:id="54" w:name="_Toc267059539"/>
      <w:bookmarkStart w:id="55" w:name="_Toc225669322"/>
      <w:bookmarkStart w:id="56" w:name="_Toc191803626"/>
      <w:bookmarkStart w:id="57" w:name="_Toc192663835"/>
      <w:bookmarkStart w:id="58" w:name="_Toc191783222"/>
      <w:bookmarkStart w:id="59" w:name="_Toc160880529"/>
      <w:bookmarkStart w:id="60" w:name="_Toc259520865"/>
      <w:bookmarkStart w:id="61" w:name="_Toc267059181"/>
      <w:bookmarkStart w:id="62" w:name="_Toc160880160"/>
      <w:bookmarkStart w:id="63" w:name="_Toc180302913"/>
      <w:bookmarkStart w:id="64" w:name="_Toc182372782"/>
      <w:bookmarkStart w:id="65" w:name="_Toc267060068"/>
      <w:bookmarkStart w:id="66" w:name="_Toc230071147"/>
      <w:bookmarkStart w:id="67" w:name="_Toc191789329"/>
      <w:bookmarkStart w:id="68" w:name="_Toc211917116"/>
      <w:bookmarkStart w:id="69" w:name="_Toc203355733"/>
      <w:bookmarkStart w:id="70" w:name="_Toc177985469"/>
      <w:bookmarkStart w:id="71" w:name="_Toc217891402"/>
      <w:bookmarkStart w:id="72" w:name="_Toc235438344"/>
      <w:bookmarkStart w:id="73" w:name="_Toc169332838"/>
      <w:bookmarkStart w:id="74" w:name="_Toc193160448"/>
      <w:bookmarkStart w:id="75" w:name="_Toc267059030"/>
      <w:bookmarkStart w:id="76" w:name="_Toc267059919"/>
      <w:bookmarkStart w:id="77" w:name="_Toc192663686"/>
      <w:bookmarkStart w:id="78" w:name="_Toc232302115"/>
      <w:bookmarkStart w:id="79" w:name="_Toc266868670"/>
      <w:bookmarkStart w:id="80" w:name="_Toc235437991"/>
      <w:bookmarkStart w:id="81" w:name="_Toc181436461"/>
      <w:bookmarkStart w:id="82" w:name="_Toc223146608"/>
      <w:bookmarkStart w:id="83" w:name="_Toc251613829"/>
      <w:bookmarkStart w:id="84" w:name="_Toc266870432"/>
      <w:bookmarkStart w:id="85" w:name="_Toc235438274"/>
      <w:bookmarkStart w:id="86" w:name="_Toc236021449"/>
      <w:bookmarkStart w:id="87" w:name="_Toc267060208"/>
      <w:bookmarkStart w:id="88" w:name="_Toc259692740"/>
      <w:bookmarkStart w:id="89" w:name="_Toc266870907"/>
      <w:bookmarkStart w:id="90" w:name="_Toc219800243"/>
      <w:bookmarkStart w:id="91" w:name="_Toc259692647"/>
      <w:bookmarkStart w:id="92" w:name="_Toc213755858"/>
      <w:bookmarkStart w:id="93" w:name="_Toc192996338"/>
      <w:bookmarkStart w:id="94" w:name="_Toc181436565"/>
      <w:bookmarkStart w:id="95" w:name="_Toc213208766"/>
      <w:bookmarkStart w:id="96" w:name="_Toc213756051"/>
      <w:bookmarkStart w:id="97" w:name="_Toc227058530"/>
      <w:bookmarkStart w:id="98" w:name="_Toc213755939"/>
      <w:bookmarkStart w:id="99" w:name="_Toc255975007"/>
      <w:bookmarkStart w:id="100" w:name="_Toc249325711"/>
      <w:bookmarkStart w:id="101" w:name="_Toc193165734"/>
      <w:bookmarkStart w:id="102" w:name="_Toc267059653"/>
      <w:bookmarkStart w:id="103" w:name="_Toc267060321"/>
      <w:bookmarkStart w:id="104" w:name="_Toc182805217"/>
      <w:bookmarkStart w:id="105" w:name="_Toc192664153"/>
      <w:bookmarkStart w:id="106" w:name="_Toc267060453"/>
      <w:bookmarkStart w:id="107" w:name="_Toc213755995"/>
      <w:bookmarkStart w:id="108" w:name="_Toc191802690"/>
      <w:bookmarkStart w:id="109" w:name="_Toc169332949"/>
      <w:bookmarkStart w:id="110" w:name="_Toc170798793"/>
      <w:bookmarkStart w:id="111" w:name="_Toc267059806"/>
      <w:bookmarkStart w:id="112" w:name="_Toc251586231"/>
      <w:bookmarkStart w:id="113" w:name="_Toc266870833"/>
      <w:bookmarkStart w:id="114" w:name="_Toc254790899"/>
      <w:bookmarkStart w:id="115" w:name="_Toc273178698"/>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eastAsia="zh-CN"/>
        </w:rPr>
      </w:pPr>
      <w:r>
        <w:rPr>
          <w:rFonts w:hint="eastAsia" w:ascii="仿宋" w:hAnsi="仿宋" w:eastAsia="仿宋"/>
          <w:color w:val="auto"/>
          <w:sz w:val="28"/>
          <w:szCs w:val="28"/>
        </w:rPr>
        <w:t>致：</w:t>
      </w:r>
      <w:r>
        <w:rPr>
          <w:rFonts w:hint="eastAsia" w:ascii="仿宋" w:hAnsi="仿宋" w:eastAsia="仿宋"/>
          <w:color w:val="auto"/>
          <w:sz w:val="28"/>
          <w:szCs w:val="28"/>
          <w:lang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项目的</w:t>
      </w:r>
      <w:r>
        <w:rPr>
          <w:rFonts w:hint="eastAsia" w:ascii="仿宋" w:hAnsi="仿宋" w:eastAsia="仿宋"/>
          <w:color w:val="auto"/>
          <w:sz w:val="28"/>
          <w:szCs w:val="28"/>
          <w:lang w:eastAsia="zh-CN"/>
        </w:rPr>
        <w:t>询价</w:t>
      </w:r>
      <w:r>
        <w:rPr>
          <w:rFonts w:hint="eastAsia" w:ascii="仿宋" w:hAnsi="仿宋" w:eastAsia="仿宋"/>
          <w:color w:val="auto"/>
          <w:sz w:val="28"/>
          <w:szCs w:val="28"/>
        </w:rPr>
        <w:t xml:space="preserve">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报价分项一览表1份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w:t>
      </w:r>
      <w:r>
        <w:rPr>
          <w:rFonts w:hint="eastAsia" w:ascii="仿宋" w:hAnsi="仿宋" w:eastAsia="仿宋"/>
          <w:sz w:val="28"/>
          <w:szCs w:val="28"/>
          <w:lang w:eastAsia="zh-CN"/>
        </w:rPr>
        <w:t>本次</w:t>
      </w:r>
      <w:r>
        <w:rPr>
          <w:rFonts w:hint="eastAsia" w:ascii="仿宋" w:hAnsi="仿宋" w:eastAsia="仿宋"/>
          <w:sz w:val="28"/>
          <w:szCs w:val="28"/>
        </w:rPr>
        <w:t>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7"/>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tbl>
      <w:tblPr>
        <w:tblStyle w:val="24"/>
        <w:tblW w:w="9455" w:type="dxa"/>
        <w:tblInd w:w="-5" w:type="dxa"/>
        <w:tblLayout w:type="fixed"/>
        <w:tblCellMar>
          <w:top w:w="0" w:type="dxa"/>
          <w:left w:w="108" w:type="dxa"/>
          <w:bottom w:w="0" w:type="dxa"/>
          <w:right w:w="108" w:type="dxa"/>
        </w:tblCellMar>
      </w:tblPr>
      <w:tblGrid>
        <w:gridCol w:w="693"/>
        <w:gridCol w:w="1438"/>
        <w:gridCol w:w="1331"/>
        <w:gridCol w:w="1735"/>
        <w:gridCol w:w="665"/>
        <w:gridCol w:w="664"/>
        <w:gridCol w:w="1198"/>
        <w:gridCol w:w="1066"/>
        <w:gridCol w:w="665"/>
      </w:tblGrid>
      <w:tr>
        <w:tblPrEx>
          <w:tblCellMar>
            <w:top w:w="0" w:type="dxa"/>
            <w:left w:w="108" w:type="dxa"/>
            <w:bottom w:w="0" w:type="dxa"/>
            <w:right w:w="108" w:type="dxa"/>
          </w:tblCellMar>
        </w:tblPrEx>
        <w:trPr>
          <w:trHeight w:val="293" w:hRule="atLeast"/>
        </w:trPr>
        <w:tc>
          <w:tcPr>
            <w:tcW w:w="6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序号</w:t>
            </w:r>
          </w:p>
        </w:tc>
        <w:tc>
          <w:tcPr>
            <w:tcW w:w="143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lang w:val="en-US" w:eastAsia="zh-CN"/>
              </w:rPr>
              <w:t>物资</w:t>
            </w:r>
            <w:r>
              <w:rPr>
                <w:rFonts w:hint="eastAsia" w:ascii="仿宋" w:hAnsi="仿宋" w:eastAsia="仿宋" w:cs="Tahoma"/>
                <w:color w:val="000000"/>
                <w:sz w:val="20"/>
                <w:szCs w:val="20"/>
              </w:rPr>
              <w:t>名称</w:t>
            </w:r>
          </w:p>
        </w:tc>
        <w:tc>
          <w:tcPr>
            <w:tcW w:w="1331"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品牌型号</w:t>
            </w:r>
          </w:p>
        </w:tc>
        <w:tc>
          <w:tcPr>
            <w:tcW w:w="1735" w:type="dxa"/>
            <w:tcBorders>
              <w:top w:val="single" w:color="auto" w:sz="4" w:space="0"/>
              <w:left w:val="nil"/>
              <w:bottom w:val="single" w:color="auto" w:sz="4" w:space="0"/>
              <w:right w:val="single" w:color="auto" w:sz="4" w:space="0"/>
            </w:tcBorders>
            <w:vAlign w:val="center"/>
          </w:tcPr>
          <w:p>
            <w:pPr>
              <w:ind w:firstLine="200" w:firstLineChars="100"/>
              <w:rPr>
                <w:rFonts w:ascii="仿宋" w:hAnsi="仿宋" w:eastAsia="仿宋" w:cs="Tahoma"/>
                <w:color w:val="000000"/>
                <w:sz w:val="20"/>
                <w:szCs w:val="20"/>
              </w:rPr>
            </w:pPr>
            <w:r>
              <w:rPr>
                <w:rFonts w:hint="eastAsia" w:ascii="仿宋" w:hAnsi="仿宋" w:eastAsia="仿宋" w:cs="Tahoma"/>
                <w:color w:val="000000"/>
                <w:sz w:val="20"/>
                <w:szCs w:val="20"/>
              </w:rPr>
              <w:t>具体技术参数</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单位</w:t>
            </w: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数量</w:t>
            </w: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单价（元）</w:t>
            </w: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lang w:val="en-US" w:eastAsia="zh-CN"/>
              </w:rPr>
              <w:t>金额</w:t>
            </w:r>
            <w:r>
              <w:rPr>
                <w:rFonts w:hint="eastAsia" w:ascii="仿宋" w:hAnsi="仿宋" w:eastAsia="仿宋" w:cs="Tahoma"/>
                <w:color w:val="000000"/>
                <w:sz w:val="20"/>
                <w:szCs w:val="20"/>
              </w:rPr>
              <w:t>（元）</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备注</w:t>
            </w: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9</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495" w:hRule="atLeast"/>
        </w:trPr>
        <w:tc>
          <w:tcPr>
            <w:tcW w:w="693" w:type="dxa"/>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ascii="仿宋" w:hAnsi="仿宋" w:eastAsia="仿宋" w:cs="Tahoma"/>
                <w:color w:val="000000"/>
                <w:sz w:val="20"/>
                <w:szCs w:val="20"/>
              </w:rPr>
              <w:t>10</w:t>
            </w:r>
          </w:p>
        </w:tc>
        <w:tc>
          <w:tcPr>
            <w:tcW w:w="1438" w:type="dxa"/>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31"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1735" w:type="dxa"/>
            <w:tcBorders>
              <w:top w:val="nil"/>
              <w:left w:val="nil"/>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654" w:hRule="atLeast"/>
        </w:trPr>
        <w:tc>
          <w:tcPr>
            <w:tcW w:w="519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合 计</w:t>
            </w: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4"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198"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1066"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665" w:type="dxa"/>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widowControl w:val="0"/>
        <w:numPr>
          <w:ilvl w:val="0"/>
          <w:numId w:val="0"/>
        </w:numPr>
        <w:spacing w:after="0" w:line="500" w:lineRule="exact"/>
        <w:ind w:left="220" w:leftChars="0"/>
        <w:rPr>
          <w:rFonts w:hint="eastAsia" w:ascii="仿宋" w:hAnsi="仿宋" w:eastAsia="仿宋"/>
          <w:color w:val="auto"/>
          <w:sz w:val="24"/>
          <w:szCs w:val="24"/>
          <w:lang w:val="en-US" w:eastAsia="zh-CN"/>
        </w:rPr>
      </w:pPr>
      <w:r>
        <w:rPr>
          <w:rFonts w:hint="eastAsia" w:ascii="仿宋" w:hAnsi="仿宋" w:eastAsia="仿宋" w:cs="仿宋"/>
          <w:bCs/>
          <w:sz w:val="24"/>
          <w:szCs w:val="24"/>
        </w:rPr>
        <w:t>注：</w:t>
      </w:r>
      <w:r>
        <w:rPr>
          <w:rFonts w:hint="eastAsia" w:ascii="仿宋" w:hAnsi="仿宋" w:eastAsia="仿宋"/>
          <w:color w:val="auto"/>
          <w:sz w:val="24"/>
          <w:szCs w:val="24"/>
          <w:lang w:val="en-US" w:eastAsia="zh-CN"/>
        </w:rPr>
        <w:t>1、以上报价包含税费、运费、搬运费、安装费、安装辅材等一切费用，提供足额的增值税普通发票。</w:t>
      </w:r>
    </w:p>
    <w:p>
      <w:pPr>
        <w:widowControl w:val="0"/>
        <w:numPr>
          <w:ilvl w:val="0"/>
          <w:numId w:val="0"/>
        </w:numPr>
        <w:spacing w:after="0" w:line="500" w:lineRule="exact"/>
        <w:ind w:left="220" w:leftChars="0"/>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2、本次项目请注明备货期、工期、质保年限及售后服务。</w:t>
      </w:r>
    </w:p>
    <w:p>
      <w:pPr>
        <w:widowControl w:val="0"/>
        <w:numPr>
          <w:ilvl w:val="0"/>
          <w:numId w:val="0"/>
        </w:numPr>
        <w:spacing w:after="0" w:line="500" w:lineRule="exact"/>
        <w:ind w:left="220" w:leftChars="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3、报价文件需含营业执照、案例、纳税记录。</w:t>
      </w:r>
    </w:p>
    <w:p>
      <w:pPr>
        <w:widowControl w:val="0"/>
        <w:numPr>
          <w:ilvl w:val="0"/>
          <w:numId w:val="0"/>
        </w:numPr>
        <w:spacing w:after="0" w:line="500" w:lineRule="exact"/>
        <w:ind w:left="220" w:leftChars="0"/>
        <w:rPr>
          <w:rFonts w:hint="default" w:ascii="仿宋" w:hAnsi="仿宋" w:eastAsia="仿宋"/>
          <w:b w:val="0"/>
          <w:bCs/>
          <w:sz w:val="24"/>
          <w:szCs w:val="24"/>
          <w:lang w:val="en-US" w:eastAsia="zh-CN"/>
        </w:rPr>
      </w:pPr>
      <w:r>
        <w:rPr>
          <w:rFonts w:hint="eastAsia" w:ascii="仿宋" w:hAnsi="仿宋" w:eastAsia="仿宋"/>
          <w:b w:val="0"/>
          <w:bCs/>
          <w:sz w:val="24"/>
          <w:szCs w:val="24"/>
          <w:lang w:val="en-US" w:eastAsia="zh-CN"/>
        </w:rPr>
        <w:t>4、递交报价文件时必须附上地垫、地胶、毽球样本，没有样本的报价视为无效报价。</w:t>
      </w:r>
    </w:p>
    <w:p>
      <w:pPr>
        <w:spacing w:line="360" w:lineRule="auto"/>
        <w:ind w:right="960"/>
        <w:jc w:val="both"/>
        <w:rPr>
          <w:rFonts w:hint="eastAsia" w:ascii="仿宋" w:hAnsi="仿宋" w:eastAsia="仿宋"/>
          <w:sz w:val="28"/>
          <w:szCs w:val="28"/>
          <w:lang w:val="zh-CN"/>
        </w:rPr>
      </w:pPr>
    </w:p>
    <w:p>
      <w:pPr>
        <w:spacing w:line="360" w:lineRule="auto"/>
        <w:ind w:right="960"/>
        <w:jc w:val="both"/>
        <w:rPr>
          <w:rFonts w:hint="eastAsia" w:ascii="仿宋" w:hAnsi="仿宋" w:eastAsia="仿宋"/>
          <w:sz w:val="28"/>
          <w:szCs w:val="28"/>
          <w:lang w:val="zh-CN"/>
        </w:rPr>
      </w:pPr>
    </w:p>
    <w:p>
      <w:pPr>
        <w:spacing w:line="360" w:lineRule="auto"/>
        <w:ind w:right="960" w:firstLine="4200" w:firstLineChars="1500"/>
        <w:jc w:val="both"/>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160880165"/>
      <w:bookmarkStart w:id="117" w:name="_Toc266870916"/>
      <w:bookmarkStart w:id="118" w:name="_Toc267060216"/>
      <w:bookmarkStart w:id="119" w:name="_Toc217891408"/>
      <w:bookmarkStart w:id="120" w:name="_Toc182372787"/>
      <w:bookmarkStart w:id="121" w:name="_Toc230071153"/>
      <w:bookmarkStart w:id="122" w:name="_Toc249325720"/>
      <w:bookmarkStart w:id="123" w:name="_Toc267059544"/>
      <w:bookmarkStart w:id="124" w:name="_Toc267059035"/>
      <w:bookmarkStart w:id="125" w:name="_Toc259692656"/>
      <w:bookmarkStart w:id="126" w:name="_Toc259520874"/>
      <w:bookmarkStart w:id="127" w:name="_Toc255975016"/>
      <w:bookmarkStart w:id="128" w:name="_Toc235438352"/>
      <w:bookmarkStart w:id="129" w:name="_Toc267060461"/>
      <w:bookmarkStart w:id="130" w:name="_Toc180302918"/>
      <w:bookmarkStart w:id="131" w:name="_Toc191803631"/>
      <w:bookmarkStart w:id="132" w:name="_Toc267060326"/>
      <w:bookmarkStart w:id="133" w:name="_Toc193160453"/>
      <w:bookmarkStart w:id="134" w:name="_Toc254790909"/>
      <w:bookmarkStart w:id="135" w:name="_Toc267060076"/>
      <w:bookmarkStart w:id="136" w:name="_Toc251613839"/>
      <w:bookmarkStart w:id="137" w:name="_Toc266870839"/>
      <w:bookmarkStart w:id="138" w:name="_Toc235438281"/>
      <w:bookmarkStart w:id="139" w:name="_Toc203355738"/>
      <w:bookmarkStart w:id="140" w:name="_Toc267059811"/>
      <w:bookmarkStart w:id="141" w:name="_Toc192663691"/>
      <w:bookmarkStart w:id="142" w:name="_Toc181436466"/>
      <w:bookmarkStart w:id="143" w:name="_Toc267059186"/>
      <w:bookmarkStart w:id="144" w:name="_Toc267059924"/>
      <w:bookmarkStart w:id="145" w:name="_Toc253066624"/>
      <w:bookmarkStart w:id="146" w:name="_Toc191802695"/>
      <w:bookmarkStart w:id="147" w:name="_Toc160880534"/>
      <w:bookmarkStart w:id="148" w:name="_Toc170798798"/>
      <w:bookmarkStart w:id="149" w:name="_Toc235437998"/>
      <w:bookmarkStart w:id="150" w:name="_Toc182805222"/>
      <w:bookmarkStart w:id="151" w:name="_Toc232302122"/>
      <w:bookmarkStart w:id="152" w:name="_Toc191789334"/>
      <w:bookmarkStart w:id="153" w:name="_Toc177985474"/>
      <w:bookmarkStart w:id="154" w:name="_Toc191783227"/>
      <w:bookmarkStart w:id="155" w:name="_Toc192664158"/>
      <w:bookmarkStart w:id="156" w:name="_Toc227058536"/>
      <w:bookmarkStart w:id="157" w:name="_Toc259692749"/>
      <w:bookmarkStart w:id="158" w:name="_Toc169332843"/>
      <w:bookmarkStart w:id="159" w:name="_Toc211917121"/>
      <w:bookmarkStart w:id="160" w:name="_Toc266870441"/>
      <w:bookmarkStart w:id="161" w:name="_Toc225669328"/>
      <w:bookmarkStart w:id="162" w:name="_Toc251586241"/>
      <w:bookmarkStart w:id="163" w:name="_Toc219800249"/>
      <w:bookmarkStart w:id="164" w:name="_Toc213755945"/>
      <w:bookmarkStart w:id="165" w:name="_Toc192663840"/>
      <w:bookmarkStart w:id="166" w:name="_Toc193165739"/>
      <w:bookmarkStart w:id="167" w:name="_Toc192996343"/>
      <w:bookmarkStart w:id="168" w:name="_Toc258401265"/>
      <w:bookmarkStart w:id="169" w:name="_Toc266868943"/>
      <w:bookmarkStart w:id="170" w:name="_Toc181436570"/>
      <w:bookmarkStart w:id="171" w:name="_Toc273178703"/>
      <w:bookmarkStart w:id="172" w:name="_Toc267059658"/>
      <w:bookmarkStart w:id="173" w:name="_Toc213756001"/>
      <w:bookmarkStart w:id="174" w:name="_Toc213756057"/>
      <w:bookmarkStart w:id="175" w:name="_Toc236021457"/>
      <w:bookmarkStart w:id="176" w:name="_Toc223146614"/>
      <w:bookmarkStart w:id="177" w:name="_Toc213208771"/>
      <w:bookmarkStart w:id="178" w:name="_Toc192996451"/>
      <w:bookmarkStart w:id="179" w:name="_Toc169332954"/>
      <w:bookmarkStart w:id="180" w:name="_Toc266868679"/>
      <w:bookmarkStart w:id="181" w:name="_Toc213755864"/>
    </w:p>
    <w:p>
      <w:pPr>
        <w:spacing w:line="380" w:lineRule="exact"/>
        <w:ind w:right="1120" w:firstLine="4200" w:firstLineChars="1500"/>
        <w:outlineLvl w:val="2"/>
        <w:rPr>
          <w:rFonts w:ascii="仿宋" w:hAnsi="仿宋" w:eastAsia="仿宋"/>
          <w:bCs/>
          <w:sz w:val="28"/>
          <w:szCs w:val="28"/>
          <w:u w:val="single"/>
        </w:rPr>
      </w:pPr>
    </w:p>
    <w:p>
      <w:pPr>
        <w:spacing w:line="380" w:lineRule="exact"/>
        <w:ind w:right="1120" w:firstLine="4200" w:firstLineChars="1500"/>
        <w:outlineLvl w:val="2"/>
        <w:rPr>
          <w:rFonts w:ascii="仿宋" w:hAnsi="仿宋" w:eastAsia="仿宋"/>
          <w:bCs/>
          <w:sz w:val="28"/>
          <w:szCs w:val="28"/>
          <w:u w:val="single"/>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7"/>
        <w:rPr>
          <w:rFonts w:ascii="仿宋" w:hAnsi="仿宋" w:eastAsia="仿宋"/>
          <w:szCs w:val="28"/>
        </w:rPr>
      </w:pPr>
    </w:p>
    <w:p>
      <w:pPr>
        <w:spacing w:line="380" w:lineRule="exact"/>
        <w:jc w:val="center"/>
        <w:outlineLvl w:val="2"/>
        <w:rPr>
          <w:rFonts w:ascii="仿宋" w:hAnsi="仿宋" w:eastAsia="仿宋"/>
          <w:b/>
          <w:color w:val="auto"/>
          <w:sz w:val="28"/>
          <w:szCs w:val="28"/>
        </w:rPr>
      </w:pPr>
      <w:bookmarkStart w:id="182" w:name="_Toc217891409"/>
      <w:bookmarkStart w:id="183" w:name="_Toc232302123"/>
      <w:bookmarkStart w:id="184" w:name="_Toc267060217"/>
      <w:bookmarkStart w:id="185" w:name="_Toc249325721"/>
      <w:bookmarkStart w:id="186" w:name="_Toc235438353"/>
      <w:bookmarkStart w:id="187" w:name="_Toc251586242"/>
      <w:bookmarkStart w:id="188" w:name="_Toc235437999"/>
      <w:bookmarkStart w:id="189" w:name="_Toc259692657"/>
      <w:bookmarkStart w:id="190" w:name="_Toc259520875"/>
      <w:bookmarkStart w:id="191" w:name="_Toc254790910"/>
      <w:bookmarkStart w:id="192" w:name="_Toc259692750"/>
      <w:bookmarkStart w:id="193" w:name="_Toc266868680"/>
      <w:bookmarkStart w:id="194" w:name="_Toc251613840"/>
      <w:bookmarkStart w:id="195" w:name="_Toc223146615"/>
      <w:bookmarkStart w:id="196" w:name="_Toc230071154"/>
      <w:bookmarkStart w:id="197" w:name="_Toc235438282"/>
      <w:bookmarkStart w:id="198" w:name="_Toc253066625"/>
      <w:bookmarkStart w:id="199" w:name="_Toc225669329"/>
      <w:bookmarkStart w:id="200" w:name="_Toc227058537"/>
      <w:bookmarkStart w:id="201" w:name="_Toc236021458"/>
      <w:bookmarkStart w:id="202" w:name="_Toc219800250"/>
      <w:bookmarkStart w:id="203" w:name="_Toc267060077"/>
      <w:bookmarkStart w:id="204" w:name="_Toc258401266"/>
      <w:bookmarkStart w:id="205" w:name="_Toc213756058"/>
      <w:bookmarkStart w:id="206" w:name="_Toc267060462"/>
      <w:bookmarkStart w:id="207" w:name="_Toc255975017"/>
      <w:bookmarkStart w:id="208" w:name="_Toc266870442"/>
      <w:bookmarkStart w:id="209" w:name="_Toc266870917"/>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val="en-US" w:eastAsia="zh-CN"/>
        </w:rPr>
        <w:t>，</w:t>
      </w:r>
      <w:r>
        <w:rPr>
          <w:rFonts w:hint="eastAsia" w:ascii="仿宋" w:hAnsi="仿宋" w:eastAsia="仿宋"/>
          <w:color w:val="auto"/>
          <w:sz w:val="28"/>
          <w:szCs w:val="28"/>
        </w:rPr>
        <w:t>随报价响应文件</w:t>
      </w:r>
      <w:r>
        <w:rPr>
          <w:rFonts w:hint="eastAsia" w:ascii="仿宋" w:hAnsi="仿宋" w:eastAsia="仿宋"/>
          <w:sz w:val="28"/>
          <w:szCs w:val="28"/>
        </w:rPr>
        <w:t>一同递交。</w:t>
      </w:r>
    </w:p>
    <w:p>
      <w:pPr>
        <w:spacing w:after="0" w:line="500" w:lineRule="exact"/>
        <w:ind w:firstLine="560" w:firstLineChars="200"/>
        <w:rPr>
          <w:rFonts w:ascii="仿宋" w:hAnsi="仿宋" w:eastAsia="仿宋"/>
          <w:color w:val="auto"/>
          <w:sz w:val="28"/>
          <w:szCs w:val="28"/>
        </w:rPr>
      </w:pP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59520876"/>
      <w:bookmarkStart w:id="212" w:name="_Toc266870443"/>
      <w:bookmarkStart w:id="213" w:name="_Toc249325722"/>
      <w:bookmarkStart w:id="214" w:name="_Toc259692658"/>
      <w:bookmarkStart w:id="215" w:name="_Toc266870918"/>
      <w:bookmarkStart w:id="216" w:name="_Toc236021459"/>
      <w:bookmarkStart w:id="217" w:name="_Toc227058538"/>
      <w:bookmarkStart w:id="218" w:name="_Toc235438354"/>
      <w:bookmarkStart w:id="219" w:name="_Toc235438000"/>
      <w:bookmarkStart w:id="220" w:name="_Toc255975018"/>
      <w:bookmarkStart w:id="221" w:name="_Toc253066626"/>
      <w:bookmarkStart w:id="222" w:name="_Toc223146616"/>
      <w:bookmarkStart w:id="223" w:name="_Toc230071155"/>
      <w:bookmarkStart w:id="224" w:name="_Toc259692751"/>
      <w:bookmarkStart w:id="225" w:name="_Toc258401267"/>
      <w:bookmarkStart w:id="226" w:name="_Toc225669330"/>
      <w:bookmarkStart w:id="227" w:name="_Toc266868681"/>
      <w:bookmarkStart w:id="228" w:name="_Toc232302124"/>
      <w:bookmarkStart w:id="229" w:name="_Toc213756059"/>
      <w:bookmarkStart w:id="230" w:name="_Toc219800251"/>
      <w:bookmarkStart w:id="231" w:name="_Toc251586243"/>
      <w:bookmarkStart w:id="232" w:name="_Toc251613841"/>
      <w:bookmarkStart w:id="233" w:name="_Toc235438283"/>
      <w:bookmarkStart w:id="234" w:name="_Toc254790911"/>
      <w:bookmarkStart w:id="235" w:name="_Toc217891410"/>
    </w:p>
    <w:p>
      <w:pPr>
        <w:jc w:val="center"/>
        <w:outlineLvl w:val="1"/>
        <w:rPr>
          <w:rFonts w:hint="eastAsia"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191802698"/>
      <w:bookmarkStart w:id="237" w:name="_Toc258401270"/>
      <w:bookmarkStart w:id="238" w:name="_Toc192663694"/>
      <w:bookmarkStart w:id="239" w:name="_Toc259692754"/>
      <w:bookmarkStart w:id="240" w:name="_Toc182372790"/>
      <w:bookmarkStart w:id="241" w:name="_Toc192663843"/>
      <w:bookmarkStart w:id="242" w:name="_Toc255975021"/>
      <w:bookmarkStart w:id="243" w:name="_Toc259692661"/>
      <w:bookmarkStart w:id="244" w:name="_Toc169332846"/>
      <w:bookmarkStart w:id="245" w:name="_Toc258401272"/>
      <w:bookmarkStart w:id="246" w:name="_Toc259692756"/>
      <w:bookmarkStart w:id="247" w:name="_Toc266870446"/>
      <w:bookmarkStart w:id="248" w:name="_Toc182805225"/>
      <w:bookmarkStart w:id="249" w:name="_Toc160880168"/>
      <w:bookmarkStart w:id="250" w:name="_Toc266870921"/>
      <w:bookmarkStart w:id="251" w:name="_Toc181436469"/>
      <w:bookmarkStart w:id="252" w:name="_Toc191789337"/>
      <w:bookmarkStart w:id="253" w:name="_Toc267060465"/>
      <w:bookmarkStart w:id="254" w:name="_Toc180302921"/>
      <w:bookmarkStart w:id="255" w:name="_Toc191803634"/>
      <w:bookmarkStart w:id="256" w:name="_Toc267060466"/>
      <w:bookmarkStart w:id="257" w:name="_Toc266870922"/>
      <w:bookmarkStart w:id="258" w:name="_Toc203355741"/>
      <w:bookmarkStart w:id="259" w:name="_Toc236021462"/>
      <w:bookmarkStart w:id="260" w:name="_Toc192664161"/>
      <w:bookmarkStart w:id="261" w:name="_Toc192996454"/>
      <w:bookmarkStart w:id="262" w:name="_Toc170798801"/>
      <w:bookmarkStart w:id="263" w:name="_Toc259692663"/>
      <w:bookmarkStart w:id="264" w:name="_Toc191783230"/>
      <w:bookmarkStart w:id="265" w:name="_Toc267060080"/>
      <w:bookmarkStart w:id="266" w:name="_Toc232302127"/>
      <w:bookmarkStart w:id="267" w:name="_Toc266870447"/>
      <w:bookmarkStart w:id="268" w:name="_Toc235438286"/>
      <w:bookmarkStart w:id="269" w:name="_Toc254790916"/>
      <w:bookmarkStart w:id="270" w:name="_Toc160880537"/>
      <w:bookmarkStart w:id="271" w:name="_Toc249325725"/>
      <w:bookmarkStart w:id="272" w:name="_Toc255975023"/>
      <w:bookmarkStart w:id="273" w:name="_Toc193160456"/>
      <w:bookmarkStart w:id="274" w:name="_Toc267060221"/>
      <w:bookmarkStart w:id="275" w:name="_Toc235438357"/>
      <w:bookmarkStart w:id="276" w:name="_Toc235438003"/>
      <w:bookmarkStart w:id="277" w:name="_Toc181436573"/>
      <w:bookmarkStart w:id="278" w:name="_Toc169332957"/>
      <w:bookmarkStart w:id="279" w:name="_Toc266868686"/>
      <w:bookmarkStart w:id="280" w:name="_Toc259520879"/>
      <w:bookmarkStart w:id="281" w:name="_Toc211917124"/>
      <w:bookmarkStart w:id="282" w:name="_Toc266868684"/>
      <w:bookmarkStart w:id="283" w:name="_Toc251586246"/>
      <w:bookmarkStart w:id="284" w:name="_Toc192996346"/>
      <w:bookmarkStart w:id="285" w:name="_Toc267060220"/>
      <w:bookmarkStart w:id="286" w:name="_Toc177985477"/>
      <w:bookmarkStart w:id="287" w:name="_Toc254790914"/>
      <w:bookmarkStart w:id="288" w:name="_Toc253066629"/>
      <w:bookmarkStart w:id="289" w:name="_Toc267060081"/>
      <w:bookmarkStart w:id="290" w:name="_Toc193165742"/>
      <w:bookmarkStart w:id="291" w:name="_Toc251613844"/>
      <w:bookmarkStart w:id="292" w:name="_Toc259520881"/>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auto"/>
          <w:sz w:val="28"/>
          <w:szCs w:val="28"/>
        </w:rPr>
      </w:pPr>
      <w:bookmarkStart w:id="293" w:name="_Toc267059545"/>
      <w:bookmarkStart w:id="294" w:name="_Toc266870923"/>
      <w:bookmarkStart w:id="295" w:name="_Toc266868944"/>
      <w:bookmarkStart w:id="296" w:name="_Toc259520882"/>
      <w:bookmarkStart w:id="297" w:name="_Toc236021463"/>
      <w:bookmarkStart w:id="298" w:name="_Toc253066630"/>
      <w:bookmarkStart w:id="299" w:name="_Toc267060082"/>
      <w:bookmarkStart w:id="300" w:name="_Toc266870840"/>
      <w:bookmarkStart w:id="301" w:name="_Toc258401273"/>
      <w:bookmarkStart w:id="302" w:name="_Toc267060467"/>
      <w:bookmarkStart w:id="303" w:name="_Toc266868687"/>
      <w:bookmarkStart w:id="304" w:name="_Toc267059925"/>
      <w:bookmarkStart w:id="305" w:name="_Toc267059812"/>
      <w:bookmarkStart w:id="306" w:name="_Toc273178704"/>
      <w:bookmarkStart w:id="307" w:name="_Toc259692757"/>
      <w:bookmarkStart w:id="308" w:name="_Toc267059036"/>
      <w:bookmarkStart w:id="309" w:name="_Toc232302128"/>
      <w:bookmarkStart w:id="310" w:name="_Toc235438358"/>
      <w:bookmarkStart w:id="311" w:name="_Toc249325726"/>
      <w:bookmarkStart w:id="312" w:name="_Toc235438287"/>
      <w:bookmarkStart w:id="313" w:name="_Toc267059187"/>
      <w:bookmarkStart w:id="314" w:name="_Toc259692664"/>
      <w:bookmarkStart w:id="315" w:name="_Toc267060327"/>
      <w:bookmarkStart w:id="316" w:name="_Toc255975024"/>
      <w:bookmarkStart w:id="317" w:name="_Toc251613845"/>
      <w:bookmarkStart w:id="318" w:name="_Toc251586247"/>
      <w:bookmarkStart w:id="319" w:name="_Toc235438004"/>
      <w:bookmarkStart w:id="320" w:name="_Toc267059659"/>
      <w:bookmarkStart w:id="321" w:name="_Toc266870448"/>
      <w:bookmarkStart w:id="322" w:name="_Toc267060222"/>
      <w:bookmarkStart w:id="323" w:name="_Toc254790917"/>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spacing w:after="0" w:line="480" w:lineRule="exact"/>
        <w:ind w:firstLine="570"/>
        <w:jc w:val="both"/>
        <w:rPr>
          <w:rFonts w:ascii="仿宋" w:hAnsi="仿宋" w:eastAsia="仿宋"/>
          <w:color w:val="FF0000"/>
          <w:sz w:val="28"/>
          <w:szCs w:val="28"/>
        </w:rPr>
      </w:pPr>
    </w:p>
    <w:p>
      <w:pPr>
        <w:widowControl w:val="0"/>
        <w:spacing w:after="0" w:line="240" w:lineRule="auto"/>
        <w:ind w:left="420"/>
        <w:jc w:val="center"/>
        <w:outlineLvl w:val="1"/>
        <w:rPr>
          <w:rFonts w:ascii="仿宋" w:hAnsi="仿宋" w:eastAsia="仿宋"/>
          <w:b/>
          <w:color w:val="FF0000"/>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420" w:lineRule="exact"/>
        <w:ind w:firstLine="426"/>
        <w:rPr>
          <w:rFonts w:hint="eastAsia" w:ascii="仿宋" w:hAnsi="仿宋" w:eastAsia="仿宋"/>
          <w:sz w:val="28"/>
          <w:szCs w:val="28"/>
          <w:u w:val="single"/>
        </w:rPr>
      </w:pPr>
    </w:p>
    <w:p>
      <w:pPr>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进校需报备，请提前一天将进校人员信息发至微信账号：13610240607（请备注公司名称+姓名+项目名称）。（以文字形式提交即可）：</w:t>
      </w:r>
    </w:p>
    <w:p>
      <w:pPr>
        <w:keepNext w:val="0"/>
        <w:keepLines w:val="0"/>
        <w:pageBreakBefore w:val="0"/>
        <w:widowControl/>
        <w:kinsoku/>
        <w:wordWrap/>
        <w:overflowPunct/>
        <w:topLinePunct w:val="0"/>
        <w:autoSpaceDE/>
        <w:autoSpaceDN/>
        <w:bidi w:val="0"/>
        <w:adjustRightInd/>
        <w:snapToGrid/>
        <w:spacing w:after="0" w:line="44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申请入校报备</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入校事由：</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入校时间：</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车辆信息：</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rPr>
      </w:pPr>
      <w:r>
        <w:rPr>
          <w:rFonts w:hint="eastAsia" w:ascii="仿宋" w:hAnsi="仿宋" w:eastAsia="仿宋" w:cs="仿宋"/>
          <w:sz w:val="28"/>
          <w:szCs w:val="28"/>
        </w:rPr>
        <w:t>人员名单：</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报备部门：</w:t>
      </w:r>
      <w:r>
        <w:rPr>
          <w:rFonts w:hint="eastAsia" w:ascii="仿宋" w:hAnsi="仿宋" w:eastAsia="仿宋" w:cs="仿宋"/>
          <w:sz w:val="28"/>
          <w:szCs w:val="28"/>
          <w:lang w:val="en-US" w:eastAsia="zh-CN"/>
        </w:rPr>
        <w:t>采购办公室</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申请人：</w:t>
      </w:r>
      <w:r>
        <w:rPr>
          <w:rFonts w:hint="eastAsia" w:ascii="仿宋" w:hAnsi="仿宋" w:eastAsia="仿宋" w:cs="仿宋"/>
          <w:sz w:val="28"/>
          <w:szCs w:val="28"/>
          <w:lang w:val="en-US" w:eastAsia="zh-CN"/>
        </w:rPr>
        <w:t>黄天纬</w:t>
      </w:r>
    </w:p>
    <w:p>
      <w:pPr>
        <w:keepNext w:val="0"/>
        <w:keepLines w:val="0"/>
        <w:pageBreakBefore w:val="0"/>
        <w:widowControl/>
        <w:kinsoku/>
        <w:wordWrap/>
        <w:overflowPunct/>
        <w:topLinePunct w:val="0"/>
        <w:autoSpaceDE/>
        <w:autoSpaceDN/>
        <w:bidi w:val="0"/>
        <w:adjustRightInd/>
        <w:snapToGrid/>
        <w:spacing w:after="0" w:line="44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rPr>
        <w:t>联系电话：</w:t>
      </w:r>
      <w:r>
        <w:rPr>
          <w:rFonts w:hint="eastAsia" w:ascii="仿宋" w:hAnsi="仿宋" w:eastAsia="仿宋" w:cs="仿宋"/>
          <w:sz w:val="28"/>
          <w:szCs w:val="28"/>
          <w:lang w:val="en-US" w:eastAsia="zh-CN"/>
        </w:rPr>
        <w:t>13610240607</w:t>
      </w:r>
    </w:p>
    <w:p>
      <w:pPr>
        <w:spacing w:line="420" w:lineRule="exact"/>
        <w:ind w:firstLine="426"/>
        <w:rPr>
          <w:rFonts w:hint="default" w:ascii="仿宋" w:hAnsi="仿宋" w:eastAsia="仿宋"/>
          <w:sz w:val="28"/>
          <w:szCs w:val="28"/>
          <w:lang w:val="en-US" w:eastAsia="zh-CN"/>
        </w:rPr>
      </w:pPr>
    </w:p>
    <w:sectPr>
      <w:headerReference r:id="rId11" w:type="first"/>
      <w:headerReference r:id="rId10" w:type="default"/>
      <w:footerReference r:id="rId12" w:type="default"/>
      <w:type w:val="continuous"/>
      <w:pgSz w:w="11906" w:h="16838"/>
      <w:pgMar w:top="1440" w:right="1416" w:bottom="1440" w:left="1134" w:header="851" w:footer="992" w:gutter="0"/>
      <w:pgNumType w:fmt="decimal"/>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rPr>
                        <w:rFonts w:hint="eastAsia" w:eastAsiaTheme="minorEastAsia"/>
                        <w:lang w:eastAsia="zh-CN"/>
                      </w:rPr>
                    </w:pPr>
                    <w:r>
                      <w:rPr>
                        <w:rFonts w:hint="eastAsia" w:ascii="仿宋" w:hAnsi="仿宋" w:eastAsia="仿宋" w:cs="仿宋"/>
                        <w:lang w:eastAsia="zh-CN"/>
                      </w:rPr>
                      <w:t xml:space="preserve">第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3</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jc w:val="center"/>
                      <w:rPr>
                        <w:rFonts w:hint="eastAsia" w:eastAsiaTheme="minorEastAsia"/>
                        <w:lang w:eastAsia="zh-CN"/>
                      </w:rPr>
                    </w:pPr>
                    <w:r>
                      <w:rPr>
                        <w:rFonts w:hint="eastAsia"/>
                        <w:lang w:eastAsia="zh-CN"/>
                      </w:rPr>
                      <w:t>第</w:t>
                    </w:r>
                    <w:r>
                      <w:rPr>
                        <w:rFonts w:hint="eastAsia" w:ascii="仿宋" w:hAnsi="仿宋" w:eastAsia="仿宋" w:cs="仿宋"/>
                        <w:lang w:eastAsia="zh-CN"/>
                      </w:rPr>
                      <w:t xml:space="preserve"> </w:t>
                    </w:r>
                    <w:r>
                      <w:rPr>
                        <w:rFonts w:hint="eastAsia" w:ascii="仿宋" w:hAnsi="仿宋" w:eastAsia="仿宋" w:cs="仿宋"/>
                        <w:lang w:eastAsia="zh-CN"/>
                      </w:rPr>
                      <w:fldChar w:fldCharType="begin"/>
                    </w:r>
                    <w:r>
                      <w:rPr>
                        <w:rFonts w:hint="eastAsia" w:ascii="仿宋" w:hAnsi="仿宋" w:eastAsia="仿宋" w:cs="仿宋"/>
                        <w:lang w:eastAsia="zh-CN"/>
                      </w:rPr>
                      <w:instrText xml:space="preserve"> PAGE  \* MERGEFORMAT </w:instrText>
                    </w:r>
                    <w:r>
                      <w:rPr>
                        <w:rFonts w:hint="eastAsia" w:ascii="仿宋" w:hAnsi="仿宋" w:eastAsia="仿宋" w:cs="仿宋"/>
                        <w:lang w:eastAsia="zh-CN"/>
                      </w:rPr>
                      <w:fldChar w:fldCharType="separate"/>
                    </w:r>
                    <w:r>
                      <w:rPr>
                        <w:rFonts w:hint="eastAsia" w:ascii="仿宋" w:hAnsi="仿宋" w:eastAsia="仿宋" w:cs="仿宋"/>
                        <w:lang w:eastAsia="zh-CN"/>
                      </w:rPr>
                      <w:t>8</w:t>
                    </w:r>
                    <w:r>
                      <w:rPr>
                        <w:rFonts w:hint="eastAsia" w:ascii="仿宋" w:hAnsi="仿宋" w:eastAsia="仿宋" w:cs="仿宋"/>
                        <w:lang w:eastAsia="zh-CN"/>
                      </w:rPr>
                      <w:fldChar w:fldCharType="end"/>
                    </w:r>
                    <w:r>
                      <w:rPr>
                        <w:rFonts w:hint="eastAsia" w:ascii="仿宋" w:hAnsi="仿宋" w:eastAsia="仿宋" w:cs="仿宋"/>
                        <w:lang w:eastAsia="zh-CN"/>
                      </w:rPr>
                      <w:t xml:space="preserve"> 页 共 </w:t>
                    </w:r>
                    <w:r>
                      <w:rPr>
                        <w:rFonts w:hint="eastAsia" w:ascii="仿宋" w:hAnsi="仿宋" w:eastAsia="仿宋" w:cs="仿宋"/>
                        <w:lang w:eastAsia="zh-CN"/>
                      </w:rPr>
                      <w:fldChar w:fldCharType="begin"/>
                    </w:r>
                    <w:r>
                      <w:rPr>
                        <w:rFonts w:hint="eastAsia" w:ascii="仿宋" w:hAnsi="仿宋" w:eastAsia="仿宋" w:cs="仿宋"/>
                        <w:lang w:eastAsia="zh-CN"/>
                      </w:rPr>
                      <w:instrText xml:space="preserve"> NUMPAGES  \* MERGEFORMAT </w:instrText>
                    </w:r>
                    <w:r>
                      <w:rPr>
                        <w:rFonts w:hint="eastAsia" w:ascii="仿宋" w:hAnsi="仿宋" w:eastAsia="仿宋" w:cs="仿宋"/>
                        <w:lang w:eastAsia="zh-CN"/>
                      </w:rPr>
                      <w:fldChar w:fldCharType="separate"/>
                    </w:r>
                    <w:r>
                      <w:rPr>
                        <w:rFonts w:hint="eastAsia" w:ascii="仿宋" w:hAnsi="仿宋" w:eastAsia="仿宋" w:cs="仿宋"/>
                        <w:lang w:eastAsia="zh-CN"/>
                      </w:rPr>
                      <w:t>11</w:t>
                    </w:r>
                    <w:r>
                      <w:rPr>
                        <w:rFonts w:hint="eastAsia" w:ascii="仿宋" w:hAnsi="仿宋" w:eastAsia="仿宋" w:cs="仿宋"/>
                        <w:lang w:eastAsia="zh-CN"/>
                      </w:rPr>
                      <w:fldChar w:fldCharType="end"/>
                    </w:r>
                    <w:r>
                      <w:rPr>
                        <w:rFonts w:hint="eastAsia" w:ascii="仿宋" w:hAnsi="仿宋" w:eastAsia="仿宋" w:cs="仿宋"/>
                        <w:lang w:eastAsia="zh-CN"/>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ascii="仿宋" w:hAnsi="仿宋" w:eastAsia="仿宋" w:cs="仿宋"/>
        <w:sz w:val="21"/>
        <w:szCs w:val="21"/>
      </w:rPr>
      <w:t>广州应用科技学院关于</w:t>
    </w:r>
    <w:r>
      <w:rPr>
        <w:rFonts w:hint="eastAsia" w:ascii="仿宋" w:hAnsi="仿宋" w:eastAsia="仿宋" w:cs="仿宋"/>
        <w:sz w:val="21"/>
        <w:szCs w:val="21"/>
        <w:lang w:val="en-US" w:eastAsia="zh-CN"/>
      </w:rPr>
      <w:t>肇庆校区法学、行政管理教学实验室中文速录机采购项目</w:t>
    </w:r>
    <w:r>
      <w:rPr>
        <w:rFonts w:hint="eastAsia" w:ascii="仿宋" w:hAnsi="仿宋" w:eastAsia="仿宋" w:cs="仿宋"/>
        <w:sz w:val="21"/>
        <w:szCs w:val="21"/>
        <w:lang w:eastAsia="zh-CN"/>
      </w:rPr>
      <w:t>（</w:t>
    </w:r>
    <w:r>
      <w:rPr>
        <w:rFonts w:hint="eastAsia" w:ascii="仿宋" w:hAnsi="仿宋" w:eastAsia="仿宋" w:cs="仿宋"/>
        <w:sz w:val="21"/>
        <w:szCs w:val="21"/>
        <w:lang w:val="en-US" w:eastAsia="zh-CN"/>
      </w:rPr>
      <w:t>项目编号：A-XJ2021-38</w:t>
    </w:r>
    <w:r>
      <w:rPr>
        <w:rFonts w:hint="eastAsia" w:ascii="仿宋" w:hAnsi="仿宋" w:eastAsia="仿宋" w:cs="仿宋"/>
        <w:sz w:val="21"/>
        <w:szCs w:val="21"/>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CC23B77"/>
    <w:multiLevelType w:val="singleLevel"/>
    <w:tmpl w:val="6CC23B7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D85B1E"/>
    <w:rsid w:val="00E11567"/>
    <w:rsid w:val="00E3310A"/>
    <w:rsid w:val="00E33B9E"/>
    <w:rsid w:val="00E33C1C"/>
    <w:rsid w:val="00E95973"/>
    <w:rsid w:val="00ED2437"/>
    <w:rsid w:val="00EE3803"/>
    <w:rsid w:val="00F0149B"/>
    <w:rsid w:val="00F8646A"/>
    <w:rsid w:val="00F876DE"/>
    <w:rsid w:val="00FF1750"/>
    <w:rsid w:val="02244E55"/>
    <w:rsid w:val="08BB213F"/>
    <w:rsid w:val="0A0B5492"/>
    <w:rsid w:val="0BD612F1"/>
    <w:rsid w:val="0C3C4120"/>
    <w:rsid w:val="0F6A41A3"/>
    <w:rsid w:val="0FD26D28"/>
    <w:rsid w:val="13E504DB"/>
    <w:rsid w:val="142E0708"/>
    <w:rsid w:val="16C7217A"/>
    <w:rsid w:val="17616700"/>
    <w:rsid w:val="1811494B"/>
    <w:rsid w:val="1ACD014D"/>
    <w:rsid w:val="1FDD3483"/>
    <w:rsid w:val="239F7840"/>
    <w:rsid w:val="23FE6301"/>
    <w:rsid w:val="26DF4423"/>
    <w:rsid w:val="27964607"/>
    <w:rsid w:val="27A07F2B"/>
    <w:rsid w:val="294127F8"/>
    <w:rsid w:val="2CB50DBB"/>
    <w:rsid w:val="2F8136A5"/>
    <w:rsid w:val="2FAE64E8"/>
    <w:rsid w:val="335E21A4"/>
    <w:rsid w:val="34431552"/>
    <w:rsid w:val="34C418F8"/>
    <w:rsid w:val="34E95998"/>
    <w:rsid w:val="3AC807DA"/>
    <w:rsid w:val="3BA16338"/>
    <w:rsid w:val="3E344EC8"/>
    <w:rsid w:val="403A679B"/>
    <w:rsid w:val="40491655"/>
    <w:rsid w:val="40E45A7F"/>
    <w:rsid w:val="42BD1856"/>
    <w:rsid w:val="43B61140"/>
    <w:rsid w:val="47373F20"/>
    <w:rsid w:val="4BFC4A20"/>
    <w:rsid w:val="4ED06955"/>
    <w:rsid w:val="4FB63AAB"/>
    <w:rsid w:val="501336C3"/>
    <w:rsid w:val="511D0148"/>
    <w:rsid w:val="514C4E8D"/>
    <w:rsid w:val="53DA0312"/>
    <w:rsid w:val="55615240"/>
    <w:rsid w:val="580130AC"/>
    <w:rsid w:val="5E6358A4"/>
    <w:rsid w:val="605E5BC9"/>
    <w:rsid w:val="63DB1D8E"/>
    <w:rsid w:val="664711C8"/>
    <w:rsid w:val="68BC091D"/>
    <w:rsid w:val="68E85FBB"/>
    <w:rsid w:val="721B2883"/>
    <w:rsid w:val="742E3E4E"/>
    <w:rsid w:val="75625D3A"/>
    <w:rsid w:val="77632489"/>
    <w:rsid w:val="7A36226A"/>
    <w:rsid w:val="7B59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9"/>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30"/>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1"/>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2"/>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3"/>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4"/>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5"/>
    <w:semiHidden/>
    <w:unhideWhenUsed/>
    <w:qFormat/>
    <w:uiPriority w:val="9"/>
    <w:pPr>
      <w:keepNext/>
      <w:keepLines/>
      <w:spacing w:before="120" w:after="0"/>
      <w:outlineLvl w:val="6"/>
    </w:pPr>
    <w:rPr>
      <w:i/>
      <w:iCs/>
    </w:rPr>
  </w:style>
  <w:style w:type="paragraph" w:styleId="9">
    <w:name w:val="heading 8"/>
    <w:basedOn w:val="1"/>
    <w:next w:val="1"/>
    <w:link w:val="36"/>
    <w:semiHidden/>
    <w:unhideWhenUsed/>
    <w:qFormat/>
    <w:uiPriority w:val="9"/>
    <w:pPr>
      <w:keepNext/>
      <w:keepLines/>
      <w:spacing w:before="120" w:after="0"/>
      <w:outlineLvl w:val="7"/>
    </w:pPr>
    <w:rPr>
      <w:b/>
      <w:bCs/>
    </w:rPr>
  </w:style>
  <w:style w:type="paragraph" w:styleId="10">
    <w:name w:val="heading 9"/>
    <w:basedOn w:val="1"/>
    <w:next w:val="1"/>
    <w:link w:val="37"/>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9"/>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8"/>
    <w:unhideWhenUsed/>
    <w:qFormat/>
    <w:uiPriority w:val="0"/>
    <w:rPr>
      <w:rFonts w:hAnsi="Courier New" w:cs="Courier New" w:asciiTheme="minorEastAsia"/>
    </w:rPr>
  </w:style>
  <w:style w:type="paragraph" w:styleId="16">
    <w:name w:val="footer"/>
    <w:basedOn w:val="1"/>
    <w:link w:val="54"/>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9"/>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6"/>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8"/>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semiHidden/>
    <w:unhideWhenUsed/>
    <w:qFormat/>
    <w:uiPriority w:val="99"/>
    <w:rPr>
      <w:color w:val="0000FF"/>
      <w:u w:val="single"/>
    </w:rPr>
  </w:style>
  <w:style w:type="character" w:customStyle="1" w:styleId="29">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30">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1">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2">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3">
    <w:name w:val="标题 5 字符"/>
    <w:basedOn w:val="25"/>
    <w:link w:val="6"/>
    <w:semiHidden/>
    <w:qFormat/>
    <w:uiPriority w:val="9"/>
    <w:rPr>
      <w:rFonts w:asciiTheme="majorHAnsi" w:hAnsiTheme="majorHAnsi" w:eastAsiaTheme="majorEastAsia" w:cstheme="majorBidi"/>
      <w:b/>
      <w:bCs/>
    </w:rPr>
  </w:style>
  <w:style w:type="character" w:customStyle="1" w:styleId="34">
    <w:name w:val="标题 6 字符"/>
    <w:basedOn w:val="25"/>
    <w:link w:val="7"/>
    <w:semiHidden/>
    <w:qFormat/>
    <w:uiPriority w:val="9"/>
    <w:rPr>
      <w:rFonts w:asciiTheme="majorHAnsi" w:hAnsiTheme="majorHAnsi" w:eastAsiaTheme="majorEastAsia" w:cstheme="majorBidi"/>
      <w:b/>
      <w:bCs/>
      <w:i/>
      <w:iCs/>
    </w:rPr>
  </w:style>
  <w:style w:type="character" w:customStyle="1" w:styleId="35">
    <w:name w:val="标题 7 字符"/>
    <w:basedOn w:val="25"/>
    <w:link w:val="8"/>
    <w:semiHidden/>
    <w:qFormat/>
    <w:uiPriority w:val="9"/>
    <w:rPr>
      <w:i/>
      <w:iCs/>
    </w:rPr>
  </w:style>
  <w:style w:type="character" w:customStyle="1" w:styleId="36">
    <w:name w:val="标题 8 字符"/>
    <w:basedOn w:val="25"/>
    <w:link w:val="9"/>
    <w:semiHidden/>
    <w:qFormat/>
    <w:uiPriority w:val="9"/>
    <w:rPr>
      <w:b/>
      <w:bCs/>
    </w:rPr>
  </w:style>
  <w:style w:type="character" w:customStyle="1" w:styleId="37">
    <w:name w:val="标题 9 字符"/>
    <w:basedOn w:val="25"/>
    <w:link w:val="10"/>
    <w:semiHidden/>
    <w:qFormat/>
    <w:uiPriority w:val="9"/>
    <w:rPr>
      <w:i/>
      <w:iCs/>
    </w:rPr>
  </w:style>
  <w:style w:type="character" w:customStyle="1" w:styleId="38">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9">
    <w:name w:val="副标题 字符"/>
    <w:basedOn w:val="25"/>
    <w:link w:val="19"/>
    <w:qFormat/>
    <w:uiPriority w:val="11"/>
    <w:rPr>
      <w:rFonts w:asciiTheme="majorHAnsi" w:hAnsiTheme="majorHAnsi" w:eastAsiaTheme="majorEastAsia" w:cstheme="majorBidi"/>
      <w:sz w:val="24"/>
      <w:szCs w:val="24"/>
    </w:rPr>
  </w:style>
  <w:style w:type="paragraph" w:styleId="40">
    <w:name w:val="No Spacing"/>
    <w:link w:val="51"/>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1">
    <w:name w:val="Quote"/>
    <w:basedOn w:val="1"/>
    <w:next w:val="1"/>
    <w:link w:val="42"/>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2">
    <w:name w:val="引用 字符"/>
    <w:basedOn w:val="25"/>
    <w:link w:val="41"/>
    <w:qFormat/>
    <w:uiPriority w:val="29"/>
    <w:rPr>
      <w:rFonts w:asciiTheme="majorHAnsi" w:hAnsiTheme="majorHAnsi" w:eastAsiaTheme="majorEastAsia" w:cstheme="majorBidi"/>
      <w:i/>
      <w:iCs/>
      <w:sz w:val="24"/>
      <w:szCs w:val="24"/>
    </w:rPr>
  </w:style>
  <w:style w:type="paragraph" w:styleId="43">
    <w:name w:val="Intense Quote"/>
    <w:basedOn w:val="1"/>
    <w:next w:val="1"/>
    <w:link w:val="44"/>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4">
    <w:name w:val="明显引用 字符"/>
    <w:basedOn w:val="25"/>
    <w:link w:val="43"/>
    <w:qFormat/>
    <w:uiPriority w:val="30"/>
    <w:rPr>
      <w:rFonts w:asciiTheme="majorHAnsi" w:hAnsiTheme="majorHAnsi" w:eastAsiaTheme="majorEastAsia" w:cstheme="majorBidi"/>
      <w:sz w:val="26"/>
      <w:szCs w:val="26"/>
    </w:rPr>
  </w:style>
  <w:style w:type="character" w:customStyle="1" w:styleId="45">
    <w:name w:val="Subtle Emphasis"/>
    <w:basedOn w:val="25"/>
    <w:qFormat/>
    <w:uiPriority w:val="19"/>
    <w:rPr>
      <w:i/>
      <w:iCs/>
      <w:color w:val="auto"/>
    </w:rPr>
  </w:style>
  <w:style w:type="character" w:customStyle="1" w:styleId="46">
    <w:name w:val="Intense Emphasis"/>
    <w:basedOn w:val="25"/>
    <w:qFormat/>
    <w:uiPriority w:val="21"/>
    <w:rPr>
      <w:b/>
      <w:bCs/>
      <w:i/>
      <w:iCs/>
      <w:color w:val="auto"/>
    </w:rPr>
  </w:style>
  <w:style w:type="character" w:customStyle="1" w:styleId="47">
    <w:name w:val="Subtle Reference"/>
    <w:basedOn w:val="25"/>
    <w:qFormat/>
    <w:uiPriority w:val="31"/>
    <w:rPr>
      <w:smallCaps/>
      <w:color w:val="auto"/>
      <w:u w:val="single" w:color="7E7E7E" w:themeColor="text1" w:themeTint="80"/>
    </w:rPr>
  </w:style>
  <w:style w:type="character" w:customStyle="1" w:styleId="48">
    <w:name w:val="Intense Reference"/>
    <w:basedOn w:val="25"/>
    <w:qFormat/>
    <w:uiPriority w:val="32"/>
    <w:rPr>
      <w:b/>
      <w:bCs/>
      <w:smallCaps/>
      <w:color w:val="auto"/>
      <w:u w:val="single"/>
    </w:rPr>
  </w:style>
  <w:style w:type="character" w:customStyle="1" w:styleId="49">
    <w:name w:val="Book Title"/>
    <w:basedOn w:val="25"/>
    <w:qFormat/>
    <w:uiPriority w:val="33"/>
    <w:rPr>
      <w:b/>
      <w:bCs/>
      <w:smallCaps/>
      <w:color w:val="auto"/>
    </w:rPr>
  </w:style>
  <w:style w:type="paragraph" w:customStyle="1" w:styleId="50">
    <w:name w:val="TOC Heading"/>
    <w:basedOn w:val="2"/>
    <w:next w:val="1"/>
    <w:unhideWhenUsed/>
    <w:qFormat/>
    <w:uiPriority w:val="39"/>
    <w:pPr>
      <w:outlineLvl w:val="9"/>
    </w:pPr>
  </w:style>
  <w:style w:type="character" w:customStyle="1" w:styleId="51">
    <w:name w:val="无间隔 字符"/>
    <w:basedOn w:val="25"/>
    <w:link w:val="40"/>
    <w:qFormat/>
    <w:uiPriority w:val="1"/>
  </w:style>
  <w:style w:type="paragraph" w:customStyle="1" w:styleId="52">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3">
    <w:name w:val="页眉 字符"/>
    <w:basedOn w:val="25"/>
    <w:link w:val="17"/>
    <w:qFormat/>
    <w:uiPriority w:val="99"/>
    <w:rPr>
      <w:sz w:val="18"/>
      <w:szCs w:val="18"/>
    </w:rPr>
  </w:style>
  <w:style w:type="character" w:customStyle="1" w:styleId="54">
    <w:name w:val="页脚 字符"/>
    <w:basedOn w:val="25"/>
    <w:link w:val="16"/>
    <w:qFormat/>
    <w:uiPriority w:val="99"/>
    <w:rPr>
      <w:sz w:val="18"/>
      <w:szCs w:val="18"/>
    </w:rPr>
  </w:style>
  <w:style w:type="paragraph" w:styleId="55">
    <w:name w:val="List Paragraph"/>
    <w:basedOn w:val="1"/>
    <w:qFormat/>
    <w:uiPriority w:val="34"/>
    <w:pPr>
      <w:ind w:firstLine="420" w:firstLineChars="200"/>
    </w:pPr>
  </w:style>
  <w:style w:type="character" w:customStyle="1" w:styleId="56">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7">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8">
    <w:name w:val="纯文本 字符"/>
    <w:basedOn w:val="25"/>
    <w:link w:val="15"/>
    <w:semiHidden/>
    <w:qFormat/>
    <w:uiPriority w:val="99"/>
    <w:rPr>
      <w:rFonts w:hAnsi="Courier New" w:cs="Courier New" w:asciiTheme="minorEastAsia"/>
    </w:rPr>
  </w:style>
  <w:style w:type="character" w:customStyle="1" w:styleId="59">
    <w:name w:val="正文文本 字符"/>
    <w:basedOn w:val="25"/>
    <w:link w:val="13"/>
    <w:semiHidden/>
    <w:qFormat/>
    <w:uiPriority w:val="99"/>
  </w:style>
  <w:style w:type="character" w:customStyle="1" w:styleId="60">
    <w:name w:val="纯文本 Char"/>
    <w:qFormat/>
    <w:uiPriority w:val="0"/>
    <w:rPr>
      <w:rFonts w:ascii="宋体" w:hAnsi="Courier New" w:eastAsia="宋体"/>
      <w:kern w:val="2"/>
      <w:sz w:val="21"/>
      <w:lang w:val="en-US" w:eastAsia="zh-CN" w:bidi="ar-SA"/>
    </w:rPr>
  </w:style>
  <w:style w:type="character" w:customStyle="1" w:styleId="61">
    <w:name w:val="font31"/>
    <w:basedOn w:val="25"/>
    <w:uiPriority w:val="0"/>
    <w:rPr>
      <w:rFonts w:ascii="宋体" w:hAnsi="宋体" w:eastAsia="宋体" w:cs="宋体"/>
      <w:color w:val="000000"/>
      <w:sz w:val="20"/>
      <w:szCs w:val="20"/>
      <w:u w:val="none"/>
    </w:rPr>
  </w:style>
  <w:style w:type="character" w:customStyle="1" w:styleId="62">
    <w:name w:val="font0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0</TotalTime>
  <ScaleCrop>false</ScaleCrop>
  <LinksUpToDate>false</LinksUpToDate>
  <CharactersWithSpaces>3430</CharactersWithSpaces>
  <Application>WPS Office_11.1.0.10388_F1E327BC-269C-435d-A152-05C5408002CA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il雅琼</cp:lastModifiedBy>
  <dcterms:modified xsi:type="dcterms:W3CDTF">2021-09-30T01:33:59Z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2052-11.1.0.10388</vt:lpwstr>
  </property>
  <property fmtid="{D5CDD505-2E9C-101B-9397-08002B2CF9AE}" pid="3" name="ICV">
    <vt:lpwstr>D606C752E6F2433CB56A5C7EF0688588</vt:lpwstr>
  </property>
</Properties>
</file>