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182" w:name="_GoBack"/>
      <w:bookmarkEnd w:id="182"/>
    </w:p>
    <w:p>
      <w:pPr>
        <w:spacing w:line="1000" w:lineRule="exact"/>
        <w:jc w:val="center"/>
        <w:rPr>
          <w:rFonts w:hint="eastAsia" w:ascii="仿宋" w:hAnsi="仿宋" w:eastAsia="仿宋"/>
          <w:b/>
          <w:sz w:val="72"/>
          <w:szCs w:val="72"/>
          <w:lang w:eastAsia="zh-CN"/>
        </w:rPr>
      </w:pPr>
      <w:bookmarkStart w:id="0" w:name="_Hlk38472698"/>
      <w:r>
        <w:rPr>
          <w:rFonts w:hint="eastAsia" w:ascii="仿宋" w:hAnsi="仿宋" w:eastAsia="仿宋"/>
          <w:b/>
          <w:sz w:val="72"/>
          <w:szCs w:val="72"/>
          <w:lang w:eastAsia="zh-CN"/>
        </w:rPr>
        <w:t>烟台科技学院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关于监控设备采购</w:t>
      </w:r>
      <w:r>
        <w:rPr>
          <w:rFonts w:hint="eastAsia" w:ascii="仿宋" w:hAnsi="仿宋" w:eastAsia="仿宋"/>
          <w:b/>
          <w:color w:val="auto"/>
          <w:sz w:val="44"/>
          <w:szCs w:val="44"/>
          <w:lang w:eastAsia="zh-CN"/>
        </w:rPr>
        <w:t>与</w:t>
      </w:r>
      <w:r>
        <w:rPr>
          <w:rFonts w:hint="eastAsia" w:ascii="仿宋" w:hAnsi="仿宋" w:eastAsia="仿宋"/>
          <w:b/>
          <w:color w:val="auto"/>
          <w:sz w:val="44"/>
          <w:szCs w:val="44"/>
        </w:rPr>
        <w:t>安装项目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sz w:val="36"/>
          <w:szCs w:val="36"/>
        </w:rPr>
        <w:t>项目编</w:t>
      </w:r>
      <w:r>
        <w:rPr>
          <w:rFonts w:hint="eastAsia" w:ascii="仿宋" w:hAnsi="仿宋" w:eastAsia="仿宋"/>
          <w:b/>
          <w:color w:val="auto"/>
          <w:sz w:val="36"/>
          <w:szCs w:val="36"/>
        </w:rPr>
        <w:t>号：YKG2021008</w:t>
      </w:r>
    </w:p>
    <w:p>
      <w:pPr>
        <w:spacing w:line="500" w:lineRule="exact"/>
        <w:ind w:firstLine="2331" w:firstLineChars="645"/>
        <w:rPr>
          <w:rFonts w:hint="eastAsia" w:ascii="仿宋" w:hAnsi="仿宋" w:eastAsia="仿宋"/>
          <w:b/>
          <w:color w:val="auto"/>
          <w:sz w:val="36"/>
          <w:szCs w:val="36"/>
          <w:lang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118"/>
      <w:bookmarkStart w:id="2" w:name="_Toc160880485"/>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161"/>
      <w:bookmarkStart w:id="5" w:name="_Toc266868924"/>
      <w:bookmarkStart w:id="6" w:name="_Toc266870861"/>
      <w:bookmarkStart w:id="7" w:name="_Toc267059010"/>
      <w:bookmarkStart w:id="8" w:name="_Toc266870386"/>
      <w:bookmarkStart w:id="9" w:name="_Toc251586187"/>
      <w:bookmarkStart w:id="10" w:name="_Toc251613780"/>
      <w:bookmarkStart w:id="11" w:name="_Toc259692693"/>
      <w:bookmarkStart w:id="12" w:name="_Toc259520819"/>
      <w:bookmarkStart w:id="13" w:name="_Toc259692600"/>
      <w:bookmarkStart w:id="14" w:name="_Toc266868624"/>
      <w:bookmarkStart w:id="15" w:name="_Toc255974963"/>
      <w:bookmarkStart w:id="16" w:name="_Toc258401210"/>
      <w:bookmarkStart w:id="17" w:name="_Toc254790852"/>
      <w:bookmarkStart w:id="18" w:name="_Toc253066567"/>
      <w:bookmarkStart w:id="19" w:name="_Toc212530253"/>
      <w:bookmarkStart w:id="20" w:name="_Toc235438227"/>
      <w:bookmarkStart w:id="21" w:name="_Toc212526081"/>
      <w:bookmarkStart w:id="22" w:name="_Toc169332794"/>
      <w:bookmarkStart w:id="23" w:name="_Toc227058483"/>
      <w:bookmarkStart w:id="24" w:name="_Toc216241307"/>
      <w:bookmarkStart w:id="25" w:name="_Toc225669277"/>
      <w:bookmarkStart w:id="26" w:name="_Toc235437942"/>
      <w:bookmarkStart w:id="27" w:name="_Toc212456146"/>
      <w:bookmarkStart w:id="28" w:name="_Toc169332904"/>
      <w:bookmarkStart w:id="29" w:name="_Toc219800200"/>
      <w:bookmarkStart w:id="30" w:name="_Toc207014580"/>
      <w:bookmarkStart w:id="31" w:name="_Toc236021402"/>
      <w:bookmarkStart w:id="32" w:name="_Toc212454753"/>
      <w:bookmarkStart w:id="33" w:name="_Toc177985424"/>
      <w:bookmarkStart w:id="34" w:name="_Toc160880487"/>
      <w:bookmarkStart w:id="35" w:name="_Toc170798743"/>
      <w:bookmarkStart w:id="36" w:name="_Toc235438297"/>
      <w:bookmarkStart w:id="37" w:name="_Toc249325665"/>
      <w:bookmarkStart w:id="38" w:name="_Toc223146565"/>
      <w:bookmarkStart w:id="39" w:name="_Toc217891359"/>
      <w:bookmarkStart w:id="40" w:name="_Toc211937196"/>
      <w:bookmarkStart w:id="41" w:name="_Toc267059519"/>
      <w:bookmarkStart w:id="42" w:name="_Toc267059633"/>
      <w:bookmarkStart w:id="43" w:name="_Toc267059786"/>
      <w:bookmarkStart w:id="44" w:name="_Toc267059899"/>
      <w:bookmarkStart w:id="45" w:name="_Toc267060022"/>
      <w:bookmarkStart w:id="46" w:name="_Toc267060162"/>
      <w:bookmarkStart w:id="47" w:name="_Toc267060407"/>
      <w:bookmarkStart w:id="48" w:name="_Toc273178686"/>
      <w:r>
        <w:rPr>
          <w:rFonts w:hint="eastAsia" w:ascii="仿宋" w:hAnsi="仿宋" w:eastAsia="仿宋"/>
          <w:b/>
          <w:color w:val="auto"/>
          <w:sz w:val="36"/>
          <w:szCs w:val="36"/>
          <w:lang w:eastAsia="zh-CN"/>
        </w:rPr>
        <w:t>监控设备采购与安装项目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hint="eastAsia" w:ascii="仿宋" w:hAnsi="仿宋" w:eastAsia="仿宋"/>
          <w:sz w:val="28"/>
          <w:szCs w:val="28"/>
        </w:rPr>
      </w:pPr>
      <w:bookmarkStart w:id="49" w:name="_Hlk10840310"/>
      <w:r>
        <w:rPr>
          <w:rFonts w:hint="eastAsia" w:ascii="仿宋" w:hAnsi="仿宋" w:eastAsia="仿宋"/>
          <w:sz w:val="28"/>
          <w:szCs w:val="28"/>
        </w:rPr>
        <w:t>烟台科技学院（原济南大学泉城学院），是国家教育部和山东省人民政府批准成立的全日制普通本科高校。位于人间仙境</w:t>
      </w:r>
      <w:r>
        <w:rPr>
          <w:rFonts w:hint="eastAsia" w:ascii="仿宋" w:hAnsi="仿宋" w:eastAsia="仿宋"/>
          <w:sz w:val="28"/>
          <w:szCs w:val="28"/>
          <w:lang w:eastAsia="zh-CN"/>
        </w:rPr>
        <w:t>——</w:t>
      </w:r>
      <w:r>
        <w:rPr>
          <w:rFonts w:hint="eastAsia" w:ascii="仿宋" w:hAnsi="仿宋" w:eastAsia="仿宋"/>
          <w:sz w:val="28"/>
          <w:szCs w:val="28"/>
        </w:rPr>
        <w:t>山东蓬莱，现有全日制在校生15000余人，基础设施完备，教学科研条件优越。根据需要，对烟台科技学院监控设备采购与安装项目进行公开询价，欢迎国内合格参与人参与。</w:t>
      </w:r>
    </w:p>
    <w:p>
      <w:pPr>
        <w:numPr>
          <w:ilvl w:val="0"/>
          <w:numId w:val="1"/>
        </w:numPr>
        <w:spacing w:line="500" w:lineRule="exact"/>
        <w:rPr>
          <w:rFonts w:hint="eastAsia" w:ascii="仿宋" w:hAnsi="仿宋" w:eastAsia="仿宋"/>
          <w:color w:val="000000"/>
          <w:sz w:val="28"/>
          <w:szCs w:val="28"/>
        </w:rPr>
      </w:pPr>
      <w:r>
        <w:rPr>
          <w:rFonts w:hint="eastAsia" w:ascii="仿宋" w:hAnsi="仿宋" w:eastAsia="仿宋"/>
          <w:color w:val="000000"/>
          <w:sz w:val="28"/>
          <w:szCs w:val="28"/>
        </w:rPr>
        <w:t>项目说明</w:t>
      </w:r>
    </w:p>
    <w:p>
      <w:pPr>
        <w:numPr>
          <w:ilvl w:val="0"/>
          <w:numId w:val="2"/>
        </w:numPr>
        <w:spacing w:line="500" w:lineRule="exact"/>
        <w:rPr>
          <w:rFonts w:hint="eastAsia" w:ascii="仿宋" w:hAnsi="仿宋" w:eastAsia="仿宋" w:cstheme="minorBidi"/>
          <w:color w:val="auto"/>
          <w:sz w:val="28"/>
          <w:szCs w:val="28"/>
          <w:lang w:val="en-US" w:eastAsia="zh-CN" w:bidi="ar-SA"/>
        </w:rPr>
      </w:pPr>
      <w:r>
        <w:rPr>
          <w:rFonts w:hint="eastAsia" w:ascii="仿宋" w:hAnsi="仿宋" w:eastAsia="仿宋"/>
          <w:color w:val="auto"/>
          <w:sz w:val="28"/>
          <w:szCs w:val="28"/>
        </w:rPr>
        <w:t>项目编号：</w:t>
      </w:r>
      <w:r>
        <w:rPr>
          <w:rFonts w:hint="eastAsia" w:ascii="仿宋" w:hAnsi="仿宋" w:eastAsia="仿宋" w:cstheme="minorBidi"/>
          <w:color w:val="auto"/>
          <w:sz w:val="28"/>
          <w:szCs w:val="28"/>
          <w:lang w:val="en-US" w:eastAsia="zh-CN" w:bidi="ar-SA"/>
        </w:rPr>
        <w:t>YKG2021008</w:t>
      </w:r>
    </w:p>
    <w:p>
      <w:pPr>
        <w:numPr>
          <w:ilvl w:val="0"/>
          <w:numId w:val="2"/>
        </w:numPr>
        <w:spacing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stheme="minorBidi"/>
          <w:color w:val="auto"/>
          <w:sz w:val="28"/>
          <w:szCs w:val="28"/>
          <w:lang w:val="en-US" w:eastAsia="zh-CN" w:bidi="ar-SA"/>
        </w:rPr>
        <w:t>监控设备采购与安装项目</w:t>
      </w:r>
    </w:p>
    <w:p>
      <w:pPr>
        <w:numPr>
          <w:ilvl w:val="0"/>
          <w:numId w:val="2"/>
        </w:numPr>
        <w:spacing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eastAsia="zh-CN"/>
        </w:rPr>
        <w:t>货物一览表</w:t>
      </w:r>
      <w:r>
        <w:rPr>
          <w:rFonts w:hint="eastAsia" w:ascii="仿宋" w:hAnsi="仿宋" w:eastAsia="仿宋"/>
          <w:color w:val="auto"/>
          <w:sz w:val="28"/>
          <w:szCs w:val="28"/>
        </w:rPr>
        <w:t>》</w:t>
      </w:r>
    </w:p>
    <w:p>
      <w:pPr>
        <w:numPr>
          <w:ilvl w:val="0"/>
          <w:numId w:val="2"/>
        </w:numPr>
        <w:spacing w:line="500" w:lineRule="exact"/>
        <w:rPr>
          <w:rFonts w:ascii="仿宋" w:hAnsi="仿宋" w:eastAsia="仿宋"/>
          <w:sz w:val="28"/>
          <w:szCs w:val="28"/>
        </w:rPr>
      </w:pPr>
      <w:r>
        <w:rPr>
          <w:rFonts w:hint="eastAsia" w:ascii="仿宋" w:hAnsi="仿宋" w:eastAsia="仿宋"/>
          <w:color w:val="auto"/>
          <w:sz w:val="28"/>
          <w:szCs w:val="28"/>
        </w:rPr>
        <w:t>参与人资格标准：</w:t>
      </w:r>
    </w:p>
    <w:p>
      <w:pPr>
        <w:numPr>
          <w:ilvl w:val="0"/>
          <w:numId w:val="3"/>
        </w:numPr>
        <w:spacing w:line="500" w:lineRule="exact"/>
        <w:rPr>
          <w:rFonts w:hint="eastAsia" w:ascii="仿宋" w:hAnsi="仿宋" w:eastAsia="仿宋"/>
          <w:sz w:val="28"/>
          <w:szCs w:val="28"/>
          <w:lang w:eastAsia="zh-CN"/>
        </w:rPr>
      </w:pPr>
      <w:r>
        <w:rPr>
          <w:rFonts w:hint="eastAsia" w:ascii="仿宋" w:hAnsi="仿宋" w:eastAsia="仿宋"/>
          <w:color w:val="auto"/>
          <w:sz w:val="28"/>
          <w:szCs w:val="28"/>
        </w:rPr>
        <w:t>参与人</w:t>
      </w:r>
      <w:r>
        <w:rPr>
          <w:rFonts w:hint="eastAsia" w:ascii="仿宋" w:hAnsi="仿宋" w:eastAsia="仿宋"/>
          <w:sz w:val="28"/>
          <w:szCs w:val="28"/>
        </w:rPr>
        <w:t>应具有独立法人资格的生产厂商或授权经销商</w:t>
      </w:r>
      <w:r>
        <w:rPr>
          <w:rFonts w:hint="eastAsia" w:ascii="仿宋" w:hAnsi="仿宋" w:eastAsia="仿宋"/>
          <w:sz w:val="28"/>
          <w:szCs w:val="28"/>
          <w:lang w:eastAsia="zh-CN"/>
        </w:rPr>
        <w:t>；</w:t>
      </w:r>
    </w:p>
    <w:p>
      <w:pPr>
        <w:numPr>
          <w:ilvl w:val="0"/>
          <w:numId w:val="3"/>
        </w:numPr>
        <w:spacing w:line="500" w:lineRule="exact"/>
        <w:rPr>
          <w:rFonts w:hint="eastAsia" w:ascii="仿宋" w:hAnsi="仿宋" w:eastAsia="仿宋"/>
          <w:sz w:val="28"/>
          <w:szCs w:val="28"/>
        </w:rPr>
      </w:pPr>
      <w:r>
        <w:rPr>
          <w:rFonts w:hint="eastAsia" w:ascii="仿宋" w:hAnsi="仿宋" w:eastAsia="仿宋"/>
          <w:sz w:val="28"/>
          <w:szCs w:val="28"/>
        </w:rPr>
        <w:t>参与人应具有合法有效的营业执照，经营范围应包括</w:t>
      </w:r>
      <w:r>
        <w:rPr>
          <w:rFonts w:hint="eastAsia" w:ascii="仿宋" w:hAnsi="仿宋" w:eastAsia="仿宋"/>
          <w:sz w:val="28"/>
          <w:szCs w:val="28"/>
          <w:lang w:eastAsia="zh-CN"/>
        </w:rPr>
        <w:t>监控设备采购及安装</w:t>
      </w:r>
      <w:r>
        <w:rPr>
          <w:rFonts w:hint="eastAsia" w:ascii="仿宋" w:hAnsi="仿宋" w:eastAsia="仿宋"/>
          <w:sz w:val="28"/>
          <w:szCs w:val="28"/>
        </w:rPr>
        <w:t>资质</w:t>
      </w:r>
      <w:r>
        <w:rPr>
          <w:rFonts w:hint="eastAsia" w:ascii="仿宋" w:hAnsi="仿宋" w:eastAsia="仿宋"/>
          <w:sz w:val="28"/>
          <w:szCs w:val="28"/>
          <w:lang w:eastAsia="zh-CN"/>
        </w:rPr>
        <w:t>；</w:t>
      </w:r>
    </w:p>
    <w:p>
      <w:pPr>
        <w:numPr>
          <w:ilvl w:val="0"/>
          <w:numId w:val="3"/>
        </w:numPr>
        <w:spacing w:line="500" w:lineRule="exact"/>
        <w:rPr>
          <w:rFonts w:hint="eastAsia" w:ascii="仿宋" w:hAnsi="仿宋" w:eastAsia="仿宋"/>
          <w:sz w:val="28"/>
          <w:szCs w:val="28"/>
          <w:lang w:eastAsia="zh-CN"/>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w:t>
      </w:r>
      <w:r>
        <w:rPr>
          <w:rFonts w:hint="eastAsia" w:ascii="仿宋" w:hAnsi="仿宋" w:eastAsia="仿宋"/>
          <w:sz w:val="28"/>
          <w:szCs w:val="28"/>
          <w:lang w:eastAsia="zh-CN"/>
        </w:rPr>
        <w:t>监控</w:t>
      </w:r>
      <w:r>
        <w:rPr>
          <w:rFonts w:hint="eastAsia" w:ascii="仿宋" w:hAnsi="仿宋" w:eastAsia="仿宋"/>
          <w:sz w:val="28"/>
          <w:szCs w:val="28"/>
        </w:rPr>
        <w:t>设备</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lang w:eastAsia="zh-CN"/>
        </w:rPr>
        <w:t>，</w:t>
      </w:r>
      <w:r>
        <w:rPr>
          <w:rFonts w:hint="eastAsia" w:ascii="仿宋" w:hAnsi="仿宋" w:eastAsia="仿宋"/>
          <w:sz w:val="28"/>
          <w:szCs w:val="28"/>
        </w:rPr>
        <w:t>具备相应的维护保养能力</w:t>
      </w:r>
      <w:r>
        <w:rPr>
          <w:rFonts w:hint="eastAsia" w:ascii="仿宋" w:hAnsi="仿宋" w:eastAsia="仿宋"/>
          <w:sz w:val="28"/>
          <w:szCs w:val="28"/>
          <w:lang w:eastAsia="zh-CN"/>
        </w:rPr>
        <w:t>；</w:t>
      </w:r>
    </w:p>
    <w:p>
      <w:pPr>
        <w:numPr>
          <w:ilvl w:val="0"/>
          <w:numId w:val="3"/>
        </w:numPr>
        <w:spacing w:line="500" w:lineRule="exact"/>
        <w:rPr>
          <w:rFonts w:hint="eastAsia" w:ascii="仿宋" w:hAnsi="仿宋" w:eastAsia="仿宋"/>
          <w:sz w:val="28"/>
          <w:szCs w:val="28"/>
          <w:lang w:eastAsia="zh-CN"/>
        </w:rPr>
      </w:pPr>
      <w:r>
        <w:rPr>
          <w:rFonts w:hint="eastAsia" w:ascii="仿宋" w:hAnsi="仿宋" w:eastAsia="仿宋"/>
          <w:sz w:val="28"/>
          <w:szCs w:val="28"/>
        </w:rPr>
        <w:t>参与人具有2年以上（包括2年）</w:t>
      </w:r>
      <w:r>
        <w:rPr>
          <w:rFonts w:hint="eastAsia" w:ascii="仿宋" w:hAnsi="仿宋" w:eastAsia="仿宋"/>
          <w:sz w:val="28"/>
          <w:szCs w:val="28"/>
          <w:lang w:val="en-US" w:eastAsia="zh-CN"/>
        </w:rPr>
        <w:t>2</w:t>
      </w:r>
      <w:r>
        <w:rPr>
          <w:rFonts w:hint="eastAsia" w:ascii="仿宋" w:hAnsi="仿宋" w:eastAsia="仿宋"/>
          <w:sz w:val="28"/>
          <w:szCs w:val="28"/>
        </w:rPr>
        <w:t>个以上同类项目销售和良好的售后服务应用成功案例,近三年未发生重大安全或质量事故</w:t>
      </w:r>
      <w:r>
        <w:rPr>
          <w:rFonts w:hint="eastAsia" w:ascii="仿宋" w:hAnsi="仿宋" w:eastAsia="仿宋"/>
          <w:sz w:val="28"/>
          <w:szCs w:val="28"/>
          <w:lang w:eastAsia="zh-CN"/>
        </w:rPr>
        <w:t>；</w:t>
      </w:r>
    </w:p>
    <w:p>
      <w:pPr>
        <w:numPr>
          <w:ilvl w:val="0"/>
          <w:numId w:val="3"/>
        </w:numPr>
        <w:spacing w:line="500" w:lineRule="exact"/>
        <w:rPr>
          <w:rFonts w:hint="eastAsia" w:ascii="仿宋" w:hAnsi="仿宋" w:eastAsia="仿宋"/>
          <w:sz w:val="28"/>
          <w:szCs w:val="28"/>
        </w:rPr>
      </w:pPr>
      <w:r>
        <w:rPr>
          <w:rFonts w:hint="eastAsia" w:ascii="仿宋" w:hAnsi="仿宋" w:eastAsia="仿宋"/>
          <w:sz w:val="28"/>
          <w:szCs w:val="28"/>
        </w:rPr>
        <w:t>参与人须有良好的商业信誉和健全的财务制度</w:t>
      </w:r>
      <w:r>
        <w:rPr>
          <w:rFonts w:hint="eastAsia" w:ascii="仿宋" w:hAnsi="仿宋" w:eastAsia="仿宋"/>
          <w:sz w:val="28"/>
          <w:szCs w:val="28"/>
          <w:lang w:eastAsia="zh-CN"/>
        </w:rPr>
        <w:t>；</w:t>
      </w:r>
    </w:p>
    <w:p>
      <w:pPr>
        <w:numPr>
          <w:ilvl w:val="0"/>
          <w:numId w:val="3"/>
        </w:numPr>
        <w:spacing w:line="500" w:lineRule="exact"/>
        <w:rPr>
          <w:rFonts w:ascii="仿宋" w:hAnsi="仿宋" w:eastAsia="仿宋"/>
          <w:sz w:val="28"/>
          <w:szCs w:val="28"/>
          <w:shd w:val="clear" w:color="auto" w:fill="FFFFFF"/>
        </w:rPr>
      </w:pPr>
      <w:r>
        <w:rPr>
          <w:rFonts w:hint="eastAsia" w:ascii="仿宋" w:hAnsi="仿宋" w:eastAsia="仿宋"/>
          <w:sz w:val="28"/>
          <w:szCs w:val="28"/>
        </w:rPr>
        <w:t>参与人有依法缴纳税金和社会保障资金的良好记录。</w:t>
      </w:r>
    </w:p>
    <w:p>
      <w:pPr>
        <w:numPr>
          <w:ilvl w:val="0"/>
          <w:numId w:val="2"/>
        </w:numPr>
        <w:spacing w:line="500" w:lineRule="exact"/>
        <w:ind w:left="0" w:leftChars="0" w:firstLine="0" w:firstLineChars="0"/>
        <w:rPr>
          <w:rFonts w:hint="eastAsia" w:ascii="仿宋" w:hAnsi="仿宋" w:eastAsia="仿宋"/>
          <w:sz w:val="28"/>
          <w:szCs w:val="28"/>
        </w:rPr>
      </w:pPr>
      <w:r>
        <w:rPr>
          <w:rFonts w:hint="eastAsia" w:ascii="仿宋" w:hAnsi="仿宋" w:eastAsia="仿宋"/>
          <w:sz w:val="28"/>
          <w:szCs w:val="28"/>
        </w:rPr>
        <w:t>报价响应文件递交方式：密封报价，按规定时间送达或邮寄。</w:t>
      </w:r>
    </w:p>
    <w:p>
      <w:pPr>
        <w:numPr>
          <w:ilvl w:val="0"/>
          <w:numId w:val="2"/>
        </w:numPr>
        <w:spacing w:line="500" w:lineRule="exact"/>
        <w:ind w:left="0" w:leftChars="0" w:firstLine="0" w:firstLineChars="0"/>
        <w:rPr>
          <w:rFonts w:ascii="仿宋" w:hAnsi="仿宋" w:eastAsia="仿宋"/>
          <w:sz w:val="28"/>
          <w:szCs w:val="28"/>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w:t>
      </w:r>
      <w:r>
        <w:rPr>
          <w:rFonts w:hint="eastAsia" w:ascii="仿宋" w:hAnsi="仿宋" w:eastAsia="仿宋"/>
          <w:color w:val="auto"/>
          <w:sz w:val="28"/>
          <w:szCs w:val="28"/>
          <w:shd w:val="clear" w:color="auto" w:fill="FFFFFF"/>
        </w:rPr>
        <w:t>0</w:t>
      </w:r>
      <w:r>
        <w:rPr>
          <w:rFonts w:ascii="仿宋" w:hAnsi="仿宋" w:eastAsia="仿宋"/>
          <w:color w:val="auto"/>
          <w:sz w:val="28"/>
          <w:szCs w:val="28"/>
          <w:shd w:val="clear" w:color="auto" w:fill="FFFFFF"/>
        </w:rPr>
        <w:t>20</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10</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26</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w:t>
      </w:r>
      <w:r>
        <w:rPr>
          <w:rFonts w:hint="eastAsia" w:ascii="仿宋" w:hAnsi="仿宋" w:eastAsia="仿宋"/>
          <w:sz w:val="28"/>
          <w:szCs w:val="28"/>
          <w:shd w:val="clear" w:color="auto" w:fill="FFFFFF"/>
        </w:rPr>
        <w:t>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r>
        <w:rPr>
          <w:rFonts w:hint="eastAsia" w:ascii="仿宋" w:hAnsi="仿宋" w:eastAsia="仿宋"/>
          <w:sz w:val="28"/>
          <w:szCs w:val="28"/>
          <w:shd w:val="clear" w:color="auto" w:fill="FFFFFF"/>
          <w:lang w:eastAsia="zh-CN"/>
        </w:rPr>
        <w:t>。</w:t>
      </w:r>
    </w:p>
    <w:p>
      <w:pPr>
        <w:numPr>
          <w:ilvl w:val="0"/>
          <w:numId w:val="2"/>
        </w:numPr>
        <w:spacing w:line="500" w:lineRule="exact"/>
        <w:ind w:left="0" w:leftChars="0" w:firstLine="0" w:firstLineChars="0"/>
        <w:rPr>
          <w:rFonts w:ascii="仿宋" w:hAnsi="仿宋" w:eastAsia="仿宋"/>
          <w:sz w:val="28"/>
          <w:szCs w:val="28"/>
        </w:rPr>
      </w:pPr>
      <w:r>
        <w:rPr>
          <w:rFonts w:hint="eastAsia" w:ascii="仿宋" w:hAnsi="仿宋" w:eastAsia="仿宋"/>
          <w:sz w:val="28"/>
          <w:szCs w:val="28"/>
        </w:rPr>
        <w:t>报价响应文件递交地点：烟台科技学院图文楼6</w:t>
      </w:r>
      <w:r>
        <w:rPr>
          <w:rFonts w:hint="eastAsia" w:ascii="仿宋" w:hAnsi="仿宋" w:eastAsia="仿宋"/>
          <w:sz w:val="28"/>
          <w:szCs w:val="28"/>
          <w:lang w:val="en-US" w:eastAsia="zh-CN"/>
        </w:rPr>
        <w:t>08</w:t>
      </w:r>
      <w:r>
        <w:rPr>
          <w:rFonts w:hint="eastAsia" w:ascii="仿宋" w:hAnsi="仿宋" w:eastAsia="仿宋"/>
          <w:sz w:val="28"/>
          <w:szCs w:val="28"/>
        </w:rPr>
        <w:t>室。</w:t>
      </w:r>
    </w:p>
    <w:p>
      <w:pPr>
        <w:spacing w:after="0" w:line="500" w:lineRule="exact"/>
        <w:ind w:left="839"/>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林栋</w:t>
      </w:r>
      <w:r>
        <w:rPr>
          <w:rFonts w:hint="eastAsia" w:ascii="仿宋" w:hAnsi="仿宋" w:eastAsia="仿宋"/>
          <w:sz w:val="28"/>
          <w:szCs w:val="28"/>
        </w:rPr>
        <w:t>；联系电话：18</w:t>
      </w:r>
      <w:r>
        <w:rPr>
          <w:rFonts w:hint="eastAsia" w:ascii="仿宋" w:hAnsi="仿宋" w:eastAsia="仿宋"/>
          <w:sz w:val="28"/>
          <w:szCs w:val="28"/>
          <w:lang w:val="en-US" w:eastAsia="zh-CN"/>
        </w:rPr>
        <w:t>363801115</w:t>
      </w:r>
    </w:p>
    <w:p>
      <w:pPr>
        <w:spacing w:after="0" w:line="500" w:lineRule="exact"/>
        <w:ind w:left="839"/>
        <w:rPr>
          <w:rFonts w:hint="eastAsia" w:ascii="仿宋" w:hAnsi="仿宋" w:eastAsia="仿宋"/>
          <w:sz w:val="28"/>
          <w:szCs w:val="28"/>
          <w:lang w:val="en-US" w:eastAsia="zh-CN"/>
        </w:rPr>
      </w:pPr>
      <w:r>
        <w:rPr>
          <w:rFonts w:hint="eastAsia" w:ascii="仿宋" w:hAnsi="仿宋" w:eastAsia="仿宋"/>
          <w:sz w:val="28"/>
          <w:szCs w:val="28"/>
        </w:rPr>
        <w:t>现场查勘联系人：</w:t>
      </w:r>
      <w:r>
        <w:rPr>
          <w:rFonts w:hint="eastAsia" w:ascii="仿宋" w:hAnsi="仿宋" w:eastAsia="仿宋"/>
          <w:sz w:val="28"/>
          <w:szCs w:val="28"/>
          <w:lang w:eastAsia="zh-CN"/>
        </w:rPr>
        <w:t>刘</w:t>
      </w:r>
      <w:r>
        <w:rPr>
          <w:rFonts w:hint="eastAsia" w:ascii="仿宋" w:hAnsi="仿宋" w:eastAsia="仿宋"/>
          <w:sz w:val="28"/>
          <w:szCs w:val="28"/>
        </w:rPr>
        <w:t>老师；联系电话;1</w:t>
      </w:r>
      <w:r>
        <w:rPr>
          <w:rFonts w:hint="eastAsia" w:ascii="仿宋" w:hAnsi="仿宋" w:eastAsia="仿宋"/>
          <w:sz w:val="28"/>
          <w:szCs w:val="28"/>
          <w:lang w:val="en-US" w:eastAsia="zh-CN"/>
        </w:rPr>
        <w:t>5063887989</w:t>
      </w:r>
    </w:p>
    <w:p>
      <w:pPr>
        <w:numPr>
          <w:ilvl w:val="0"/>
          <w:numId w:val="1"/>
        </w:numPr>
        <w:spacing w:after="0" w:line="500" w:lineRule="exact"/>
        <w:ind w:left="0" w:leftChars="0" w:firstLine="0" w:firstLineChars="0"/>
        <w:rPr>
          <w:rFonts w:hint="eastAsia" w:ascii="仿宋" w:hAnsi="仿宋" w:eastAsia="仿宋"/>
          <w:color w:val="000000"/>
          <w:sz w:val="28"/>
          <w:szCs w:val="28"/>
        </w:rPr>
      </w:pPr>
      <w:r>
        <w:rPr>
          <w:rFonts w:hint="eastAsia" w:ascii="仿宋" w:hAnsi="仿宋" w:eastAsia="仿宋"/>
          <w:color w:val="000000"/>
          <w:sz w:val="28"/>
          <w:szCs w:val="28"/>
        </w:rPr>
        <w:t>参与人须知</w:t>
      </w:r>
    </w:p>
    <w:p>
      <w:pPr>
        <w:numPr>
          <w:ilvl w:val="0"/>
          <w:numId w:val="4"/>
        </w:numPr>
        <w:spacing w:after="0" w:line="500" w:lineRule="exact"/>
        <w:ind w:leftChars="0"/>
        <w:rPr>
          <w:rFonts w:hint="eastAsia" w:ascii="仿宋" w:hAnsi="仿宋" w:eastAsia="仿宋"/>
          <w:color w:val="auto"/>
          <w:sz w:val="28"/>
          <w:szCs w:val="28"/>
        </w:rPr>
      </w:pPr>
      <w:r>
        <w:rPr>
          <w:rFonts w:hint="eastAsia" w:ascii="仿宋" w:hAnsi="仿宋" w:eastAsia="仿宋"/>
          <w:color w:val="auto"/>
          <w:sz w:val="28"/>
          <w:szCs w:val="28"/>
        </w:rPr>
        <w:t>所有货物均以人民币报价；</w:t>
      </w:r>
    </w:p>
    <w:p>
      <w:pPr>
        <w:numPr>
          <w:ilvl w:val="0"/>
          <w:numId w:val="4"/>
        </w:numPr>
        <w:spacing w:after="0" w:line="500" w:lineRule="exact"/>
        <w:ind w:leftChars="0"/>
        <w:rPr>
          <w:rFonts w:hint="eastAsia" w:ascii="仿宋" w:hAnsi="仿宋" w:eastAsia="仿宋"/>
          <w:color w:val="auto"/>
          <w:sz w:val="28"/>
          <w:szCs w:val="28"/>
        </w:rPr>
      </w:pPr>
      <w:r>
        <w:rPr>
          <w:rFonts w:hint="eastAsia" w:ascii="仿宋" w:hAnsi="仿宋" w:eastAsia="仿宋"/>
          <w:color w:val="auto"/>
          <w:sz w:val="28"/>
          <w:szCs w:val="28"/>
        </w:rPr>
        <w:t>报价响应文件必须用A4幅面纸张打印，须由参与人填写并加盖公章</w:t>
      </w:r>
      <w:r>
        <w:rPr>
          <w:rFonts w:hint="eastAsia" w:ascii="仿宋" w:hAnsi="仿宋" w:eastAsia="仿宋"/>
          <w:color w:val="auto"/>
          <w:sz w:val="28"/>
          <w:szCs w:val="28"/>
          <w:lang w:eastAsia="zh-CN"/>
        </w:rPr>
        <w:t>；</w:t>
      </w:r>
    </w:p>
    <w:p>
      <w:pPr>
        <w:numPr>
          <w:ilvl w:val="0"/>
          <w:numId w:val="4"/>
        </w:numPr>
        <w:spacing w:after="0" w:line="500" w:lineRule="exact"/>
        <w:ind w:leftChars="0"/>
        <w:rPr>
          <w:rFonts w:hint="eastAsia" w:ascii="仿宋" w:hAnsi="仿宋" w:eastAsia="仿宋"/>
          <w:color w:val="auto"/>
          <w:sz w:val="28"/>
          <w:szCs w:val="28"/>
        </w:rPr>
      </w:pPr>
      <w:r>
        <w:rPr>
          <w:rFonts w:hint="eastAsia" w:ascii="仿宋" w:hAnsi="仿宋" w:eastAsia="仿宋"/>
          <w:color w:val="auto"/>
          <w:sz w:val="28"/>
          <w:szCs w:val="28"/>
        </w:rPr>
        <w:t>报价响应文件用不退色墨水书写或打印，因字迹潦草或表达不清所引起的后果由参与人自负；</w:t>
      </w:r>
    </w:p>
    <w:p>
      <w:pPr>
        <w:numPr>
          <w:ilvl w:val="0"/>
          <w:numId w:val="4"/>
        </w:numPr>
        <w:spacing w:after="0" w:line="500" w:lineRule="exact"/>
        <w:ind w:leftChars="0"/>
        <w:rPr>
          <w:rFonts w:hint="eastAsia" w:ascii="仿宋" w:hAnsi="仿宋" w:eastAsia="仿宋"/>
          <w:color w:val="auto"/>
          <w:sz w:val="28"/>
          <w:szCs w:val="28"/>
        </w:rPr>
      </w:pPr>
      <w:r>
        <w:rPr>
          <w:rFonts w:hint="eastAsia" w:ascii="仿宋" w:hAnsi="仿宋" w:eastAsia="仿宋"/>
          <w:color w:val="auto"/>
          <w:sz w:val="28"/>
          <w:szCs w:val="28"/>
        </w:rPr>
        <w:t>报价响应文件及所有相关资料需同时进行密封处理，并在密封处加盖公章，未做密封处理及未加盖公章的视为无效报价；</w:t>
      </w:r>
    </w:p>
    <w:p>
      <w:pPr>
        <w:numPr>
          <w:ilvl w:val="0"/>
          <w:numId w:val="4"/>
        </w:numPr>
        <w:spacing w:after="0" w:line="500" w:lineRule="exact"/>
        <w:ind w:leftChars="0"/>
        <w:rPr>
          <w:rFonts w:hint="eastAsia" w:ascii="仿宋" w:hAnsi="仿宋" w:eastAsia="仿宋"/>
          <w:color w:val="auto"/>
          <w:sz w:val="28"/>
          <w:szCs w:val="28"/>
        </w:rPr>
      </w:pPr>
      <w:r>
        <w:rPr>
          <w:rFonts w:hint="eastAsia" w:ascii="仿宋" w:hAnsi="仿宋" w:eastAsia="仿宋"/>
          <w:color w:val="auto"/>
          <w:sz w:val="28"/>
          <w:szCs w:val="28"/>
        </w:rPr>
        <w:t>一个参与人只能提交一个报价响应文件。本项目不接受联合体报价</w:t>
      </w:r>
      <w:r>
        <w:rPr>
          <w:rFonts w:hint="eastAsia" w:ascii="仿宋" w:hAnsi="仿宋" w:eastAsia="仿宋"/>
          <w:color w:val="auto"/>
          <w:sz w:val="28"/>
          <w:szCs w:val="28"/>
          <w:lang w:eastAsia="zh-CN"/>
        </w:rPr>
        <w:t>。</w:t>
      </w:r>
    </w:p>
    <w:p>
      <w:pPr>
        <w:spacing w:after="0" w:line="500" w:lineRule="exact"/>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免费保修期质保不少于2年；</w:t>
      </w:r>
    </w:p>
    <w:p>
      <w:pPr>
        <w:widowControl w:val="0"/>
        <w:spacing w:after="0" w:line="500" w:lineRule="exact"/>
        <w:jc w:val="left"/>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rPr>
        <w:t>应急维修时间安排2小时内响应8小时内维修完毕</w:t>
      </w:r>
      <w:r>
        <w:rPr>
          <w:rFonts w:hint="eastAsia" w:ascii="仿宋" w:hAnsi="仿宋" w:eastAsia="仿宋"/>
          <w:sz w:val="28"/>
          <w:szCs w:val="28"/>
          <w:lang w:eastAsia="zh-CN"/>
        </w:rPr>
        <w:t>。</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0"/>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9"/>
    </w:p>
    <w:p>
      <w:pPr>
        <w:spacing w:line="420" w:lineRule="exact"/>
        <w:jc w:val="center"/>
        <w:rPr>
          <w:rFonts w:ascii="仿宋" w:hAnsi="仿宋" w:eastAsia="仿宋"/>
          <w:b/>
          <w:sz w:val="36"/>
          <w:szCs w:val="36"/>
        </w:rPr>
      </w:pPr>
      <w:r>
        <w:rPr>
          <w:rFonts w:hint="eastAsia" w:ascii="仿宋" w:hAnsi="仿宋" w:eastAsia="仿宋"/>
          <w:b/>
          <w:sz w:val="36"/>
          <w:szCs w:val="36"/>
        </w:rPr>
        <w:t>公开询价货物一览表</w:t>
      </w:r>
    </w:p>
    <w:tbl>
      <w:tblPr>
        <w:tblStyle w:val="23"/>
        <w:tblW w:w="10175" w:type="dxa"/>
        <w:tblInd w:w="-5" w:type="dxa"/>
        <w:tblLayout w:type="fixed"/>
        <w:tblCellMar>
          <w:top w:w="0" w:type="dxa"/>
          <w:left w:w="108" w:type="dxa"/>
          <w:bottom w:w="0" w:type="dxa"/>
          <w:right w:w="108" w:type="dxa"/>
        </w:tblCellMar>
      </w:tblPr>
      <w:tblGrid>
        <w:gridCol w:w="643"/>
        <w:gridCol w:w="997"/>
        <w:gridCol w:w="4110"/>
        <w:gridCol w:w="720"/>
        <w:gridCol w:w="690"/>
        <w:gridCol w:w="780"/>
        <w:gridCol w:w="765"/>
        <w:gridCol w:w="1470"/>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9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411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规格型号（技术参数）</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78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14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9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POE摄像机</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像素不低于400万；最大分辨率不低于2688×1520；；最低照度不低于0.002Lux（彩色模式）;0.0002Lux（黑白模式）0Lux（补光灯开启）；最大补光距离不低于50m（红外）30m（暖光）；宽动态不低于120dB；支持内置麦克风支持内置扬声器；报警事件包含但不限于：;网络断开;IP冲突;非法访问;动态检测;视频遮挡;音频异常侦测;电压检测;智能动检(人);安全异常;暖光报警;声音报警（内置语音可选，支持用户自定义语音导入）；摄像头要与报警器形成联动报警，平台弹出异常画面。接入标准：ONVIF（Profile S/Profile G/Profile T）;CGI;GB/T28181（双国标）;供电方式：DC12V/POE；防护等级：IP67。提供所投设备生产厂商出具的功能实现承诺函，加盖厂商公章的原件或复印件。</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13</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摄像头安装位置：主校区西门口3个；博文苑岗亭2个；体育场西南侧4个；东山岗亭至主校区4个。</w:t>
            </w:r>
          </w:p>
        </w:tc>
      </w:tr>
      <w:tr>
        <w:tblPrEx>
          <w:tblCellMar>
            <w:top w:w="0" w:type="dxa"/>
            <w:left w:w="108" w:type="dxa"/>
            <w:bottom w:w="0" w:type="dxa"/>
            <w:right w:w="108" w:type="dxa"/>
          </w:tblCellMar>
        </w:tblPrEx>
        <w:trPr>
          <w:trHeight w:val="193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球机</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分辨率不低于1920×1080；最低照不低于度彩色：0.005Lux@F1.6黑白：0.0005Lux@F1.60Lux红外灯150米补光；镜头焦距5.0mm~115mm；支持23倍光学变倍，16倍数字变倍；支持可视域功能；支持绊线入侵；支持区域入侵；支持穿越围栏；支持徘徊检测；支持物品遗留；支持物品搬移；支持快速移动；支持停车检测；支持人员聚集；电子防抖；电子透雾；支持报警联动功能，报警时可联动预置位、自动巡迹、自动扫描等功能；变倍时可提前调整焦距范围，保证设备在变倍过程中均能快速聚焦清楚聚焦时间小于1s；支持在绊线入侵、区城入侵规则下灵敏度调节和标定区城；支持多场景切换，可对当前场景目标进行检测；在视频遮档、视频丢失、存储器满、非法访问、网络断开、IP冲突时，支持报警提示；断电后能在上电自动回到断电前的云台和镜头状态；水平方向360°连续旋转，垂直方向-20°～90°自动翻转180°后连续监视；支持300个预置位，8条巡航路径，5条巡迹路径；支持1路音频输入和1路音频输出；内置2路报警输入和1路报警输出，支持报警联动功能；通过网络摄像机传输至学校现有的校园综合安防管理平台，并通过平台报警预案的方式，实现报警联动摄像机画面弹出。提供所投设备生产厂商出具的功能实现承诺函，加盖厂商公章的原件或复印件。支持IP66防护等级，6000V防雷、防浪涌和防突波保护；供电方式AC24V/2.2A±25%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摄像头安装位置： 3号公寓东侧斜坡1个球机；</w:t>
            </w:r>
          </w:p>
        </w:tc>
      </w:tr>
      <w:tr>
        <w:tblPrEx>
          <w:tblCellMar>
            <w:top w:w="0" w:type="dxa"/>
            <w:left w:w="108" w:type="dxa"/>
            <w:bottom w:w="0" w:type="dxa"/>
            <w:right w:w="108" w:type="dxa"/>
          </w:tblCellMar>
        </w:tblPrEx>
        <w:trPr>
          <w:trHeight w:val="39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室外网线</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超五类国标无氧铜网线。</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米</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1200</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48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摄像机电源线</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国标RVV2*1.0无氧铜电缆线</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箱</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14</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36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5</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千兆跳线</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1.5米</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套</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24</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115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6</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光纤收发器</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 xml:space="preserve">千兆多模单纤光纤收发器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接口类型 RJ-45，SC/FC</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网络传输速率满足10/100/1000Mbps</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最大传输距离不低于20千米</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对</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37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光缆</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6芯国标铠装</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米</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6000</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130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POE交换机</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L2以太网交换机主机,支持8个10/100/1000BASE-T PoE+电口,支持2个100/1000BASE-X SFP端口,支持AC；交换容量:256Gbps;转发能力:42Mpps</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4</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59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9</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监控立杆</w:t>
            </w:r>
          </w:p>
        </w:tc>
        <w:tc>
          <w:tcPr>
            <w:tcW w:w="4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（含基础、地笼、监控抱箍支架、避雷针、挖坑回填水泥填平等）</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个</w:t>
            </w:r>
          </w:p>
        </w:tc>
        <w:tc>
          <w:tcPr>
            <w:tcW w:w="69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7</w:t>
            </w:r>
          </w:p>
        </w:tc>
        <w:tc>
          <w:tcPr>
            <w:tcW w:w="7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1613"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w:t>
            </w:r>
          </w:p>
        </w:tc>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施工及辅料</w:t>
            </w:r>
          </w:p>
        </w:tc>
        <w:tc>
          <w:tcPr>
            <w:tcW w:w="41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挖沟回填、切割路面（挖沟深度不低于20cm，宽度不低于10cm。挖沟长度800米。切割路面6处）摄像头安装，布线，穿线管线槽，光纤熔接，挖沟回填水泥抹平等施工达到可使用标准。</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套</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683" w:hRule="atLeast"/>
        </w:trPr>
        <w:tc>
          <w:tcPr>
            <w:tcW w:w="7940"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 w:hAnsi="仿宋" w:eastAsia="仿宋" w:cs="仿宋"/>
                <w:color w:val="000000"/>
                <w:sz w:val="18"/>
                <w:szCs w:val="18"/>
                <w:lang w:eastAsia="zh-CN"/>
              </w:rPr>
            </w:pPr>
            <w:r>
              <w:rPr>
                <w:rFonts w:hint="eastAsia" w:ascii="仿宋" w:hAnsi="仿宋" w:eastAsia="仿宋" w:cs="仿宋"/>
                <w:color w:val="000000"/>
                <w:sz w:val="24"/>
                <w:szCs w:val="24"/>
                <w:lang w:eastAsia="zh-CN"/>
              </w:rPr>
              <w:t>合计金额：</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bl>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烟台科技学院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监控设备采购与安装</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color w:val="auto"/>
          <w:sz w:val="72"/>
          <w:szCs w:val="72"/>
        </w:rPr>
      </w:pP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160880160"/>
      <w:bookmarkStart w:id="51" w:name="_Toc160880529"/>
      <w:bookmarkStart w:id="52" w:name="_Toc169332838"/>
      <w:bookmarkStart w:id="53" w:name="_Toc169332949"/>
      <w:bookmarkStart w:id="54" w:name="_Toc170798793"/>
      <w:bookmarkStart w:id="55" w:name="_Toc177985469"/>
      <w:bookmarkStart w:id="56" w:name="_Toc180302913"/>
      <w:bookmarkStart w:id="57" w:name="_Toc181436461"/>
      <w:bookmarkStart w:id="58" w:name="_Toc181436565"/>
      <w:bookmarkStart w:id="59" w:name="_Toc182372782"/>
      <w:bookmarkStart w:id="60" w:name="_Toc182805217"/>
      <w:bookmarkStart w:id="61" w:name="_Toc191783222"/>
      <w:bookmarkStart w:id="62" w:name="_Toc191789329"/>
      <w:bookmarkStart w:id="63" w:name="_Toc191802690"/>
      <w:bookmarkStart w:id="64" w:name="_Toc191803626"/>
      <w:bookmarkStart w:id="65" w:name="_Toc192663686"/>
      <w:bookmarkStart w:id="66" w:name="_Toc192663835"/>
      <w:bookmarkStart w:id="67" w:name="_Toc192664153"/>
      <w:bookmarkStart w:id="68" w:name="_Toc192996338"/>
      <w:bookmarkStart w:id="69" w:name="_Toc192996446"/>
      <w:bookmarkStart w:id="70" w:name="_Toc193160448"/>
      <w:bookmarkStart w:id="71" w:name="_Toc193165734"/>
      <w:bookmarkStart w:id="72" w:name="_Toc203355733"/>
      <w:bookmarkStart w:id="73" w:name="_Toc211917116"/>
      <w:bookmarkStart w:id="74" w:name="_Toc213208766"/>
      <w:bookmarkStart w:id="75" w:name="_Toc213755858"/>
      <w:bookmarkStart w:id="76" w:name="_Toc213755939"/>
      <w:bookmarkStart w:id="77" w:name="_Toc213755995"/>
      <w:bookmarkStart w:id="78" w:name="_Toc213756051"/>
      <w:bookmarkStart w:id="79" w:name="_Toc217891402"/>
      <w:bookmarkStart w:id="80" w:name="_Toc219800243"/>
      <w:bookmarkStart w:id="81" w:name="_Toc223146608"/>
      <w:bookmarkStart w:id="82" w:name="_Toc225669322"/>
      <w:bookmarkStart w:id="83" w:name="_Toc227058530"/>
      <w:bookmarkStart w:id="84" w:name="_Toc230071147"/>
      <w:bookmarkStart w:id="85" w:name="_Toc232302115"/>
      <w:bookmarkStart w:id="86" w:name="_Toc235437991"/>
      <w:bookmarkStart w:id="87" w:name="_Toc235438274"/>
      <w:bookmarkStart w:id="88" w:name="_Toc235438344"/>
      <w:bookmarkStart w:id="89" w:name="_Toc236021449"/>
      <w:bookmarkStart w:id="90" w:name="_Toc249325711"/>
      <w:bookmarkStart w:id="91" w:name="_Toc251586231"/>
      <w:bookmarkStart w:id="92" w:name="_Toc251613829"/>
      <w:bookmarkStart w:id="93" w:name="_Toc253066614"/>
      <w:bookmarkStart w:id="94" w:name="_Toc254790899"/>
      <w:bookmarkStart w:id="95" w:name="_Toc255975007"/>
      <w:bookmarkStart w:id="96" w:name="_Toc258401256"/>
      <w:bookmarkStart w:id="97" w:name="_Toc259520865"/>
      <w:bookmarkStart w:id="98" w:name="_Toc259692647"/>
      <w:bookmarkStart w:id="99" w:name="_Toc259692740"/>
      <w:bookmarkStart w:id="100" w:name="_Toc266868670"/>
      <w:bookmarkStart w:id="101" w:name="_Toc266868937"/>
      <w:bookmarkStart w:id="102" w:name="_Toc266870432"/>
      <w:bookmarkStart w:id="103" w:name="_Toc266870833"/>
      <w:bookmarkStart w:id="104" w:name="_Toc266870907"/>
      <w:bookmarkStart w:id="105" w:name="_Toc267059030"/>
      <w:bookmarkStart w:id="106" w:name="_Toc267059181"/>
      <w:bookmarkStart w:id="107" w:name="_Toc267059539"/>
      <w:bookmarkStart w:id="108" w:name="_Toc267059653"/>
      <w:bookmarkStart w:id="109" w:name="_Toc267059806"/>
      <w:bookmarkStart w:id="110" w:name="_Toc267059919"/>
      <w:bookmarkStart w:id="111" w:name="_Toc267060068"/>
      <w:bookmarkStart w:id="112" w:name="_Toc267060208"/>
      <w:bookmarkStart w:id="113" w:name="_Toc267060321"/>
      <w:bookmarkStart w:id="114" w:name="_Toc267060453"/>
      <w:bookmarkStart w:id="115" w:name="_Toc273178698"/>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根据贵学校为监控设备采购与安装项目的公开询价邀请（编号）:PR2021012189，本签字代表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10175" w:type="dxa"/>
        <w:tblInd w:w="-5" w:type="dxa"/>
        <w:tblLayout w:type="fixed"/>
        <w:tblCellMar>
          <w:top w:w="0" w:type="dxa"/>
          <w:left w:w="108" w:type="dxa"/>
          <w:bottom w:w="0" w:type="dxa"/>
          <w:right w:w="108" w:type="dxa"/>
        </w:tblCellMar>
      </w:tblPr>
      <w:tblGrid>
        <w:gridCol w:w="643"/>
        <w:gridCol w:w="997"/>
        <w:gridCol w:w="4200"/>
        <w:gridCol w:w="675"/>
        <w:gridCol w:w="660"/>
        <w:gridCol w:w="750"/>
        <w:gridCol w:w="870"/>
        <w:gridCol w:w="1380"/>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9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42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规格型号（技术参数）</w:t>
            </w:r>
          </w:p>
        </w:tc>
        <w:tc>
          <w:tcPr>
            <w:tcW w:w="6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66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4596"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POE摄像机</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像素不低于400万；最大分辨率不低于2688×1520；；最低照度不低于0.002Lux（彩色模式）;0.0002Lux（黑白模式）0Lux（补光灯开启）；最大补光距离不低于50m（红外）30m（暖光）；宽动态不低于120dB；支持内置麦克风支持内置扬声器；报警事件包含但不限于：;网络断开;IP冲突;非法访问;动态检测;视频遮挡;音频异常侦测;电压检测;智能动检(人);安全异常;暖光报警;声音报警（内置语音可选，支持用户自定义语音导入）；摄像头要与报警器形成联动报警，平台弹出异常画面。接入标准：ONVIF（Profile S/Profile G/Profile T）;CGI;GB/T28181（双国标）;供电方式：DC12V/POE；防护等级：IP67。提供所投设备生产厂商出具的功能实现承诺函，加盖厂商公章的原件或复印件。</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13</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摄像头安装位置：主校区西门口3个；博文苑岗亭2个；体育场西南侧4个；东山岗亭至主校区4个。</w:t>
            </w:r>
          </w:p>
        </w:tc>
      </w:tr>
      <w:tr>
        <w:tblPrEx>
          <w:tblCellMar>
            <w:top w:w="0" w:type="dxa"/>
            <w:left w:w="108" w:type="dxa"/>
            <w:bottom w:w="0" w:type="dxa"/>
            <w:right w:w="108" w:type="dxa"/>
          </w:tblCellMar>
        </w:tblPrEx>
        <w:trPr>
          <w:trHeight w:val="2883"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球机</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分辨率不低于1920×1080；最低照不低于度彩色：0.005Lux@F1.6黑白：0.0005Lux@F1.60Lux红外灯150米补光；镜头焦距5.0mm~115mm；支持23倍光学变倍，16倍数字变倍；支持可视域功能；支持绊线入侵；支持区域入侵；支持穿越围栏；支持徘徊检测；支持物品遗留；支持物品搬移；支持快速移动；支持停车检测；支持人员聚集；电子防抖；电子透雾；支持报警联动功能，报警时可联动预置位、自动巡迹、自动扫描等功能；变倍时可提前调整焦距范围，保证设备在变倍过程中均能快速聚焦清楚聚焦时间小于1s；支持在绊线入侵、区城入侵规则下灵敏度调节和标定区城；支持多场景切换，可对当前场景目标进行检测；在视频遮档、视频丢失、存储器满、非法访问、网络断开、IP冲突时，支持报警提示；断电后能在上电自动回到断电前的云台和镜头状态；水平方向360°连续旋转，垂直方向-20°～90°自动翻转180°后连续监视；支持300个预置位，8条巡航路径，5条巡迹路径；支持1路音频输入和1路音频输出；内置2路报警输入和1路报警输出，支持报警联动功能；通过网络摄像机传输至学校现有的校园综合安防管理平台，并通过平台报警预案的方式，实现报警联动摄像机画面弹出。提供所投设备生产厂商出具的功能实现承诺函，加盖厂商公章的原件或复印件。支持IP66防护等级，6000V防雷、防浪涌和防突波保护；供电方式AC24V/2.2A±25%；</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摄像头安装位置： 3号公寓东侧斜坡1个球机；</w:t>
            </w:r>
          </w:p>
        </w:tc>
      </w:tr>
      <w:tr>
        <w:tblPrEx>
          <w:tblCellMar>
            <w:top w:w="0" w:type="dxa"/>
            <w:left w:w="108" w:type="dxa"/>
            <w:bottom w:w="0" w:type="dxa"/>
            <w:right w:w="108" w:type="dxa"/>
          </w:tblCellMar>
        </w:tblPrEx>
        <w:trPr>
          <w:trHeight w:val="18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3</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室外网线</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超五类国标无氧铜网线。</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米</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1200</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66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4</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摄像机电源线</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国标RVV2*1.0无氧铜电缆线</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箱</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14</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337"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5</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18"/>
                <w:szCs w:val="18"/>
                <w:lang w:eastAsia="zh-CN"/>
              </w:rPr>
            </w:pPr>
            <w:r>
              <w:rPr>
                <w:rFonts w:hint="eastAsia" w:ascii="仿宋" w:hAnsi="仿宋" w:eastAsia="仿宋" w:cs="仿宋"/>
                <w:i w:val="0"/>
                <w:iCs w:val="0"/>
                <w:color w:val="000000"/>
                <w:kern w:val="0"/>
                <w:sz w:val="18"/>
                <w:szCs w:val="18"/>
                <w:u w:val="none"/>
                <w:lang w:val="en-US" w:eastAsia="zh-CN" w:bidi="ar"/>
              </w:rPr>
              <w:t>千兆跳线</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1.5米</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套</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24</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132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6</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光纤收发器</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 xml:space="preserve">千兆多模单纤光纤收发器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接口类型 RJ-45，SC/FC</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网络传输速率满足10/100/1000Mbps</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最大传输距离不低于20千米</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对</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9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7</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光缆</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6芯国标铠装</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米</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6000</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61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8</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POE交换机</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L2以太网交换机主机,支持8个10/100/1000BASE-T PoE+电口,支持2个100/1000BASE-X SFP端口,支持AC；交换容量:256Gbps;转发能力:42Mpps</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台</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4</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15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9</w:t>
            </w:r>
          </w:p>
        </w:tc>
        <w:tc>
          <w:tcPr>
            <w:tcW w:w="9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监控立杆</w:t>
            </w:r>
          </w:p>
        </w:tc>
        <w:tc>
          <w:tcPr>
            <w:tcW w:w="4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（含基础、地笼、监控抱箍支架、避雷针、挖坑回填水泥填平等）</w:t>
            </w:r>
          </w:p>
        </w:tc>
        <w:tc>
          <w:tcPr>
            <w:tcW w:w="6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个</w:t>
            </w:r>
          </w:p>
        </w:tc>
        <w:tc>
          <w:tcPr>
            <w:tcW w:w="6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7</w:t>
            </w:r>
          </w:p>
        </w:tc>
        <w:tc>
          <w:tcPr>
            <w:tcW w:w="75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995"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w:t>
            </w:r>
          </w:p>
        </w:tc>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施工及辅料</w:t>
            </w:r>
          </w:p>
        </w:tc>
        <w:tc>
          <w:tcPr>
            <w:tcW w:w="420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挖沟回填、切割路面（挖沟深度不低于20cm，宽度不低于10cm。挖沟长度800米。切割路面6处）摄像头安装，布线，穿线管线槽，光纤熔接，挖沟回填水泥抹平等施工达到可使用标准。</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套</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000000"/>
                <w:sz w:val="18"/>
                <w:szCs w:val="18"/>
              </w:rPr>
            </w:pPr>
            <w:r>
              <w:rPr>
                <w:rFonts w:hint="eastAsia" w:ascii="仿宋" w:hAnsi="仿宋" w:eastAsia="仿宋" w:cs="仿宋"/>
                <w:i w:val="0"/>
                <w:iCs w:val="0"/>
                <w:color w:val="000000"/>
                <w:kern w:val="0"/>
                <w:sz w:val="18"/>
                <w:szCs w:val="18"/>
                <w:u w:val="none"/>
                <w:lang w:val="en-US" w:eastAsia="zh-CN" w:bidi="ar"/>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518" w:hRule="atLeast"/>
        </w:trPr>
        <w:tc>
          <w:tcPr>
            <w:tcW w:w="7925"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仿宋" w:hAnsi="仿宋" w:eastAsia="仿宋" w:cs="仿宋"/>
                <w:color w:val="000000"/>
                <w:sz w:val="18"/>
                <w:szCs w:val="18"/>
                <w:lang w:eastAsia="zh-CN"/>
              </w:rPr>
            </w:pPr>
            <w:r>
              <w:rPr>
                <w:rFonts w:hint="eastAsia" w:ascii="仿宋" w:hAnsi="仿宋" w:eastAsia="仿宋" w:cs="仿宋"/>
                <w:color w:val="000000"/>
                <w:sz w:val="24"/>
                <w:szCs w:val="24"/>
                <w:lang w:eastAsia="zh-CN"/>
              </w:rPr>
              <w:t>合计金额：</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tc>
      </w:tr>
    </w:tbl>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60880534"/>
      <w:bookmarkStart w:id="117" w:name="_Toc169332843"/>
      <w:bookmarkStart w:id="118" w:name="_Toc169332954"/>
      <w:bookmarkStart w:id="119" w:name="_Toc170798798"/>
      <w:bookmarkStart w:id="120" w:name="_Toc177985474"/>
      <w:bookmarkStart w:id="121" w:name="_Toc251613839"/>
      <w:bookmarkStart w:id="122" w:name="_Toc180302918"/>
      <w:bookmarkStart w:id="123" w:name="_Toc181436466"/>
      <w:bookmarkStart w:id="124" w:name="_Toc181436570"/>
      <w:bookmarkStart w:id="125" w:name="_Toc182372787"/>
      <w:bookmarkStart w:id="126" w:name="_Toc182805222"/>
      <w:bookmarkStart w:id="127" w:name="_Toc191783227"/>
      <w:bookmarkStart w:id="128" w:name="_Toc191789334"/>
      <w:bookmarkStart w:id="129" w:name="_Toc191802695"/>
      <w:bookmarkStart w:id="130" w:name="_Toc191803631"/>
      <w:bookmarkStart w:id="131" w:name="_Toc192663691"/>
      <w:bookmarkStart w:id="132" w:name="_Toc192663840"/>
      <w:bookmarkStart w:id="133" w:name="_Toc192664158"/>
      <w:bookmarkStart w:id="134" w:name="_Toc192996343"/>
      <w:bookmarkStart w:id="135" w:name="_Toc253066624"/>
      <w:bookmarkStart w:id="136" w:name="_Toc192996451"/>
      <w:bookmarkStart w:id="137" w:name="_Toc193160453"/>
      <w:bookmarkStart w:id="138" w:name="_Toc193165739"/>
      <w:bookmarkStart w:id="139" w:name="_Toc203355738"/>
      <w:bookmarkStart w:id="140" w:name="_Toc211917121"/>
      <w:bookmarkStart w:id="141" w:name="_Toc213755864"/>
      <w:bookmarkStart w:id="142" w:name="_Toc213755945"/>
      <w:bookmarkStart w:id="143" w:name="_Toc213756001"/>
      <w:bookmarkStart w:id="144" w:name="_Toc213756057"/>
      <w:bookmarkStart w:id="145" w:name="_Toc217891408"/>
      <w:bookmarkStart w:id="146" w:name="_Toc219800249"/>
      <w:bookmarkStart w:id="147" w:name="_Toc223146614"/>
      <w:bookmarkStart w:id="148" w:name="_Toc225669328"/>
      <w:bookmarkStart w:id="149" w:name="_Toc227058536"/>
      <w:bookmarkStart w:id="150" w:name="_Toc230071153"/>
      <w:bookmarkStart w:id="151" w:name="_Toc232302122"/>
      <w:bookmarkStart w:id="152" w:name="_Toc235437998"/>
      <w:bookmarkStart w:id="153" w:name="_Toc235438281"/>
      <w:bookmarkStart w:id="154" w:name="_Toc235438352"/>
      <w:bookmarkStart w:id="155" w:name="_Toc236021457"/>
      <w:bookmarkStart w:id="156" w:name="_Toc160880165"/>
      <w:bookmarkStart w:id="157" w:name="_Toc213208771"/>
      <w:bookmarkStart w:id="158" w:name="_Toc249325720"/>
      <w:bookmarkStart w:id="159" w:name="_Toc251586241"/>
      <w:bookmarkStart w:id="160" w:name="_Toc254790909"/>
      <w:bookmarkStart w:id="161" w:name="_Toc255975016"/>
      <w:bookmarkStart w:id="162" w:name="_Toc258401265"/>
      <w:bookmarkStart w:id="163" w:name="_Toc259520874"/>
      <w:bookmarkStart w:id="164" w:name="_Toc259692656"/>
      <w:bookmarkStart w:id="165" w:name="_Toc259692749"/>
      <w:bookmarkStart w:id="166" w:name="_Toc266868679"/>
      <w:bookmarkStart w:id="167" w:name="_Toc266868943"/>
      <w:bookmarkStart w:id="168" w:name="_Toc266870441"/>
      <w:bookmarkStart w:id="169" w:name="_Toc266870839"/>
      <w:bookmarkStart w:id="170" w:name="_Toc266870916"/>
      <w:bookmarkStart w:id="171" w:name="_Toc267059035"/>
      <w:bookmarkStart w:id="172" w:name="_Toc267059186"/>
      <w:bookmarkStart w:id="173" w:name="_Toc267059544"/>
      <w:bookmarkStart w:id="174" w:name="_Toc267059658"/>
      <w:bookmarkStart w:id="175" w:name="_Toc267059811"/>
      <w:bookmarkStart w:id="176" w:name="_Toc267059924"/>
      <w:bookmarkStart w:id="177" w:name="_Toc267060076"/>
      <w:bookmarkStart w:id="178" w:name="_Toc267060216"/>
      <w:bookmarkStart w:id="179" w:name="_Toc267060326"/>
      <w:bookmarkStart w:id="180" w:name="_Toc267060461"/>
      <w:bookmarkStart w:id="181" w:name="_Toc273178703"/>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213CF"/>
    <w:multiLevelType w:val="singleLevel"/>
    <w:tmpl w:val="9D9213CF"/>
    <w:lvl w:ilvl="0" w:tentative="0">
      <w:start w:val="1"/>
      <w:numFmt w:val="decimal"/>
      <w:lvlText w:val="%1."/>
      <w:lvlJc w:val="left"/>
      <w:pPr>
        <w:tabs>
          <w:tab w:val="left" w:pos="312"/>
        </w:tabs>
      </w:pPr>
    </w:lvl>
  </w:abstractNum>
  <w:abstractNum w:abstractNumId="1">
    <w:nsid w:val="EBF21D45"/>
    <w:multiLevelType w:val="singleLevel"/>
    <w:tmpl w:val="EBF21D45"/>
    <w:lvl w:ilvl="0" w:tentative="0">
      <w:start w:val="1"/>
      <w:numFmt w:val="decimal"/>
      <w:suff w:val="nothing"/>
      <w:lvlText w:val="（%1）"/>
      <w:lvlJc w:val="left"/>
    </w:lvl>
  </w:abstractNum>
  <w:abstractNum w:abstractNumId="2">
    <w:nsid w:val="02AA9635"/>
    <w:multiLevelType w:val="singleLevel"/>
    <w:tmpl w:val="02AA9635"/>
    <w:lvl w:ilvl="0" w:tentative="0">
      <w:start w:val="1"/>
      <w:numFmt w:val="decimal"/>
      <w:lvlText w:val="%1."/>
      <w:lvlJc w:val="left"/>
      <w:pPr>
        <w:tabs>
          <w:tab w:val="left" w:pos="312"/>
        </w:tabs>
      </w:pPr>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325330"/>
    <w:multiLevelType w:val="singleLevel"/>
    <w:tmpl w:val="3E325330"/>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1DBA42D1"/>
    <w:rsid w:val="1FD65E31"/>
    <w:rsid w:val="20971783"/>
    <w:rsid w:val="27DF7178"/>
    <w:rsid w:val="2C521570"/>
    <w:rsid w:val="343078CD"/>
    <w:rsid w:val="3B7475F9"/>
    <w:rsid w:val="5024046C"/>
    <w:rsid w:val="651D60C4"/>
    <w:rsid w:val="6F256F1B"/>
    <w:rsid w:val="705C368D"/>
    <w:rsid w:val="7310532B"/>
    <w:rsid w:val="7A63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5</TotalTime>
  <ScaleCrop>false</ScaleCrop>
  <LinksUpToDate>false</LinksUpToDate>
  <CharactersWithSpaces>2117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2021-10-21T01:25:55Z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F30EF187E6304E08A747BF3D25B394D2</vt:lpwstr>
  </property>
</Properties>
</file>