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p>
    <w:p>
      <w:pPr>
        <w:spacing w:line="240" w:lineRule="auto"/>
        <w:jc w:val="center"/>
        <w:rPr>
          <w:rFonts w:hint="eastAsia" w:ascii="仿宋" w:hAnsi="仿宋" w:eastAsia="仿宋"/>
          <w:b/>
          <w:color w:val="auto"/>
          <w:sz w:val="72"/>
          <w:szCs w:val="72"/>
          <w:lang w:val="en-US" w:eastAsia="zh-CN"/>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4"/>
                    <a:stretch>
                      <a:fillRect/>
                    </a:stretch>
                  </pic:blipFill>
                  <pic:spPr>
                    <a:xfrm>
                      <a:off x="0" y="0"/>
                      <a:ext cx="5909945" cy="941705"/>
                    </a:xfrm>
                    <a:prstGeom prst="rect">
                      <a:avLst/>
                    </a:prstGeom>
                  </pic:spPr>
                </pic:pic>
              </a:graphicData>
            </a:graphic>
          </wp:inline>
        </w:drawing>
      </w:r>
    </w:p>
    <w:bookmarkEnd w:id="0"/>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0"/>
          <w:szCs w:val="40"/>
          <w:lang w:val="en-US" w:eastAsia="zh-CN"/>
        </w:rPr>
      </w:pPr>
      <w:r>
        <w:rPr>
          <w:rFonts w:hint="eastAsia" w:ascii="仿宋" w:hAnsi="仿宋" w:eastAsia="仿宋"/>
          <w:b/>
          <w:color w:val="auto"/>
          <w:sz w:val="40"/>
          <w:szCs w:val="40"/>
          <w:lang w:val="en-US" w:eastAsia="zh-CN"/>
        </w:rPr>
        <w:t>西安铁道技师学院</w:t>
      </w:r>
    </w:p>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0"/>
          <w:szCs w:val="40"/>
        </w:rPr>
      </w:pPr>
      <w:r>
        <w:rPr>
          <w:rFonts w:hint="eastAsia" w:ascii="仿宋" w:hAnsi="仿宋" w:eastAsia="仿宋"/>
          <w:b/>
          <w:color w:val="auto"/>
          <w:sz w:val="40"/>
          <w:szCs w:val="40"/>
        </w:rPr>
        <w:t>关于</w:t>
      </w:r>
      <w:r>
        <w:rPr>
          <w:rFonts w:hint="eastAsia" w:ascii="仿宋" w:hAnsi="仿宋" w:eastAsia="仿宋"/>
          <w:b/>
          <w:color w:val="auto"/>
          <w:sz w:val="40"/>
          <w:szCs w:val="40"/>
          <w:lang w:val="en-US" w:eastAsia="zh-CN"/>
        </w:rPr>
        <w:t>高铁模拟舱刷漆翻新</w:t>
      </w:r>
      <w:r>
        <w:rPr>
          <w:rFonts w:hint="eastAsia" w:ascii="仿宋" w:hAnsi="仿宋" w:eastAsia="仿宋"/>
          <w:b/>
          <w:color w:val="auto"/>
          <w:sz w:val="40"/>
          <w:szCs w:val="40"/>
        </w:rPr>
        <w:t>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807" w:firstLineChars="500"/>
        <w:rPr>
          <w:rFonts w:hint="default" w:ascii="仿宋" w:hAnsi="仿宋" w:eastAsia="仿宋"/>
          <w:b w:val="0"/>
          <w:bCs/>
          <w:color w:val="000000" w:themeColor="text1"/>
          <w:sz w:val="36"/>
          <w:szCs w:val="36"/>
          <w:highlight w:val="yellow"/>
          <w:lang w:val="en-US" w:eastAsia="zh-CN"/>
          <w14:textFill>
            <w14:solidFill>
              <w14:schemeClr w14:val="tx1"/>
            </w14:solidFill>
          </w14:textFill>
        </w:rPr>
      </w:pPr>
      <w:r>
        <w:rPr>
          <w:rFonts w:hint="eastAsia" w:ascii="仿宋" w:hAnsi="仿宋" w:eastAsia="仿宋"/>
          <w:b/>
          <w:color w:val="auto"/>
          <w:sz w:val="36"/>
          <w:szCs w:val="36"/>
        </w:rPr>
        <w:t>项目编号：</w:t>
      </w:r>
      <w:bookmarkStart w:id="1" w:name="_Toc169332792"/>
      <w:bookmarkStart w:id="2" w:name="_Toc160880118"/>
      <w:bookmarkStart w:id="3" w:name="_Toc160880485"/>
      <w:r>
        <w:rPr>
          <w:rFonts w:hint="eastAsia" w:ascii="仿宋" w:hAnsi="仿宋" w:eastAsia="仿宋"/>
          <w:b/>
          <w:bCs w:val="0"/>
          <w:color w:val="000000" w:themeColor="text1"/>
          <w:sz w:val="36"/>
          <w:szCs w:val="36"/>
          <w:highlight w:val="none"/>
          <w:lang w:val="en-US" w:eastAsia="zh-CN"/>
          <w14:textFill>
            <w14:solidFill>
              <w14:schemeClr w14:val="tx1"/>
            </w14:solidFill>
          </w14:textFill>
        </w:rPr>
        <w:t>XT-GKXJ202124</w:t>
      </w:r>
    </w:p>
    <w:p>
      <w:pPr>
        <w:spacing w:line="500" w:lineRule="exact"/>
        <w:ind w:firstLine="1807" w:firstLineChars="500"/>
        <w:rPr>
          <w:rFonts w:hint="default" w:ascii="仿宋" w:hAnsi="仿宋" w:eastAsia="仿宋"/>
          <w:b/>
          <w:color w:val="auto"/>
          <w:sz w:val="36"/>
          <w:szCs w:val="36"/>
          <w:lang w:val="en-US"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73178686"/>
      <w:bookmarkStart w:id="5" w:name="_Toc212456146"/>
      <w:bookmarkStart w:id="6" w:name="_Toc207014580"/>
      <w:bookmarkStart w:id="7" w:name="_Toc267060022"/>
      <w:bookmarkStart w:id="8" w:name="_Toc267059633"/>
      <w:bookmarkStart w:id="9" w:name="_Toc249325665"/>
      <w:bookmarkStart w:id="10" w:name="_Toc212526081"/>
      <w:bookmarkStart w:id="11" w:name="_Toc212454753"/>
      <w:bookmarkStart w:id="12" w:name="_Toc177985424"/>
      <w:bookmarkStart w:id="13" w:name="_Toc255974963"/>
      <w:bookmarkStart w:id="14" w:name="_Toc223146565"/>
      <w:bookmarkStart w:id="15" w:name="_Toc266870386"/>
      <w:bookmarkStart w:id="16" w:name="_Toc267059010"/>
      <w:bookmarkStart w:id="17" w:name="_Toc267059786"/>
      <w:bookmarkStart w:id="18" w:name="_Toc259692600"/>
      <w:bookmarkStart w:id="19" w:name="_Toc251613780"/>
      <w:bookmarkStart w:id="20" w:name="_Toc212530253"/>
      <w:bookmarkStart w:id="21" w:name="_Toc235438297"/>
      <w:bookmarkStart w:id="22" w:name="_Toc267059519"/>
      <w:bookmarkStart w:id="23" w:name="_Toc211937196"/>
      <w:bookmarkStart w:id="24" w:name="_Toc266868924"/>
      <w:bookmarkStart w:id="25" w:name="_Toc160880487"/>
      <w:bookmarkStart w:id="26" w:name="_Toc266868624"/>
      <w:bookmarkStart w:id="27" w:name="_Toc267060407"/>
      <w:bookmarkStart w:id="28" w:name="_Toc216241307"/>
      <w:bookmarkStart w:id="29" w:name="_Toc170798743"/>
      <w:bookmarkStart w:id="30" w:name="_Toc236021402"/>
      <w:bookmarkStart w:id="31" w:name="_Toc253066567"/>
      <w:bookmarkStart w:id="32" w:name="_Toc259692693"/>
      <w:bookmarkStart w:id="33" w:name="_Toc267059899"/>
      <w:bookmarkStart w:id="34" w:name="_Toc235438227"/>
      <w:bookmarkStart w:id="35" w:name="_Toc235437942"/>
      <w:bookmarkStart w:id="36" w:name="_Toc259520819"/>
      <w:bookmarkStart w:id="37" w:name="_Toc267059161"/>
      <w:bookmarkStart w:id="38" w:name="_Toc169332794"/>
      <w:bookmarkStart w:id="39" w:name="_Toc225669277"/>
      <w:bookmarkStart w:id="40" w:name="_Toc267060162"/>
      <w:bookmarkStart w:id="41" w:name="_Toc227058483"/>
      <w:bookmarkStart w:id="42" w:name="_Toc217891359"/>
      <w:bookmarkStart w:id="43" w:name="_Toc251586187"/>
      <w:bookmarkStart w:id="44" w:name="_Toc219800200"/>
      <w:bookmarkStart w:id="45" w:name="_Toc169332904"/>
      <w:bookmarkStart w:id="46" w:name="_Toc258401210"/>
      <w:bookmarkStart w:id="47" w:name="_Toc254790852"/>
      <w:bookmarkStart w:id="48" w:name="_Toc266870861"/>
      <w:r>
        <w:rPr>
          <w:rFonts w:hint="eastAsia" w:ascii="仿宋" w:hAnsi="仿宋" w:eastAsia="仿宋"/>
          <w:b/>
          <w:color w:val="auto"/>
          <w:sz w:val="36"/>
          <w:szCs w:val="36"/>
          <w:lang w:val="en-US" w:eastAsia="zh-CN"/>
        </w:rPr>
        <w:t>高铁模拟舱刷漆翻新项目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西安铁道技师学院根据使用要求，秉承公开、公平、公正的原则，现将关于高铁模拟舱刷漆翻新项目进行公开询价邀请，欢迎国内意向商家参与报价。</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XT-GKXJ202124</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高铁模拟舱刷漆翻新项目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数量及主要技术要求:详见《公开询价项目介绍》。</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highlight w:val="none"/>
        </w:rPr>
      </w:pPr>
      <w:r>
        <w:rPr>
          <w:rFonts w:hint="eastAsia" w:ascii="仿宋" w:hAnsi="仿宋" w:eastAsia="仿宋"/>
          <w:color w:val="auto"/>
          <w:sz w:val="28"/>
          <w:szCs w:val="28"/>
        </w:rPr>
        <w:t>（</w:t>
      </w:r>
      <w:r>
        <w:rPr>
          <w:rFonts w:hint="eastAsia" w:ascii="仿宋" w:hAnsi="仿宋" w:eastAsia="仿宋"/>
          <w:color w:val="auto"/>
          <w:sz w:val="28"/>
          <w:szCs w:val="28"/>
          <w:highlight w:val="none"/>
          <w:lang w:val="en-US" w:eastAsia="zh-CN"/>
        </w:rPr>
        <w:t>1</w:t>
      </w:r>
      <w:r>
        <w:rPr>
          <w:rFonts w:hint="eastAsia" w:ascii="仿宋" w:hAnsi="仿宋" w:eastAsia="仿宋"/>
          <w:color w:val="auto"/>
          <w:sz w:val="28"/>
          <w:szCs w:val="28"/>
          <w:highlight w:val="none"/>
        </w:rPr>
        <w:t>）参与人应具</w:t>
      </w:r>
      <w:r>
        <w:rPr>
          <w:rFonts w:ascii="仿宋" w:hAnsi="仿宋" w:eastAsia="仿宋"/>
          <w:color w:val="auto"/>
          <w:sz w:val="28"/>
          <w:szCs w:val="28"/>
          <w:highlight w:val="none"/>
        </w:rPr>
        <w:t>有</w:t>
      </w:r>
      <w:r>
        <w:rPr>
          <w:rFonts w:hint="eastAsia" w:ascii="仿宋" w:hAnsi="仿宋" w:eastAsia="仿宋"/>
          <w:color w:val="auto"/>
          <w:sz w:val="28"/>
          <w:szCs w:val="28"/>
          <w:highlight w:val="none"/>
          <w:lang w:val="en-US" w:eastAsia="zh-CN"/>
        </w:rPr>
        <w:t>机车刷漆翻新</w:t>
      </w:r>
      <w:r>
        <w:rPr>
          <w:rFonts w:ascii="仿宋" w:hAnsi="仿宋" w:eastAsia="仿宋"/>
          <w:color w:val="auto"/>
          <w:sz w:val="28"/>
          <w:szCs w:val="28"/>
          <w:highlight w:val="none"/>
        </w:rPr>
        <w:t>和服务的资格</w:t>
      </w:r>
      <w:r>
        <w:rPr>
          <w:rFonts w:hint="eastAsia" w:ascii="仿宋" w:hAnsi="仿宋" w:eastAsia="仿宋"/>
          <w:color w:val="auto"/>
          <w:sz w:val="28"/>
          <w:szCs w:val="28"/>
          <w:highlight w:val="none"/>
        </w:rPr>
        <w:t>及</w:t>
      </w:r>
      <w:r>
        <w:rPr>
          <w:rFonts w:ascii="仿宋" w:hAnsi="仿宋" w:eastAsia="仿宋"/>
          <w:color w:val="auto"/>
          <w:sz w:val="28"/>
          <w:szCs w:val="28"/>
          <w:highlight w:val="none"/>
        </w:rPr>
        <w:t>能力</w:t>
      </w:r>
      <w:r>
        <w:rPr>
          <w:rFonts w:hint="eastAsia" w:ascii="仿宋" w:hAnsi="仿宋" w:eastAsia="仿宋"/>
          <w:color w:val="auto"/>
          <w:sz w:val="28"/>
          <w:szCs w:val="28"/>
          <w:highlight w:val="none"/>
        </w:rPr>
        <w:t>。</w:t>
      </w:r>
    </w:p>
    <w:p>
      <w:pPr>
        <w:spacing w:after="0" w:line="500" w:lineRule="exact"/>
        <w:ind w:left="1130" w:leftChars="322" w:hanging="422" w:hangingChars="151"/>
        <w:jc w:val="left"/>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2</w:t>
      </w:r>
      <w:r>
        <w:rPr>
          <w:rFonts w:hint="eastAsia" w:ascii="仿宋" w:hAnsi="仿宋" w:eastAsia="仿宋"/>
          <w:color w:val="auto"/>
          <w:sz w:val="28"/>
          <w:szCs w:val="28"/>
          <w:highlight w:val="none"/>
        </w:rPr>
        <w:t>）参与人应遵守中国的有关法律、法规和规章的规定。</w:t>
      </w:r>
    </w:p>
    <w:p>
      <w:pPr>
        <w:spacing w:after="0" w:line="500" w:lineRule="exact"/>
        <w:ind w:left="1130" w:leftChars="322" w:hanging="422" w:hangingChars="151"/>
        <w:jc w:val="left"/>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highlight w:val="yellow"/>
        </w:rPr>
      </w:pP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r>
        <w:rPr>
          <w:rFonts w:hint="eastAsia" w:ascii="仿宋" w:hAnsi="仿宋" w:eastAsia="仿宋"/>
          <w:sz w:val="28"/>
          <w:szCs w:val="28"/>
        </w:rPr>
        <w:t>，按规定时间送达或邮寄。</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color w:val="auto"/>
          <w:sz w:val="28"/>
          <w:szCs w:val="28"/>
          <w:highlight w:val="none"/>
          <w:shd w:val="clear" w:color="auto" w:fill="FFFFFF"/>
        </w:rPr>
        <w:t>20</w:t>
      </w:r>
      <w:r>
        <w:rPr>
          <w:rFonts w:hint="eastAsia" w:ascii="仿宋" w:hAnsi="仿宋" w:eastAsia="仿宋"/>
          <w:color w:val="auto"/>
          <w:sz w:val="28"/>
          <w:szCs w:val="28"/>
          <w:highlight w:val="none"/>
          <w:shd w:val="clear" w:color="auto" w:fill="FFFFFF"/>
          <w:lang w:val="en-US" w:eastAsia="zh-CN"/>
        </w:rPr>
        <w:t>21</w:t>
      </w:r>
      <w:r>
        <w:rPr>
          <w:rFonts w:hint="eastAsia" w:ascii="仿宋" w:hAnsi="仿宋" w:eastAsia="仿宋"/>
          <w:color w:val="auto"/>
          <w:sz w:val="28"/>
          <w:szCs w:val="28"/>
          <w:highlight w:val="none"/>
          <w:shd w:val="clear" w:color="auto" w:fill="FFFFFF"/>
        </w:rPr>
        <w:t>年</w:t>
      </w:r>
      <w:r>
        <w:rPr>
          <w:rFonts w:hint="eastAsia" w:ascii="仿宋" w:hAnsi="仿宋" w:eastAsia="仿宋"/>
          <w:color w:val="auto"/>
          <w:sz w:val="28"/>
          <w:szCs w:val="28"/>
          <w:highlight w:val="none"/>
          <w:shd w:val="clear" w:color="auto" w:fill="FFFFFF"/>
          <w:lang w:val="en-US" w:eastAsia="zh-CN"/>
        </w:rPr>
        <w:t>12</w:t>
      </w:r>
      <w:r>
        <w:rPr>
          <w:rFonts w:ascii="仿宋" w:hAnsi="仿宋" w:eastAsia="仿宋"/>
          <w:color w:val="auto"/>
          <w:sz w:val="28"/>
          <w:szCs w:val="28"/>
          <w:highlight w:val="none"/>
          <w:shd w:val="clear" w:color="auto" w:fill="FFFFFF"/>
        </w:rPr>
        <w:t>月</w:t>
      </w:r>
      <w:r>
        <w:rPr>
          <w:rFonts w:hint="eastAsia" w:ascii="仿宋" w:hAnsi="仿宋" w:eastAsia="仿宋"/>
          <w:color w:val="auto"/>
          <w:sz w:val="28"/>
          <w:szCs w:val="28"/>
          <w:highlight w:val="none"/>
          <w:shd w:val="clear" w:color="auto" w:fill="FFFFFF"/>
          <w:lang w:val="en-US" w:eastAsia="zh-CN"/>
        </w:rPr>
        <w:t>3</w:t>
      </w:r>
      <w:r>
        <w:rPr>
          <w:rFonts w:ascii="仿宋" w:hAnsi="仿宋" w:eastAsia="仿宋"/>
          <w:color w:val="auto"/>
          <w:sz w:val="28"/>
          <w:szCs w:val="28"/>
          <w:highlight w:val="none"/>
          <w:shd w:val="clear" w:color="auto" w:fill="FFFFFF"/>
        </w:rPr>
        <w:t>日</w:t>
      </w:r>
      <w:r>
        <w:rPr>
          <w:rFonts w:hint="eastAsia" w:ascii="仿宋" w:hAnsi="仿宋" w:eastAsia="仿宋"/>
          <w:color w:val="auto"/>
          <w:sz w:val="28"/>
          <w:szCs w:val="28"/>
          <w:highlight w:val="none"/>
          <w:shd w:val="clear" w:color="auto" w:fill="FFFFFF"/>
          <w:lang w:val="en-US" w:eastAsia="zh-CN"/>
        </w:rPr>
        <w:t>上</w:t>
      </w:r>
      <w:r>
        <w:rPr>
          <w:rFonts w:hint="eastAsia" w:ascii="仿宋" w:hAnsi="仿宋" w:eastAsia="仿宋"/>
          <w:color w:val="auto"/>
          <w:sz w:val="28"/>
          <w:szCs w:val="28"/>
          <w:highlight w:val="none"/>
          <w:shd w:val="clear" w:color="auto" w:fill="FFFFFF"/>
        </w:rPr>
        <w:t>午</w:t>
      </w:r>
      <w:r>
        <w:rPr>
          <w:rFonts w:ascii="仿宋" w:hAnsi="仿宋" w:eastAsia="仿宋"/>
          <w:color w:val="auto"/>
          <w:sz w:val="28"/>
          <w:szCs w:val="28"/>
          <w:highlight w:val="none"/>
          <w:shd w:val="clear" w:color="auto" w:fill="FFFFFF"/>
        </w:rPr>
        <w:t>1</w:t>
      </w:r>
      <w:r>
        <w:rPr>
          <w:rFonts w:hint="eastAsia" w:ascii="仿宋" w:hAnsi="仿宋" w:eastAsia="仿宋"/>
          <w:color w:val="auto"/>
          <w:sz w:val="28"/>
          <w:szCs w:val="28"/>
          <w:highlight w:val="none"/>
          <w:shd w:val="clear" w:color="auto" w:fill="FFFFFF"/>
          <w:lang w:val="en-US" w:eastAsia="zh-CN"/>
        </w:rPr>
        <w:t>2</w:t>
      </w:r>
      <w:r>
        <w:rPr>
          <w:rFonts w:hint="eastAsia" w:ascii="仿宋" w:hAnsi="仿宋" w:eastAsia="仿宋"/>
          <w:color w:val="auto"/>
          <w:sz w:val="28"/>
          <w:szCs w:val="28"/>
          <w:highlight w:val="none"/>
          <w:shd w:val="clear" w:color="auto" w:fill="FFFFFF"/>
        </w:rPr>
        <w:t>:</w:t>
      </w:r>
      <w:r>
        <w:rPr>
          <w:rFonts w:ascii="仿宋" w:hAnsi="仿宋" w:eastAsia="仿宋"/>
          <w:color w:val="auto"/>
          <w:sz w:val="28"/>
          <w:szCs w:val="28"/>
          <w:highlight w:val="none"/>
          <w:shd w:val="clear" w:color="auto" w:fill="FFFFFF"/>
        </w:rPr>
        <w:t>00</w:t>
      </w:r>
      <w:r>
        <w:rPr>
          <w:rFonts w:hint="eastAsia" w:ascii="仿宋" w:hAnsi="仿宋" w:eastAsia="仿宋"/>
          <w:color w:val="auto"/>
          <w:sz w:val="28"/>
          <w:szCs w:val="28"/>
          <w:highlight w:val="none"/>
          <w:shd w:val="clear" w:color="auto" w:fill="FFFFFF"/>
        </w:rPr>
        <w:t>前</w:t>
      </w:r>
      <w:r>
        <w:rPr>
          <w:rFonts w:hint="eastAsia" w:ascii="仿宋" w:hAnsi="仿宋" w:eastAsia="仿宋"/>
          <w:color w:val="auto"/>
          <w:sz w:val="28"/>
          <w:szCs w:val="28"/>
          <w:highlight w:val="none"/>
          <w:shd w:val="clear" w:color="auto" w:fill="FFFFFF"/>
          <w:lang w:eastAsia="zh-CN"/>
        </w:rPr>
        <w:t>（</w:t>
      </w:r>
      <w:r>
        <w:rPr>
          <w:rFonts w:hint="eastAsia" w:ascii="仿宋" w:hAnsi="仿宋" w:eastAsia="仿宋"/>
          <w:color w:val="auto"/>
          <w:sz w:val="28"/>
          <w:szCs w:val="28"/>
          <w:highlight w:val="none"/>
          <w:shd w:val="clear" w:color="auto" w:fill="FFFFFF"/>
          <w:lang w:val="en-US" w:eastAsia="zh-CN"/>
        </w:rPr>
        <w:t>以参与人快递寄出时间为准，</w:t>
      </w:r>
      <w:r>
        <w:rPr>
          <w:rFonts w:hint="eastAsia" w:ascii="仿宋" w:hAnsi="仿宋" w:eastAsia="仿宋"/>
          <w:sz w:val="28"/>
          <w:szCs w:val="28"/>
          <w:shd w:val="clear" w:color="auto" w:fill="FFFFFF"/>
        </w:rPr>
        <w:t>邮寄时应提前告知</w:t>
      </w:r>
      <w:r>
        <w:rPr>
          <w:rFonts w:hint="eastAsia" w:ascii="仿宋" w:hAnsi="仿宋" w:eastAsia="仿宋"/>
          <w:color w:val="auto"/>
          <w:sz w:val="28"/>
          <w:szCs w:val="28"/>
          <w:highlight w:val="none"/>
          <w:shd w:val="clear" w:color="auto" w:fill="FFFFFF"/>
          <w:lang w:eastAsia="zh-CN"/>
        </w:rPr>
        <w:t>）</w:t>
      </w:r>
      <w:r>
        <w:rPr>
          <w:rFonts w:hint="eastAsia" w:ascii="仿宋" w:hAnsi="仿宋" w:eastAsia="仿宋"/>
          <w:color w:val="auto"/>
          <w:sz w:val="28"/>
          <w:szCs w:val="28"/>
          <w:shd w:val="clear" w:color="auto" w:fill="FFFFFF"/>
        </w:rPr>
        <w:t>。</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报价响应文件递交地点：</w:t>
      </w:r>
      <w:r>
        <w:rPr>
          <w:rFonts w:hint="eastAsia" w:ascii="仿宋" w:hAnsi="仿宋" w:eastAsia="仿宋"/>
          <w:color w:val="auto"/>
          <w:sz w:val="28"/>
          <w:szCs w:val="28"/>
          <w:lang w:val="en-US" w:eastAsia="zh-CN"/>
        </w:rPr>
        <w:t>西安铁道技师学院行政楼北楼219室</w:t>
      </w:r>
      <w:r>
        <w:rPr>
          <w:rFonts w:hint="eastAsia" w:ascii="仿宋" w:hAnsi="仿宋" w:eastAsia="仿宋"/>
          <w:color w:val="auto"/>
          <w:sz w:val="28"/>
          <w:szCs w:val="28"/>
        </w:rPr>
        <w:t>。</w:t>
      </w:r>
    </w:p>
    <w:p>
      <w:pPr>
        <w:spacing w:after="0" w:line="500" w:lineRule="exact"/>
        <w:ind w:left="839"/>
        <w:rPr>
          <w:rFonts w:hint="default" w:ascii="仿宋" w:hAnsi="仿宋" w:eastAsia="仿宋"/>
          <w:color w:val="auto"/>
          <w:sz w:val="28"/>
          <w:szCs w:val="28"/>
          <w:highlight w:val="yellow"/>
          <w:lang w:val="en-US" w:eastAsia="zh-CN"/>
        </w:rPr>
      </w:pPr>
      <w:r>
        <w:rPr>
          <w:rFonts w:hint="eastAsia" w:ascii="仿宋" w:hAnsi="仿宋" w:eastAsia="仿宋"/>
          <w:sz w:val="28"/>
          <w:szCs w:val="28"/>
        </w:rPr>
        <w:t>递交文件</w:t>
      </w: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张老师</w:t>
      </w:r>
      <w:r>
        <w:rPr>
          <w:rFonts w:hint="eastAsia" w:ascii="仿宋" w:hAnsi="仿宋" w:eastAsia="仿宋"/>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18191275355</w:t>
      </w:r>
      <w:bookmarkStart w:id="182" w:name="_GoBack"/>
      <w:bookmarkEnd w:id="182"/>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项目答疑联系人：</w:t>
      </w:r>
      <w:r>
        <w:rPr>
          <w:rFonts w:hint="eastAsia" w:ascii="仿宋" w:hAnsi="仿宋" w:eastAsia="仿宋"/>
          <w:color w:val="auto"/>
          <w:sz w:val="28"/>
          <w:szCs w:val="28"/>
          <w:highlight w:val="none"/>
          <w:lang w:val="en-US" w:eastAsia="zh-CN"/>
        </w:rPr>
        <w:t>李老师</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13184562464</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ind w:left="839" w:leftChars="0" w:hanging="419" w:firstLineChars="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正本1份副本1份</w:t>
      </w:r>
      <w:r>
        <w:rPr>
          <w:rFonts w:hint="eastAsia" w:ascii="仿宋" w:hAnsi="仿宋" w:eastAsia="仿宋"/>
          <w:color w:val="auto"/>
          <w:sz w:val="28"/>
          <w:szCs w:val="28"/>
          <w:lang w:eastAsia="zh-CN"/>
        </w:rPr>
        <w:t>）</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lang w:val="en-US" w:eastAsia="zh-CN"/>
        </w:rPr>
        <w:t>四</w:t>
      </w:r>
      <w:r>
        <w:rPr>
          <w:rFonts w:hint="eastAsia" w:ascii="仿宋" w:hAnsi="仿宋" w:eastAsia="仿宋"/>
          <w:color w:val="auto"/>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0"/>
        <w:numPr>
          <w:ilvl w:val="0"/>
          <w:numId w:val="2"/>
        </w:numPr>
        <w:spacing w:line="360" w:lineRule="auto"/>
        <w:jc w:val="center"/>
        <w:outlineLvl w:val="0"/>
        <w:rPr>
          <w:rFonts w:hint="eastAsia" w:ascii="仿宋" w:hAnsi="仿宋" w:eastAsia="仿宋" w:cs="Times New Roman"/>
          <w:b/>
          <w:color w:val="auto"/>
          <w:sz w:val="44"/>
          <w:szCs w:val="44"/>
          <w:lang w:val="en-US" w:eastAsia="zh-CN"/>
        </w:rPr>
      </w:pPr>
      <w:r>
        <w:rPr>
          <w:rFonts w:hint="eastAsia" w:ascii="仿宋" w:hAnsi="仿宋" w:eastAsia="仿宋"/>
          <w:b/>
          <w:color w:val="auto"/>
          <w:sz w:val="44"/>
          <w:szCs w:val="44"/>
        </w:rPr>
        <w:t>公开询价项目介绍</w:t>
      </w:r>
    </w:p>
    <w:p>
      <w:pPr>
        <w:pStyle w:val="50"/>
        <w:numPr>
          <w:ilvl w:val="0"/>
          <w:numId w:val="0"/>
        </w:numPr>
        <w:spacing w:line="360" w:lineRule="auto"/>
        <w:jc w:val="both"/>
        <w:outlineLvl w:val="0"/>
        <w:rPr>
          <w:rFonts w:hint="eastAsia" w:ascii="仿宋" w:hAnsi="仿宋" w:eastAsia="仿宋" w:cs="Times New Roman"/>
          <w:b/>
          <w:color w:val="auto"/>
          <w:sz w:val="44"/>
          <w:szCs w:val="44"/>
          <w:lang w:val="en-US" w:eastAsia="zh-CN"/>
        </w:rPr>
      </w:pPr>
    </w:p>
    <w:p>
      <w:pPr>
        <w:pStyle w:val="50"/>
        <w:numPr>
          <w:ilvl w:val="0"/>
          <w:numId w:val="3"/>
        </w:numPr>
        <w:spacing w:line="360" w:lineRule="auto"/>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设备名称及外形尺寸：和谐号CRH380B高铁模拟舱；长26米；宽3.28米；高3.5米。</w:t>
      </w:r>
    </w:p>
    <w:p>
      <w:pPr>
        <w:pStyle w:val="50"/>
        <w:numPr>
          <w:ilvl w:val="0"/>
          <w:numId w:val="3"/>
        </w:numPr>
        <w:spacing w:line="360" w:lineRule="auto"/>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喷漆范围：整车喷漆（机车磁漆，不低于两底两面）。</w:t>
      </w:r>
    </w:p>
    <w:p>
      <w:pPr>
        <w:pStyle w:val="50"/>
        <w:numPr>
          <w:ilvl w:val="0"/>
          <w:numId w:val="3"/>
        </w:numPr>
        <w:spacing w:line="360" w:lineRule="auto"/>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质量标准：防锈底漆质量要求符合TB/T2260；面漆质量要求符合TB/T2393。</w:t>
      </w:r>
    </w:p>
    <w:p>
      <w:pPr>
        <w:pStyle w:val="50"/>
        <w:numPr>
          <w:ilvl w:val="0"/>
          <w:numId w:val="3"/>
        </w:numPr>
        <w:spacing w:line="360" w:lineRule="auto"/>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 xml:space="preserve">质量保证：整车表面漆膜应结合牢固，不得出现非人为造成的掉色，无脱层、龟裂、气泡、皱纹等；质保期不少于5年。 </w:t>
      </w:r>
    </w:p>
    <w:p>
      <w:pPr>
        <w:pStyle w:val="50"/>
        <w:numPr>
          <w:ilvl w:val="0"/>
          <w:numId w:val="3"/>
        </w:numPr>
        <w:spacing w:line="360" w:lineRule="auto"/>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喷漆工艺流程：</w:t>
      </w:r>
    </w:p>
    <w:p>
      <w:pPr>
        <w:pStyle w:val="50"/>
        <w:numPr>
          <w:ilvl w:val="0"/>
          <w:numId w:val="0"/>
        </w:numPr>
        <w:spacing w:line="360" w:lineRule="auto"/>
        <w:ind w:firstLine="560" w:firstLineChars="200"/>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（1）涂底漆前对整车全面蒙皮清理除尘、表面修平、打磨；蒙皮没有油脂和污垢，没有附着不牢的附着物。</w:t>
      </w:r>
    </w:p>
    <w:p>
      <w:pPr>
        <w:pStyle w:val="50"/>
        <w:numPr>
          <w:ilvl w:val="0"/>
          <w:numId w:val="0"/>
        </w:numPr>
        <w:spacing w:line="360" w:lineRule="auto"/>
        <w:ind w:firstLine="560" w:firstLineChars="200"/>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（2）预涂焊缝，整车蒙皮底漆涂层。</w:t>
      </w:r>
    </w:p>
    <w:p>
      <w:pPr>
        <w:pStyle w:val="50"/>
        <w:numPr>
          <w:ilvl w:val="0"/>
          <w:numId w:val="0"/>
        </w:numPr>
        <w:spacing w:line="360" w:lineRule="auto"/>
        <w:ind w:firstLine="560" w:firstLineChars="200"/>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（3）底漆干透，整车蒙皮刮涂原子灰，刮涂时要采用先厚再薄的原则。统刮腻子不小于4道，大平表面波形缺陷应能保证平面度在任意1平方米内凹凸误差不大于1mm。</w:t>
      </w:r>
    </w:p>
    <w:p>
      <w:pPr>
        <w:pStyle w:val="50"/>
        <w:numPr>
          <w:ilvl w:val="0"/>
          <w:numId w:val="0"/>
        </w:numPr>
        <w:spacing w:line="360" w:lineRule="auto"/>
        <w:ind w:firstLine="560" w:firstLineChars="200"/>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（4）整车蒙皮喷面漆。喷涂应均匀，死角喷涂到位。</w:t>
      </w:r>
    </w:p>
    <w:p>
      <w:pPr>
        <w:pStyle w:val="50"/>
        <w:numPr>
          <w:ilvl w:val="0"/>
          <w:numId w:val="0"/>
        </w:numPr>
        <w:spacing w:line="360" w:lineRule="auto"/>
        <w:ind w:firstLine="560" w:firstLineChars="200"/>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（5）喷线条，标识。</w:t>
      </w:r>
    </w:p>
    <w:p>
      <w:pPr>
        <w:pStyle w:val="50"/>
        <w:numPr>
          <w:ilvl w:val="0"/>
          <w:numId w:val="0"/>
        </w:numPr>
        <w:spacing w:line="360" w:lineRule="auto"/>
        <w:jc w:val="left"/>
        <w:outlineLvl w:val="0"/>
        <w:rPr>
          <w:rFonts w:hint="eastAsia"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6、更换后列车门：</w:t>
      </w:r>
    </w:p>
    <w:p>
      <w:pPr>
        <w:pStyle w:val="50"/>
        <w:numPr>
          <w:ilvl w:val="0"/>
          <w:numId w:val="0"/>
        </w:numPr>
        <w:spacing w:line="360" w:lineRule="auto"/>
        <w:jc w:val="left"/>
        <w:outlineLvl w:val="0"/>
        <w:rPr>
          <w:rFonts w:hint="default"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 xml:space="preserve">    规格要求：宽1.2米；高2米；不锈钢烤漆工艺，国标厚度1.2；配加厚门栓门把手。</w:t>
      </w:r>
    </w:p>
    <w:p>
      <w:pPr>
        <w:pStyle w:val="50"/>
        <w:numPr>
          <w:ilvl w:val="0"/>
          <w:numId w:val="0"/>
        </w:numPr>
        <w:spacing w:line="360" w:lineRule="auto"/>
        <w:jc w:val="left"/>
        <w:outlineLvl w:val="0"/>
        <w:rPr>
          <w:rFonts w:hint="default" w:ascii="仿宋" w:hAnsi="仿宋" w:eastAsia="仿宋" w:cs="Times New Roman"/>
          <w:b w:val="0"/>
          <w:bCs/>
          <w:color w:val="auto"/>
          <w:sz w:val="28"/>
          <w:szCs w:val="28"/>
          <w:lang w:val="en-US" w:eastAsia="zh-CN"/>
        </w:rPr>
      </w:pPr>
      <w:r>
        <w:rPr>
          <w:rFonts w:hint="eastAsia" w:ascii="仿宋" w:hAnsi="仿宋" w:eastAsia="仿宋" w:cs="Times New Roman"/>
          <w:b w:val="0"/>
          <w:bCs/>
          <w:color w:val="auto"/>
          <w:sz w:val="28"/>
          <w:szCs w:val="28"/>
          <w:lang w:val="en-US" w:eastAsia="zh-CN"/>
        </w:rPr>
        <w:t xml:space="preserve">  </w:t>
      </w:r>
    </w:p>
    <w:p>
      <w:pPr>
        <w:rPr>
          <w:rFonts w:ascii="仿宋" w:hAnsi="仿宋" w:eastAsia="仿宋"/>
          <w:b/>
          <w:color w:val="auto"/>
          <w:sz w:val="36"/>
          <w:szCs w:val="36"/>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spacing w:line="240" w:lineRule="auto"/>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drawing>
          <wp:inline distT="0" distB="0" distL="114300" distR="114300">
            <wp:extent cx="4717415" cy="751840"/>
            <wp:effectExtent l="0" t="0" r="6985" b="10160"/>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4"/>
                    <a:stretch>
                      <a:fillRect/>
                    </a:stretch>
                  </pic:blipFill>
                  <pic:spPr>
                    <a:xfrm>
                      <a:off x="0" y="0"/>
                      <a:ext cx="4717415" cy="751840"/>
                    </a:xfrm>
                    <a:prstGeom prst="rect">
                      <a:avLst/>
                    </a:prstGeom>
                  </pic:spPr>
                </pic:pic>
              </a:graphicData>
            </a:graphic>
          </wp:inline>
        </w:drawing>
      </w:r>
    </w:p>
    <w:p>
      <w:pPr>
        <w:spacing w:line="1000" w:lineRule="exact"/>
        <w:jc w:val="center"/>
        <w:rPr>
          <w:rFonts w:hint="eastAsia" w:ascii="仿宋" w:hAnsi="仿宋" w:eastAsia="仿宋"/>
          <w:b/>
          <w:color w:val="auto"/>
          <w:sz w:val="40"/>
          <w:szCs w:val="40"/>
          <w:lang w:val="en-US" w:eastAsia="zh-CN"/>
        </w:rPr>
      </w:pPr>
      <w:r>
        <w:rPr>
          <w:rFonts w:hint="eastAsia" w:ascii="仿宋" w:hAnsi="仿宋" w:eastAsia="仿宋"/>
          <w:b/>
          <w:color w:val="auto"/>
          <w:sz w:val="40"/>
          <w:szCs w:val="40"/>
          <w:lang w:val="en-US" w:eastAsia="zh-CN"/>
        </w:rPr>
        <w:t>西安铁道技师学院</w:t>
      </w:r>
    </w:p>
    <w:p>
      <w:pPr>
        <w:spacing w:line="1000" w:lineRule="exact"/>
        <w:jc w:val="center"/>
        <w:rPr>
          <w:rFonts w:hint="eastAsia" w:ascii="仿宋" w:hAnsi="仿宋" w:eastAsia="仿宋"/>
          <w:b/>
          <w:color w:val="auto"/>
          <w:sz w:val="40"/>
          <w:szCs w:val="40"/>
          <w:lang w:val="en-US" w:eastAsia="zh-CN"/>
        </w:rPr>
      </w:pPr>
      <w:r>
        <w:rPr>
          <w:rFonts w:hint="eastAsia" w:ascii="仿宋" w:hAnsi="仿宋" w:eastAsia="仿宋"/>
          <w:b/>
          <w:color w:val="auto"/>
          <w:sz w:val="40"/>
          <w:szCs w:val="40"/>
        </w:rPr>
        <w:t>关于</w:t>
      </w:r>
      <w:r>
        <w:rPr>
          <w:rFonts w:hint="eastAsia" w:ascii="仿宋" w:hAnsi="仿宋" w:eastAsia="仿宋"/>
          <w:b/>
          <w:color w:val="auto"/>
          <w:sz w:val="40"/>
          <w:szCs w:val="40"/>
          <w:lang w:val="en-US" w:eastAsia="zh-CN"/>
        </w:rPr>
        <w:t>高铁模拟舱刷漆翻新</w:t>
      </w:r>
      <w:r>
        <w:rPr>
          <w:rFonts w:hint="eastAsia" w:ascii="仿宋" w:hAnsi="仿宋" w:eastAsia="仿宋"/>
          <w:b/>
          <w:color w:val="auto"/>
          <w:sz w:val="40"/>
          <w:szCs w:val="40"/>
        </w:rPr>
        <w:t>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both"/>
        <w:rPr>
          <w:rFonts w:ascii="仿宋" w:hAnsi="仿宋" w:eastAsia="仿宋"/>
          <w:b/>
          <w:bCs/>
          <w:color w:val="auto"/>
          <w:sz w:val="30"/>
          <w:szCs w:val="30"/>
        </w:rPr>
      </w:pPr>
    </w:p>
    <w:p>
      <w:pPr>
        <w:jc w:val="both"/>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50" w:name="_Toc255975007"/>
      <w:bookmarkStart w:id="51" w:name="_Toc191783222"/>
      <w:bookmarkStart w:id="52" w:name="_Toc267059181"/>
      <w:bookmarkStart w:id="53" w:name="_Toc213755995"/>
      <w:bookmarkStart w:id="54" w:name="_Toc227058530"/>
      <w:bookmarkStart w:id="55" w:name="_Toc254790899"/>
      <w:bookmarkStart w:id="56" w:name="_Toc191802690"/>
      <w:bookmarkStart w:id="57" w:name="_Toc193160448"/>
      <w:bookmarkStart w:id="58" w:name="_Toc213755939"/>
      <w:bookmarkStart w:id="59" w:name="_Toc181436565"/>
      <w:bookmarkStart w:id="60" w:name="_Toc266870432"/>
      <w:bookmarkStart w:id="61" w:name="_Toc266868670"/>
      <w:bookmarkStart w:id="62" w:name="_Toc160880529"/>
      <w:bookmarkStart w:id="63" w:name="_Toc251586231"/>
      <w:bookmarkStart w:id="64" w:name="_Toc203355733"/>
      <w:bookmarkStart w:id="65" w:name="_Toc192664153"/>
      <w:bookmarkStart w:id="66" w:name="_Toc259520865"/>
      <w:bookmarkStart w:id="67" w:name="_Toc213755858"/>
      <w:bookmarkStart w:id="68" w:name="_Toc223146608"/>
      <w:bookmarkStart w:id="69" w:name="_Toc182805217"/>
      <w:bookmarkStart w:id="70" w:name="_Toc217891402"/>
      <w:bookmarkStart w:id="71" w:name="_Toc267059030"/>
      <w:bookmarkStart w:id="72" w:name="_Toc267060453"/>
      <w:bookmarkStart w:id="73" w:name="_Toc170798793"/>
      <w:bookmarkStart w:id="74" w:name="_Toc235438344"/>
      <w:bookmarkStart w:id="75" w:name="_Toc232302115"/>
      <w:bookmarkStart w:id="76" w:name="_Toc236021449"/>
      <w:bookmarkStart w:id="77" w:name="_Toc258401256"/>
      <w:bookmarkStart w:id="78" w:name="_Toc267059919"/>
      <w:bookmarkStart w:id="79" w:name="_Toc267060208"/>
      <w:bookmarkStart w:id="80" w:name="_Toc160880160"/>
      <w:bookmarkStart w:id="81" w:name="_Toc177985469"/>
      <w:bookmarkStart w:id="82" w:name="_Toc225669322"/>
      <w:bookmarkStart w:id="83" w:name="_Toc213208766"/>
      <w:bookmarkStart w:id="84" w:name="_Toc213756051"/>
      <w:bookmarkStart w:id="85" w:name="_Toc235437991"/>
      <w:bookmarkStart w:id="86" w:name="_Toc267060068"/>
      <w:bookmarkStart w:id="87" w:name="_Toc169332838"/>
      <w:bookmarkStart w:id="88" w:name="_Toc259692647"/>
      <w:bookmarkStart w:id="89" w:name="_Toc191789329"/>
      <w:bookmarkStart w:id="90" w:name="_Toc192996338"/>
      <w:bookmarkStart w:id="91" w:name="_Toc266870833"/>
      <w:bookmarkStart w:id="92" w:name="_Toc267059653"/>
      <w:bookmarkStart w:id="93" w:name="_Toc266868937"/>
      <w:bookmarkStart w:id="94" w:name="_Toc169332949"/>
      <w:bookmarkStart w:id="95" w:name="_Toc230071147"/>
      <w:bookmarkStart w:id="96" w:name="_Toc267060321"/>
      <w:bookmarkStart w:id="97" w:name="_Toc219800243"/>
      <w:bookmarkStart w:id="98" w:name="_Toc193165734"/>
      <w:bookmarkStart w:id="99" w:name="_Toc180302913"/>
      <w:bookmarkStart w:id="100" w:name="_Toc267059539"/>
      <w:bookmarkStart w:id="101" w:name="_Toc181436461"/>
      <w:bookmarkStart w:id="102" w:name="_Toc267059806"/>
      <w:bookmarkStart w:id="103" w:name="_Toc211917116"/>
      <w:bookmarkStart w:id="104" w:name="_Toc182372782"/>
      <w:bookmarkStart w:id="105" w:name="_Toc259692740"/>
      <w:bookmarkStart w:id="106" w:name="_Toc192663835"/>
      <w:bookmarkStart w:id="107" w:name="_Toc192663686"/>
      <w:bookmarkStart w:id="108" w:name="_Toc192996446"/>
      <w:bookmarkStart w:id="109" w:name="_Toc273178698"/>
      <w:bookmarkStart w:id="110" w:name="_Toc251613829"/>
      <w:bookmarkStart w:id="111" w:name="_Toc253066614"/>
      <w:bookmarkStart w:id="112" w:name="_Toc191803626"/>
      <w:bookmarkStart w:id="113" w:name="_Toc249325711"/>
      <w:bookmarkStart w:id="114" w:name="_Toc266870907"/>
      <w:bookmarkStart w:id="115" w:name="_Toc235438274"/>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sz w:val="28"/>
          <w:szCs w:val="28"/>
        </w:rPr>
        <w:t xml:space="preserve">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r>
        <w:rPr>
          <w:rFonts w:hint="eastAsia" w:ascii="仿宋" w:hAnsi="仿宋" w:eastAsia="仿宋"/>
          <w:sz w:val="28"/>
          <w:szCs w:val="28"/>
          <w:lang w:eastAsia="zh-CN"/>
        </w:rPr>
        <w:t>（</w:t>
      </w:r>
      <w:r>
        <w:rPr>
          <w:rFonts w:hint="eastAsia" w:ascii="仿宋" w:hAnsi="仿宋" w:eastAsia="仿宋"/>
          <w:color w:val="FF0000"/>
          <w:sz w:val="28"/>
          <w:szCs w:val="28"/>
        </w:rPr>
        <w:t>正本X份和副本X份</w:t>
      </w:r>
      <w:r>
        <w:rPr>
          <w:rFonts w:hint="eastAsia" w:ascii="仿宋" w:hAnsi="仿宋" w:eastAsia="仿宋"/>
          <w:color w:val="FF0000"/>
          <w:sz w:val="28"/>
          <w:szCs w:val="28"/>
          <w:lang w:eastAsia="zh-CN"/>
        </w:rPr>
        <w:t>）</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xml:space="preserve">) </w:t>
      </w:r>
      <w:r>
        <w:rPr>
          <w:rFonts w:hint="eastAsia" w:ascii="仿宋" w:hAnsi="仿宋" w:eastAsia="仿宋"/>
          <w:sz w:val="28"/>
          <w:szCs w:val="28"/>
        </w:rPr>
        <w:t>报价一览表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pStyle w:val="55"/>
        <w:spacing w:line="480" w:lineRule="exact"/>
        <w:jc w:val="left"/>
        <w:outlineLvl w:val="9"/>
        <w:rPr>
          <w:rFonts w:ascii="仿宋" w:hAnsi="仿宋" w:eastAsia="仿宋"/>
          <w:color w:val="auto"/>
          <w:szCs w:val="28"/>
        </w:rPr>
      </w:pP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numPr>
          <w:ilvl w:val="0"/>
          <w:numId w:val="3"/>
        </w:numPr>
        <w:ind w:left="0" w:leftChars="0" w:firstLine="0" w:firstLineChars="0"/>
        <w:jc w:val="center"/>
        <w:outlineLvl w:val="1"/>
        <w:rPr>
          <w:rFonts w:hint="eastAsia" w:ascii="仿宋" w:hAnsi="仿宋" w:eastAsia="仿宋"/>
          <w:b/>
          <w:bCs/>
          <w:color w:val="auto"/>
          <w:sz w:val="28"/>
          <w:szCs w:val="28"/>
        </w:rPr>
      </w:pPr>
      <w:r>
        <w:rPr>
          <w:rFonts w:hint="eastAsia" w:ascii="仿宋" w:hAnsi="仿宋" w:eastAsia="仿宋"/>
          <w:b/>
          <w:bCs/>
          <w:color w:val="auto"/>
          <w:sz w:val="28"/>
          <w:szCs w:val="28"/>
        </w:rPr>
        <w:t>报价一览表</w:t>
      </w:r>
    </w:p>
    <w:p>
      <w:pPr>
        <w:numPr>
          <w:ilvl w:val="0"/>
          <w:numId w:val="0"/>
        </w:numPr>
        <w:ind w:leftChars="0"/>
        <w:jc w:val="center"/>
        <w:outlineLvl w:val="1"/>
        <w:rPr>
          <w:rFonts w:hint="eastAsia" w:ascii="仿宋" w:hAnsi="仿宋" w:eastAsia="仿宋"/>
          <w:b/>
          <w:bCs/>
          <w:color w:val="auto"/>
          <w:sz w:val="28"/>
          <w:szCs w:val="28"/>
        </w:rPr>
      </w:pPr>
      <w:r>
        <w:rPr>
          <w:rFonts w:hint="eastAsia" w:ascii="仿宋" w:hAnsi="仿宋" w:eastAsia="仿宋"/>
          <w:b/>
          <w:bCs/>
          <w:color w:val="FF0000"/>
          <w:sz w:val="28"/>
          <w:szCs w:val="28"/>
        </w:rPr>
        <w:t>（根据项目</w:t>
      </w:r>
      <w:r>
        <w:rPr>
          <w:rFonts w:hint="eastAsia" w:ascii="仿宋" w:hAnsi="仿宋" w:eastAsia="仿宋"/>
          <w:b/>
          <w:bCs/>
          <w:color w:val="FF0000"/>
          <w:sz w:val="28"/>
          <w:szCs w:val="28"/>
          <w:lang w:val="en-US" w:eastAsia="zh-CN"/>
        </w:rPr>
        <w:t>报价</w:t>
      </w:r>
      <w:r>
        <w:rPr>
          <w:rFonts w:hint="eastAsia" w:ascii="仿宋" w:hAnsi="仿宋" w:eastAsia="仿宋"/>
          <w:b/>
          <w:bCs/>
          <w:color w:val="FF0000"/>
          <w:sz w:val="28"/>
          <w:szCs w:val="28"/>
        </w:rPr>
        <w:t>情况自行修改）</w:t>
      </w:r>
    </w:p>
    <w:p>
      <w:pPr>
        <w:spacing w:line="38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rPr>
          <w:rFonts w:hint="eastAsia" w:ascii="仿宋" w:hAnsi="仿宋" w:eastAsia="仿宋"/>
          <w:color w:val="auto"/>
          <w:sz w:val="28"/>
          <w:szCs w:val="28"/>
        </w:rPr>
      </w:pPr>
      <w:r>
        <w:rPr>
          <w:rFonts w:hint="eastAsia" w:ascii="仿宋" w:hAnsi="仿宋" w:eastAsia="仿宋"/>
          <w:color w:val="auto"/>
          <w:sz w:val="28"/>
          <w:szCs w:val="28"/>
        </w:rPr>
        <w:t>货币单位：</w:t>
      </w:r>
    </w:p>
    <w:tbl>
      <w:tblPr>
        <w:tblStyle w:val="23"/>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000000"/>
                <w:sz w:val="20"/>
                <w:szCs w:val="20"/>
                <w:lang w:val="en-US" w:eastAsia="zh-CN"/>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after="0" w:line="500" w:lineRule="exact"/>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注：</w:t>
      </w:r>
    </w:p>
    <w:p>
      <w:pPr>
        <w:spacing w:after="0" w:line="500" w:lineRule="exact"/>
        <w:ind w:firstLine="560" w:firstLineChars="200"/>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1.如果按单价计算的结果与总价不一致,以单价为准修正总价。</w:t>
      </w:r>
    </w:p>
    <w:p>
      <w:pPr>
        <w:spacing w:after="0" w:line="500" w:lineRule="exact"/>
        <w:ind w:firstLine="560" w:firstLineChars="200"/>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w:t>
      </w:r>
      <w:r>
        <w:rPr>
          <w:rFonts w:hint="eastAsia" w:ascii="仿宋" w:hAnsi="仿宋" w:eastAsia="仿宋"/>
          <w:color w:val="auto"/>
          <w:sz w:val="28"/>
          <w:szCs w:val="28"/>
          <w:lang w:val="zh-CN"/>
        </w:rPr>
        <w:t>如果不提供详细参数和报价将视为没有实质性响应公开询价文件。</w:t>
      </w: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参与人授权代表（签字或盖章）：</w:t>
      </w:r>
    </w:p>
    <w:p>
      <w:pPr>
        <w:spacing w:after="0" w:line="500" w:lineRule="exact"/>
        <w:ind w:firstLine="4480" w:firstLineChars="1600"/>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zh-CN"/>
        </w:rPr>
        <w:t xml:space="preserve">日       </w:t>
      </w:r>
      <w:bookmarkStart w:id="116" w:name="_Toc160880534"/>
      <w:bookmarkStart w:id="117" w:name="_Toc169332843"/>
      <w:bookmarkStart w:id="118" w:name="_Toc267059035"/>
      <w:bookmarkStart w:id="119" w:name="_Toc251613839"/>
      <w:bookmarkStart w:id="120" w:name="_Toc223146614"/>
      <w:bookmarkStart w:id="121" w:name="_Toc258401265"/>
      <w:bookmarkStart w:id="122" w:name="_Toc192664158"/>
      <w:bookmarkStart w:id="123" w:name="_Toc193165739"/>
      <w:bookmarkStart w:id="124" w:name="_Toc235438281"/>
      <w:bookmarkStart w:id="125" w:name="_Toc213755945"/>
      <w:bookmarkStart w:id="126" w:name="_Toc217891408"/>
      <w:bookmarkStart w:id="127" w:name="_Toc170798798"/>
      <w:bookmarkStart w:id="128" w:name="_Toc169332954"/>
      <w:bookmarkStart w:id="129" w:name="_Toc236021457"/>
      <w:bookmarkStart w:id="130" w:name="_Toc232302122"/>
      <w:bookmarkStart w:id="131" w:name="_Toc192663840"/>
      <w:bookmarkStart w:id="132" w:name="_Toc267060326"/>
      <w:bookmarkStart w:id="133" w:name="_Toc181436570"/>
      <w:bookmarkStart w:id="134" w:name="_Toc266870441"/>
      <w:bookmarkStart w:id="135" w:name="_Toc191783227"/>
      <w:bookmarkStart w:id="136" w:name="_Toc267059544"/>
      <w:bookmarkStart w:id="137" w:name="_Toc213756001"/>
      <w:bookmarkStart w:id="138" w:name="_Toc160880165"/>
      <w:bookmarkStart w:id="139" w:name="_Toc266870916"/>
      <w:bookmarkStart w:id="140" w:name="_Toc259520874"/>
      <w:bookmarkStart w:id="141" w:name="_Toc177985474"/>
      <w:bookmarkStart w:id="142" w:name="_Toc181436466"/>
      <w:bookmarkStart w:id="143" w:name="_Toc266868679"/>
      <w:bookmarkStart w:id="144" w:name="_Toc267060076"/>
      <w:bookmarkStart w:id="145" w:name="_Toc191803631"/>
      <w:bookmarkStart w:id="146" w:name="_Toc203355738"/>
      <w:bookmarkStart w:id="147" w:name="_Toc251586241"/>
      <w:bookmarkStart w:id="148" w:name="_Toc266868943"/>
      <w:bookmarkStart w:id="149" w:name="_Toc259692749"/>
      <w:bookmarkStart w:id="150" w:name="_Toc266870839"/>
      <w:bookmarkStart w:id="151" w:name="_Toc235437998"/>
      <w:bookmarkStart w:id="152" w:name="_Toc180302918"/>
      <w:bookmarkStart w:id="153" w:name="_Toc259692656"/>
      <w:bookmarkStart w:id="154" w:name="_Toc235438352"/>
      <w:bookmarkStart w:id="155" w:name="_Toc193160453"/>
      <w:bookmarkStart w:id="156" w:name="_Toc267059658"/>
      <w:bookmarkStart w:id="157" w:name="_Toc227058536"/>
      <w:bookmarkStart w:id="158" w:name="_Toc213208771"/>
      <w:bookmarkStart w:id="159" w:name="_Toc249325720"/>
      <w:bookmarkStart w:id="160" w:name="_Toc267059811"/>
      <w:bookmarkStart w:id="161" w:name="_Toc191802695"/>
      <w:bookmarkStart w:id="162" w:name="_Toc230071153"/>
      <w:bookmarkStart w:id="163" w:name="_Toc182805222"/>
      <w:bookmarkStart w:id="164" w:name="_Toc267060461"/>
      <w:bookmarkStart w:id="165" w:name="_Toc182372787"/>
      <w:bookmarkStart w:id="166" w:name="_Toc267059186"/>
      <w:bookmarkStart w:id="167" w:name="_Toc213755864"/>
      <w:bookmarkStart w:id="168" w:name="_Toc191789334"/>
      <w:bookmarkStart w:id="169" w:name="_Toc192996451"/>
      <w:bookmarkStart w:id="170" w:name="_Toc267059924"/>
      <w:bookmarkStart w:id="171" w:name="_Toc192996343"/>
      <w:bookmarkStart w:id="172" w:name="_Toc211917121"/>
      <w:bookmarkStart w:id="173" w:name="_Toc225669328"/>
      <w:bookmarkStart w:id="174" w:name="_Toc255975016"/>
      <w:bookmarkStart w:id="175" w:name="_Toc254790909"/>
      <w:bookmarkStart w:id="176" w:name="_Toc213756057"/>
      <w:bookmarkStart w:id="177" w:name="_Toc192663691"/>
      <w:bookmarkStart w:id="178" w:name="_Toc267060216"/>
      <w:bookmarkStart w:id="179" w:name="_Toc273178703"/>
      <w:bookmarkStart w:id="180" w:name="_Toc253066624"/>
      <w:bookmarkStart w:id="181" w:name="_Toc219800249"/>
      <w:r>
        <w:rPr>
          <w:rFonts w:hint="eastAsia" w:ascii="仿宋" w:hAnsi="仿宋" w:eastAsia="仿宋"/>
          <w:color w:val="auto"/>
          <w:sz w:val="28"/>
          <w:szCs w:val="28"/>
          <w:lang w:val="en-US" w:eastAsia="zh-CN"/>
        </w:rPr>
        <w:t>期 ：</w:t>
      </w:r>
    </w:p>
    <w:p>
      <w:pPr>
        <w:jc w:val="both"/>
        <w:outlineLvl w:val="1"/>
        <w:rPr>
          <w:rFonts w:ascii="仿宋" w:hAnsi="仿宋" w:eastAsia="仿宋"/>
          <w:b/>
          <w:bCs/>
          <w:color w:val="auto"/>
          <w:sz w:val="28"/>
          <w:szCs w:val="28"/>
        </w:rPr>
      </w:pP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color w:val="auto"/>
          <w:sz w:val="28"/>
          <w:szCs w:val="28"/>
        </w:rPr>
      </w:pPr>
      <w:r>
        <w:rPr>
          <w:rFonts w:hint="eastAsia" w:ascii="仿宋" w:hAnsi="仿宋" w:eastAsia="仿宋"/>
          <w:b/>
          <w:bCs/>
          <w:sz w:val="28"/>
          <w:szCs w:val="28"/>
        </w:rPr>
        <w:t>以上材料复印件须加盖参与人公司公章，并与报价一览表一同密封</w:t>
      </w: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521B3"/>
    <w:multiLevelType w:val="singleLevel"/>
    <w:tmpl w:val="FC5521B3"/>
    <w:lvl w:ilvl="0" w:tentative="0">
      <w:start w:val="2"/>
      <w:numFmt w:val="chineseCounting"/>
      <w:suff w:val="nothing"/>
      <w:lvlText w:val="%1、"/>
      <w:lvlJc w:val="left"/>
      <w:rPr>
        <w:rFonts w:hint="eastAsia"/>
      </w:rPr>
    </w:lvl>
  </w:abstractNum>
  <w:abstractNum w:abstractNumId="1">
    <w:nsid w:val="109AEA02"/>
    <w:multiLevelType w:val="singleLevel"/>
    <w:tmpl w:val="109AEA02"/>
    <w:lvl w:ilvl="0" w:tentative="0">
      <w:start w:val="1"/>
      <w:numFmt w:val="decimal"/>
      <w:suff w:val="nothing"/>
      <w:lvlText w:val="%1、"/>
      <w:lvlJc w:val="left"/>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479E5"/>
    <w:rsid w:val="004940D0"/>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5D32"/>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1512DE"/>
    <w:rsid w:val="013B78A6"/>
    <w:rsid w:val="01687703"/>
    <w:rsid w:val="01C155CE"/>
    <w:rsid w:val="02364A0C"/>
    <w:rsid w:val="02661E94"/>
    <w:rsid w:val="02840B89"/>
    <w:rsid w:val="02870C0A"/>
    <w:rsid w:val="02B81FC4"/>
    <w:rsid w:val="02E37041"/>
    <w:rsid w:val="03075F8D"/>
    <w:rsid w:val="03455F4E"/>
    <w:rsid w:val="038D16A3"/>
    <w:rsid w:val="039638E7"/>
    <w:rsid w:val="04351B1E"/>
    <w:rsid w:val="04794E7F"/>
    <w:rsid w:val="0482607C"/>
    <w:rsid w:val="04B23D35"/>
    <w:rsid w:val="04D0555C"/>
    <w:rsid w:val="054C5C3B"/>
    <w:rsid w:val="059960DD"/>
    <w:rsid w:val="060347F1"/>
    <w:rsid w:val="062905AC"/>
    <w:rsid w:val="066A7A79"/>
    <w:rsid w:val="06A049B2"/>
    <w:rsid w:val="06A21746"/>
    <w:rsid w:val="072E401D"/>
    <w:rsid w:val="07737F0E"/>
    <w:rsid w:val="078E16EE"/>
    <w:rsid w:val="07C62C9A"/>
    <w:rsid w:val="08033CE1"/>
    <w:rsid w:val="080B0464"/>
    <w:rsid w:val="08193C65"/>
    <w:rsid w:val="087450D0"/>
    <w:rsid w:val="08A23BC3"/>
    <w:rsid w:val="09163FAD"/>
    <w:rsid w:val="09CC5B5F"/>
    <w:rsid w:val="09CD0A4B"/>
    <w:rsid w:val="09EF21D4"/>
    <w:rsid w:val="0A225F84"/>
    <w:rsid w:val="0A9256FD"/>
    <w:rsid w:val="0ABE6F77"/>
    <w:rsid w:val="0AC0360E"/>
    <w:rsid w:val="0B4D1DC0"/>
    <w:rsid w:val="0B850547"/>
    <w:rsid w:val="0C1976F1"/>
    <w:rsid w:val="0C2506CA"/>
    <w:rsid w:val="0C536AD3"/>
    <w:rsid w:val="0CB21BAE"/>
    <w:rsid w:val="0D072BD4"/>
    <w:rsid w:val="0D110995"/>
    <w:rsid w:val="0D346FAD"/>
    <w:rsid w:val="0D405C1F"/>
    <w:rsid w:val="0D5B4556"/>
    <w:rsid w:val="0DC1596E"/>
    <w:rsid w:val="0E4E1114"/>
    <w:rsid w:val="0FAD4880"/>
    <w:rsid w:val="0FBC262B"/>
    <w:rsid w:val="0FD2660C"/>
    <w:rsid w:val="0FE81CDC"/>
    <w:rsid w:val="105570A4"/>
    <w:rsid w:val="117A5E63"/>
    <w:rsid w:val="12086AC4"/>
    <w:rsid w:val="12DD5C66"/>
    <w:rsid w:val="130F3E82"/>
    <w:rsid w:val="13B55131"/>
    <w:rsid w:val="13D440B7"/>
    <w:rsid w:val="13E2055A"/>
    <w:rsid w:val="148C5AD4"/>
    <w:rsid w:val="149C04EA"/>
    <w:rsid w:val="149E3FE2"/>
    <w:rsid w:val="14B95069"/>
    <w:rsid w:val="15531F88"/>
    <w:rsid w:val="1565422D"/>
    <w:rsid w:val="1565686A"/>
    <w:rsid w:val="15F01254"/>
    <w:rsid w:val="160735CB"/>
    <w:rsid w:val="164A73E5"/>
    <w:rsid w:val="16984B90"/>
    <w:rsid w:val="177922F0"/>
    <w:rsid w:val="178D62A6"/>
    <w:rsid w:val="18A7740A"/>
    <w:rsid w:val="18A865E6"/>
    <w:rsid w:val="18B70384"/>
    <w:rsid w:val="18E917E8"/>
    <w:rsid w:val="18EE34E0"/>
    <w:rsid w:val="191551FD"/>
    <w:rsid w:val="19635022"/>
    <w:rsid w:val="198B3B37"/>
    <w:rsid w:val="19C82665"/>
    <w:rsid w:val="19E44F1B"/>
    <w:rsid w:val="1A0A54DD"/>
    <w:rsid w:val="1A6A7550"/>
    <w:rsid w:val="1A9D706D"/>
    <w:rsid w:val="1AA7532A"/>
    <w:rsid w:val="1AF5077E"/>
    <w:rsid w:val="1BC075C5"/>
    <w:rsid w:val="1C0349B8"/>
    <w:rsid w:val="1C0F55D2"/>
    <w:rsid w:val="1C6B1790"/>
    <w:rsid w:val="1CDE393C"/>
    <w:rsid w:val="1D623959"/>
    <w:rsid w:val="1D8421F2"/>
    <w:rsid w:val="1DD63BC3"/>
    <w:rsid w:val="1DF01D2E"/>
    <w:rsid w:val="1E055934"/>
    <w:rsid w:val="1E134D45"/>
    <w:rsid w:val="1E543091"/>
    <w:rsid w:val="1E5E22C8"/>
    <w:rsid w:val="1EAB24BE"/>
    <w:rsid w:val="1F407E1B"/>
    <w:rsid w:val="1F7E7648"/>
    <w:rsid w:val="1FCB7383"/>
    <w:rsid w:val="201755EF"/>
    <w:rsid w:val="208B0DBD"/>
    <w:rsid w:val="20B76073"/>
    <w:rsid w:val="20DE6C42"/>
    <w:rsid w:val="2112616A"/>
    <w:rsid w:val="211C0927"/>
    <w:rsid w:val="216F46AE"/>
    <w:rsid w:val="21785A55"/>
    <w:rsid w:val="22BE686D"/>
    <w:rsid w:val="22D62F8D"/>
    <w:rsid w:val="22F85847"/>
    <w:rsid w:val="2353229A"/>
    <w:rsid w:val="23BB5D5A"/>
    <w:rsid w:val="23BF0FAD"/>
    <w:rsid w:val="23D04F68"/>
    <w:rsid w:val="23E00F0C"/>
    <w:rsid w:val="24442EA3"/>
    <w:rsid w:val="24452ACA"/>
    <w:rsid w:val="24530BBA"/>
    <w:rsid w:val="24782B06"/>
    <w:rsid w:val="24924F8F"/>
    <w:rsid w:val="24D86479"/>
    <w:rsid w:val="253567A3"/>
    <w:rsid w:val="25592B77"/>
    <w:rsid w:val="256A4F48"/>
    <w:rsid w:val="259C1BFD"/>
    <w:rsid w:val="264D6D44"/>
    <w:rsid w:val="26BA109A"/>
    <w:rsid w:val="26F950BD"/>
    <w:rsid w:val="2804333E"/>
    <w:rsid w:val="281301C3"/>
    <w:rsid w:val="285F5C39"/>
    <w:rsid w:val="29DE2434"/>
    <w:rsid w:val="2A1F603D"/>
    <w:rsid w:val="2A5A0DE4"/>
    <w:rsid w:val="2AE56202"/>
    <w:rsid w:val="2B02323B"/>
    <w:rsid w:val="2B626EB8"/>
    <w:rsid w:val="2BCD2BDD"/>
    <w:rsid w:val="2BF60E63"/>
    <w:rsid w:val="2BFF64A4"/>
    <w:rsid w:val="2C0B00B8"/>
    <w:rsid w:val="2C1F61BD"/>
    <w:rsid w:val="2C314C52"/>
    <w:rsid w:val="2C3418A2"/>
    <w:rsid w:val="2D0D2C5F"/>
    <w:rsid w:val="2D210F5A"/>
    <w:rsid w:val="2D8A383E"/>
    <w:rsid w:val="2E6A5934"/>
    <w:rsid w:val="2E6B29FF"/>
    <w:rsid w:val="2E7F42B8"/>
    <w:rsid w:val="2E9230B5"/>
    <w:rsid w:val="2E9D748A"/>
    <w:rsid w:val="2F1A2B37"/>
    <w:rsid w:val="2F233D16"/>
    <w:rsid w:val="2F4164CD"/>
    <w:rsid w:val="2FBD0309"/>
    <w:rsid w:val="30196231"/>
    <w:rsid w:val="30390578"/>
    <w:rsid w:val="306B014C"/>
    <w:rsid w:val="30A20A20"/>
    <w:rsid w:val="30A64DF0"/>
    <w:rsid w:val="30DD50A6"/>
    <w:rsid w:val="310043C5"/>
    <w:rsid w:val="311728D5"/>
    <w:rsid w:val="311F422B"/>
    <w:rsid w:val="317A0665"/>
    <w:rsid w:val="31910CCC"/>
    <w:rsid w:val="31C205E6"/>
    <w:rsid w:val="31D34737"/>
    <w:rsid w:val="321B6169"/>
    <w:rsid w:val="322D5E7C"/>
    <w:rsid w:val="323503C0"/>
    <w:rsid w:val="32BF2D77"/>
    <w:rsid w:val="32C17B41"/>
    <w:rsid w:val="330924FA"/>
    <w:rsid w:val="33176B70"/>
    <w:rsid w:val="33BB0DF9"/>
    <w:rsid w:val="33C95607"/>
    <w:rsid w:val="341B3FDD"/>
    <w:rsid w:val="341E3ACD"/>
    <w:rsid w:val="34B64634"/>
    <w:rsid w:val="353D1E50"/>
    <w:rsid w:val="3545267E"/>
    <w:rsid w:val="354B643B"/>
    <w:rsid w:val="354C0AE3"/>
    <w:rsid w:val="356600E2"/>
    <w:rsid w:val="36105698"/>
    <w:rsid w:val="3614623A"/>
    <w:rsid w:val="362B772F"/>
    <w:rsid w:val="365B1D2E"/>
    <w:rsid w:val="36891D08"/>
    <w:rsid w:val="36FB182D"/>
    <w:rsid w:val="37270A48"/>
    <w:rsid w:val="37300437"/>
    <w:rsid w:val="3731103A"/>
    <w:rsid w:val="373F0720"/>
    <w:rsid w:val="37600FD8"/>
    <w:rsid w:val="376D0D1D"/>
    <w:rsid w:val="385A6BF5"/>
    <w:rsid w:val="389A5214"/>
    <w:rsid w:val="38A316BD"/>
    <w:rsid w:val="3908026A"/>
    <w:rsid w:val="39295141"/>
    <w:rsid w:val="399C0FEE"/>
    <w:rsid w:val="39FA6E64"/>
    <w:rsid w:val="3A216B99"/>
    <w:rsid w:val="3A8A396A"/>
    <w:rsid w:val="3B324D67"/>
    <w:rsid w:val="3B5D5C63"/>
    <w:rsid w:val="3BAC3D9A"/>
    <w:rsid w:val="3BC03F13"/>
    <w:rsid w:val="3BDD28B6"/>
    <w:rsid w:val="3BED3538"/>
    <w:rsid w:val="3C863C7E"/>
    <w:rsid w:val="3CE378E0"/>
    <w:rsid w:val="3D502BD6"/>
    <w:rsid w:val="3D5D5003"/>
    <w:rsid w:val="3E397D58"/>
    <w:rsid w:val="3E3F4D6C"/>
    <w:rsid w:val="3EB361CB"/>
    <w:rsid w:val="3EC532FB"/>
    <w:rsid w:val="3EDF24AA"/>
    <w:rsid w:val="3F254641"/>
    <w:rsid w:val="3F3C278F"/>
    <w:rsid w:val="3F586C8F"/>
    <w:rsid w:val="3FDE6972"/>
    <w:rsid w:val="402B1DF4"/>
    <w:rsid w:val="404F4DED"/>
    <w:rsid w:val="40817EF0"/>
    <w:rsid w:val="40C625FB"/>
    <w:rsid w:val="413438BB"/>
    <w:rsid w:val="417C7A19"/>
    <w:rsid w:val="418547D1"/>
    <w:rsid w:val="41861F46"/>
    <w:rsid w:val="41956E7E"/>
    <w:rsid w:val="42521660"/>
    <w:rsid w:val="42752642"/>
    <w:rsid w:val="42900E7F"/>
    <w:rsid w:val="435A3A16"/>
    <w:rsid w:val="437E69DF"/>
    <w:rsid w:val="4389231A"/>
    <w:rsid w:val="439C5B88"/>
    <w:rsid w:val="43BB2073"/>
    <w:rsid w:val="43C64C77"/>
    <w:rsid w:val="446217B4"/>
    <w:rsid w:val="44955B23"/>
    <w:rsid w:val="44960BE9"/>
    <w:rsid w:val="44EF3DF0"/>
    <w:rsid w:val="455E3522"/>
    <w:rsid w:val="45EE1552"/>
    <w:rsid w:val="45F5094C"/>
    <w:rsid w:val="461267E7"/>
    <w:rsid w:val="464D40C5"/>
    <w:rsid w:val="4674757D"/>
    <w:rsid w:val="467916EA"/>
    <w:rsid w:val="46873754"/>
    <w:rsid w:val="469C305E"/>
    <w:rsid w:val="46B51315"/>
    <w:rsid w:val="46D4594C"/>
    <w:rsid w:val="475A22FA"/>
    <w:rsid w:val="47FE31C2"/>
    <w:rsid w:val="480C4C42"/>
    <w:rsid w:val="485E3CBC"/>
    <w:rsid w:val="489D6ADE"/>
    <w:rsid w:val="48A52D41"/>
    <w:rsid w:val="49265E3E"/>
    <w:rsid w:val="49741107"/>
    <w:rsid w:val="4999731C"/>
    <w:rsid w:val="49EB1945"/>
    <w:rsid w:val="4A117617"/>
    <w:rsid w:val="4A1F30F7"/>
    <w:rsid w:val="4A205BCE"/>
    <w:rsid w:val="4AE34155"/>
    <w:rsid w:val="4B6B67FC"/>
    <w:rsid w:val="4BC506C2"/>
    <w:rsid w:val="4BEC55BB"/>
    <w:rsid w:val="4C893EF8"/>
    <w:rsid w:val="4CEA6EAD"/>
    <w:rsid w:val="4CF42429"/>
    <w:rsid w:val="4D6678FD"/>
    <w:rsid w:val="4D6970FD"/>
    <w:rsid w:val="4D8F7553"/>
    <w:rsid w:val="4DEE58C7"/>
    <w:rsid w:val="4DF47921"/>
    <w:rsid w:val="4DFC49F2"/>
    <w:rsid w:val="4E2B1194"/>
    <w:rsid w:val="4E32626B"/>
    <w:rsid w:val="4E400314"/>
    <w:rsid w:val="4E460803"/>
    <w:rsid w:val="4E6236F1"/>
    <w:rsid w:val="4E7B686F"/>
    <w:rsid w:val="4EDD7128"/>
    <w:rsid w:val="4F0E792C"/>
    <w:rsid w:val="4F187726"/>
    <w:rsid w:val="4F3D309D"/>
    <w:rsid w:val="4F41390D"/>
    <w:rsid w:val="4F443296"/>
    <w:rsid w:val="4F465B90"/>
    <w:rsid w:val="4F6239A0"/>
    <w:rsid w:val="4F63496B"/>
    <w:rsid w:val="4F7A42A4"/>
    <w:rsid w:val="4FAD3E3A"/>
    <w:rsid w:val="50B65B51"/>
    <w:rsid w:val="50B86D14"/>
    <w:rsid w:val="51186860"/>
    <w:rsid w:val="512B1185"/>
    <w:rsid w:val="513A526F"/>
    <w:rsid w:val="513C0AA6"/>
    <w:rsid w:val="514401D2"/>
    <w:rsid w:val="515D3C6A"/>
    <w:rsid w:val="51936861"/>
    <w:rsid w:val="519932BD"/>
    <w:rsid w:val="51A535BA"/>
    <w:rsid w:val="51D0122B"/>
    <w:rsid w:val="51D944B7"/>
    <w:rsid w:val="51DA56A6"/>
    <w:rsid w:val="51DF61F2"/>
    <w:rsid w:val="520B3054"/>
    <w:rsid w:val="521D1B36"/>
    <w:rsid w:val="5226655B"/>
    <w:rsid w:val="52BC6206"/>
    <w:rsid w:val="52E2672E"/>
    <w:rsid w:val="52F9592A"/>
    <w:rsid w:val="532129E4"/>
    <w:rsid w:val="53455BA9"/>
    <w:rsid w:val="53657884"/>
    <w:rsid w:val="53881D52"/>
    <w:rsid w:val="53EB70D0"/>
    <w:rsid w:val="547F2D14"/>
    <w:rsid w:val="54A32EAA"/>
    <w:rsid w:val="554271C4"/>
    <w:rsid w:val="55815FDC"/>
    <w:rsid w:val="55963639"/>
    <w:rsid w:val="55A128F7"/>
    <w:rsid w:val="55A6539B"/>
    <w:rsid w:val="56467820"/>
    <w:rsid w:val="56806967"/>
    <w:rsid w:val="56B32235"/>
    <w:rsid w:val="5768288A"/>
    <w:rsid w:val="57D04F5B"/>
    <w:rsid w:val="57E051CC"/>
    <w:rsid w:val="58123125"/>
    <w:rsid w:val="581806B0"/>
    <w:rsid w:val="58501BF8"/>
    <w:rsid w:val="58625C9E"/>
    <w:rsid w:val="58892FCD"/>
    <w:rsid w:val="5889335C"/>
    <w:rsid w:val="589623E4"/>
    <w:rsid w:val="58FE384E"/>
    <w:rsid w:val="59562848"/>
    <w:rsid w:val="5A4A08C9"/>
    <w:rsid w:val="5A825007"/>
    <w:rsid w:val="5AB478A4"/>
    <w:rsid w:val="5BA8582E"/>
    <w:rsid w:val="5C093B32"/>
    <w:rsid w:val="5C0D7CDE"/>
    <w:rsid w:val="5C2F7D76"/>
    <w:rsid w:val="5C483556"/>
    <w:rsid w:val="5C677510"/>
    <w:rsid w:val="5CB57EC3"/>
    <w:rsid w:val="5D0D4122"/>
    <w:rsid w:val="5D874DE3"/>
    <w:rsid w:val="5D9D17B6"/>
    <w:rsid w:val="5DF5312F"/>
    <w:rsid w:val="5E903322"/>
    <w:rsid w:val="5EA4431D"/>
    <w:rsid w:val="5EA56328"/>
    <w:rsid w:val="5ED4322A"/>
    <w:rsid w:val="5EDB1969"/>
    <w:rsid w:val="5F0E746D"/>
    <w:rsid w:val="5F70492E"/>
    <w:rsid w:val="5F845549"/>
    <w:rsid w:val="5FBA5BED"/>
    <w:rsid w:val="5FEE2A90"/>
    <w:rsid w:val="605A230A"/>
    <w:rsid w:val="606E1DC8"/>
    <w:rsid w:val="60CC56C7"/>
    <w:rsid w:val="60DA0BF8"/>
    <w:rsid w:val="60DF620F"/>
    <w:rsid w:val="611927EA"/>
    <w:rsid w:val="6184033C"/>
    <w:rsid w:val="61A94BC4"/>
    <w:rsid w:val="61B566DD"/>
    <w:rsid w:val="61DF06AA"/>
    <w:rsid w:val="61E23125"/>
    <w:rsid w:val="61F03F6A"/>
    <w:rsid w:val="62972E36"/>
    <w:rsid w:val="62B27B51"/>
    <w:rsid w:val="633968FA"/>
    <w:rsid w:val="634C13BD"/>
    <w:rsid w:val="63E27483"/>
    <w:rsid w:val="63EA71BB"/>
    <w:rsid w:val="64232F46"/>
    <w:rsid w:val="64437333"/>
    <w:rsid w:val="64593BD3"/>
    <w:rsid w:val="646317B0"/>
    <w:rsid w:val="64754794"/>
    <w:rsid w:val="65005D01"/>
    <w:rsid w:val="6522000A"/>
    <w:rsid w:val="653E102A"/>
    <w:rsid w:val="653F169D"/>
    <w:rsid w:val="65702C08"/>
    <w:rsid w:val="657450D7"/>
    <w:rsid w:val="65A31A64"/>
    <w:rsid w:val="65C3029D"/>
    <w:rsid w:val="65FD60F4"/>
    <w:rsid w:val="6633798A"/>
    <w:rsid w:val="66C67529"/>
    <w:rsid w:val="66EA09F9"/>
    <w:rsid w:val="677423A7"/>
    <w:rsid w:val="678B6AF9"/>
    <w:rsid w:val="6794697A"/>
    <w:rsid w:val="67A82D41"/>
    <w:rsid w:val="67DC15C0"/>
    <w:rsid w:val="67FC2280"/>
    <w:rsid w:val="680B1697"/>
    <w:rsid w:val="684403FD"/>
    <w:rsid w:val="684A6664"/>
    <w:rsid w:val="687D52B3"/>
    <w:rsid w:val="68BD06AB"/>
    <w:rsid w:val="68CD4B9F"/>
    <w:rsid w:val="68D21F69"/>
    <w:rsid w:val="68D47ADE"/>
    <w:rsid w:val="68F95994"/>
    <w:rsid w:val="694340BB"/>
    <w:rsid w:val="698308C6"/>
    <w:rsid w:val="698407E7"/>
    <w:rsid w:val="69894F6A"/>
    <w:rsid w:val="6A9B1077"/>
    <w:rsid w:val="6AD23654"/>
    <w:rsid w:val="6B150466"/>
    <w:rsid w:val="6B2C78D9"/>
    <w:rsid w:val="6B577578"/>
    <w:rsid w:val="6B715CB5"/>
    <w:rsid w:val="6B933DB3"/>
    <w:rsid w:val="6BA81F0C"/>
    <w:rsid w:val="6BB62614"/>
    <w:rsid w:val="6BEA4D25"/>
    <w:rsid w:val="6C0549AF"/>
    <w:rsid w:val="6C394820"/>
    <w:rsid w:val="6C602B19"/>
    <w:rsid w:val="6CBC5B31"/>
    <w:rsid w:val="6D12578D"/>
    <w:rsid w:val="6D5B09CB"/>
    <w:rsid w:val="6E7509A0"/>
    <w:rsid w:val="6E937903"/>
    <w:rsid w:val="6EF65B59"/>
    <w:rsid w:val="6EFA67EC"/>
    <w:rsid w:val="6F12155D"/>
    <w:rsid w:val="6F3E3A24"/>
    <w:rsid w:val="6F516C35"/>
    <w:rsid w:val="6F75664B"/>
    <w:rsid w:val="6F791BC4"/>
    <w:rsid w:val="6FA24E8C"/>
    <w:rsid w:val="7027091C"/>
    <w:rsid w:val="70455963"/>
    <w:rsid w:val="708778D0"/>
    <w:rsid w:val="709C7C34"/>
    <w:rsid w:val="70DF7B65"/>
    <w:rsid w:val="7140272C"/>
    <w:rsid w:val="71603429"/>
    <w:rsid w:val="717F6C52"/>
    <w:rsid w:val="71BC4546"/>
    <w:rsid w:val="71C63FEC"/>
    <w:rsid w:val="71C71E99"/>
    <w:rsid w:val="71F7569A"/>
    <w:rsid w:val="71FB7C69"/>
    <w:rsid w:val="721843D6"/>
    <w:rsid w:val="721E5DAA"/>
    <w:rsid w:val="723D2D95"/>
    <w:rsid w:val="72553B33"/>
    <w:rsid w:val="72A87653"/>
    <w:rsid w:val="72C25811"/>
    <w:rsid w:val="72DE6BEC"/>
    <w:rsid w:val="72F702A5"/>
    <w:rsid w:val="73342AE7"/>
    <w:rsid w:val="73E030D5"/>
    <w:rsid w:val="74264C77"/>
    <w:rsid w:val="7479378D"/>
    <w:rsid w:val="74842B0F"/>
    <w:rsid w:val="748F061A"/>
    <w:rsid w:val="7490197B"/>
    <w:rsid w:val="74C222FA"/>
    <w:rsid w:val="753C7683"/>
    <w:rsid w:val="755F7F82"/>
    <w:rsid w:val="757E138A"/>
    <w:rsid w:val="75C7658B"/>
    <w:rsid w:val="75D21BEB"/>
    <w:rsid w:val="766708A1"/>
    <w:rsid w:val="76B63123"/>
    <w:rsid w:val="76F158BA"/>
    <w:rsid w:val="771D4E72"/>
    <w:rsid w:val="775070C7"/>
    <w:rsid w:val="77FC1212"/>
    <w:rsid w:val="785C0155"/>
    <w:rsid w:val="7866407B"/>
    <w:rsid w:val="78735C0B"/>
    <w:rsid w:val="787B4617"/>
    <w:rsid w:val="78877105"/>
    <w:rsid w:val="78941235"/>
    <w:rsid w:val="78A66854"/>
    <w:rsid w:val="7907177B"/>
    <w:rsid w:val="795C7E69"/>
    <w:rsid w:val="79FB69D2"/>
    <w:rsid w:val="7A3852BB"/>
    <w:rsid w:val="7A625FCA"/>
    <w:rsid w:val="7A98084F"/>
    <w:rsid w:val="7AAB5132"/>
    <w:rsid w:val="7AE43DE2"/>
    <w:rsid w:val="7B3A2568"/>
    <w:rsid w:val="7B9B2041"/>
    <w:rsid w:val="7BC93339"/>
    <w:rsid w:val="7C0811ED"/>
    <w:rsid w:val="7C1D6BD7"/>
    <w:rsid w:val="7CF353A8"/>
    <w:rsid w:val="7D313107"/>
    <w:rsid w:val="7D955C1A"/>
    <w:rsid w:val="7DD45989"/>
    <w:rsid w:val="7DE40569"/>
    <w:rsid w:val="7DEA4716"/>
    <w:rsid w:val="7DED57D4"/>
    <w:rsid w:val="7E624DF1"/>
    <w:rsid w:val="7E994CAE"/>
    <w:rsid w:val="7E9A546B"/>
    <w:rsid w:val="7EB25FAE"/>
    <w:rsid w:val="7EEB5927"/>
    <w:rsid w:val="7EEE204F"/>
    <w:rsid w:val="7F227FC0"/>
    <w:rsid w:val="7F264D9C"/>
    <w:rsid w:val="7F6E33DB"/>
    <w:rsid w:val="7FA21299"/>
    <w:rsid w:val="7FE40322"/>
    <w:rsid w:val="7FF30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7"/>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51"/>
    <w:basedOn w:val="24"/>
    <w:qFormat/>
    <w:uiPriority w:val="0"/>
    <w:rPr>
      <w:rFonts w:hint="eastAsia" w:ascii="宋体" w:hAnsi="宋体" w:eastAsia="宋体" w:cs="宋体"/>
      <w:color w:val="000000"/>
      <w:sz w:val="20"/>
      <w:szCs w:val="20"/>
      <w:u w:val="none"/>
    </w:rPr>
  </w:style>
  <w:style w:type="character" w:customStyle="1" w:styleId="60">
    <w:name w:val="font11"/>
    <w:basedOn w:val="24"/>
    <w:qFormat/>
    <w:uiPriority w:val="0"/>
    <w:rPr>
      <w:rFonts w:hint="eastAsia" w:ascii="仿宋" w:hAnsi="仿宋" w:eastAsia="仿宋" w:cs="仿宋"/>
      <w:color w:val="000000"/>
      <w:sz w:val="20"/>
      <w:szCs w:val="20"/>
      <w:u w:val="none"/>
    </w:rPr>
  </w:style>
  <w:style w:type="character" w:customStyle="1" w:styleId="61">
    <w:name w:val="NormalCharacter"/>
    <w:semiHidden/>
    <w:qFormat/>
    <w:uiPriority w:val="0"/>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74</TotalTime>
  <ScaleCrop>false</ScaleCrop>
  <LinksUpToDate>false</LinksUpToDate>
  <CharactersWithSpaces>3430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Zio</cp:lastModifiedBy>
  <cp:lastPrinted>2021-07-07T11:27:00Z</cp:lastPrinted>
  <dcterms:modified xsi:type="dcterms:W3CDTF">2021-11-25T10:46:46Z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13EB9B287B1D44CF9619530DE9E0F198</vt:lpwstr>
  </property>
</Properties>
</file>