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仿宋" w:hAnsi="仿宋" w:eastAsia="仿宋"/>
          <w:b/>
          <w:sz w:val="72"/>
          <w:szCs w:val="72"/>
        </w:rPr>
      </w:pPr>
      <w:bookmarkStart w:id="0" w:name="_Hlk38472698"/>
      <w:r>
        <w:rPr>
          <w:rFonts w:hint="eastAsia" w:ascii="仿宋" w:hAnsi="仿宋" w:eastAsia="仿宋"/>
          <w:b/>
          <w:sz w:val="72"/>
          <w:szCs w:val="72"/>
        </w:rPr>
        <w:drawing>
          <wp:anchor distT="0" distB="0" distL="114300" distR="114300" simplePos="0" relativeHeight="251660288" behindDoc="0" locked="0" layoutInCell="1" allowOverlap="1">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rPr>
          <w:rFonts w:ascii="仿宋" w:hAnsi="仿宋" w:eastAsia="仿宋"/>
          <w:b/>
          <w:sz w:val="32"/>
          <w:szCs w:val="32"/>
        </w:rPr>
      </w:pPr>
      <w:bookmarkStart w:id="325" w:name="_GoBack"/>
      <w:bookmarkEnd w:id="325"/>
      <w:r>
        <w:rPr>
          <w:rFonts w:hint="eastAsia" w:ascii="仿宋" w:hAnsi="仿宋" w:eastAsia="仿宋"/>
          <w:b/>
          <w:sz w:val="32"/>
          <w:szCs w:val="32"/>
        </w:rPr>
        <w:t>江西科技学院关于</w:t>
      </w:r>
      <w:bookmarkEnd w:id="0"/>
      <w:r>
        <w:rPr>
          <w:rFonts w:hint="eastAsia" w:ascii="仿宋" w:hAnsi="仿宋" w:eastAsia="仿宋"/>
          <w:b/>
          <w:sz w:val="32"/>
          <w:szCs w:val="32"/>
        </w:rPr>
        <w:t>功能性投影仪设备采购项目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项目编号：</w:t>
      </w:r>
      <w:bookmarkStart w:id="1" w:name="_Toc160880118"/>
      <w:bookmarkStart w:id="2" w:name="_Toc160880485"/>
      <w:bookmarkStart w:id="3" w:name="_Toc169332792"/>
      <w:r>
        <w:rPr>
          <w:rFonts w:hint="eastAsia" w:ascii="仿宋" w:hAnsi="仿宋" w:eastAsia="仿宋"/>
          <w:b/>
          <w:sz w:val="30"/>
          <w:szCs w:val="30"/>
        </w:rPr>
        <w:t>JK202</w:t>
      </w:r>
      <w:r>
        <w:rPr>
          <w:rFonts w:ascii="仿宋" w:hAnsi="仿宋" w:eastAsia="仿宋"/>
          <w:b/>
          <w:sz w:val="30"/>
          <w:szCs w:val="30"/>
        </w:rPr>
        <w:t>11118001</w:t>
      </w:r>
    </w:p>
    <w:p>
      <w:pPr>
        <w:spacing w:line="500" w:lineRule="exact"/>
        <w:ind w:firstLine="1943" w:firstLineChars="645"/>
        <w:rPr>
          <w:rFonts w:ascii="仿宋" w:hAnsi="仿宋" w:eastAsia="仿宋"/>
          <w:b/>
          <w:sz w:val="32"/>
          <w:szCs w:val="32"/>
        </w:rPr>
      </w:pPr>
      <w:r>
        <w:rPr>
          <w:rFonts w:hint="eastAsia" w:ascii="仿宋" w:hAnsi="仿宋" w:eastAsia="仿宋"/>
          <w:b/>
          <w:sz w:val="30"/>
          <w:szCs w:val="30"/>
        </w:rPr>
        <w:t>项目名称</w:t>
      </w:r>
      <w:bookmarkEnd w:id="1"/>
      <w:bookmarkEnd w:id="2"/>
      <w:bookmarkEnd w:id="3"/>
      <w:r>
        <w:rPr>
          <w:rFonts w:hint="eastAsia" w:ascii="仿宋" w:hAnsi="仿宋" w:eastAsia="仿宋"/>
          <w:b/>
          <w:sz w:val="30"/>
          <w:szCs w:val="30"/>
        </w:rPr>
        <w:t>：</w:t>
      </w:r>
      <w:bookmarkStart w:id="4" w:name="_Toc253066567"/>
      <w:bookmarkStart w:id="5" w:name="_Toc217891359"/>
      <w:bookmarkStart w:id="6" w:name="_Toc251613780"/>
      <w:bookmarkStart w:id="7" w:name="_Toc267059786"/>
      <w:bookmarkStart w:id="8" w:name="_Toc258401210"/>
      <w:bookmarkStart w:id="9" w:name="_Toc259692600"/>
      <w:bookmarkStart w:id="10" w:name="_Toc170798743"/>
      <w:bookmarkStart w:id="11" w:name="_Toc249325665"/>
      <w:bookmarkStart w:id="12" w:name="_Toc235437942"/>
      <w:bookmarkStart w:id="13" w:name="_Toc267059010"/>
      <w:bookmarkStart w:id="14" w:name="_Toc160880487"/>
      <w:bookmarkStart w:id="15" w:name="_Toc236021402"/>
      <w:bookmarkStart w:id="16" w:name="_Toc177985424"/>
      <w:bookmarkStart w:id="17" w:name="_Toc211937196"/>
      <w:bookmarkStart w:id="18" w:name="_Toc259692693"/>
      <w:bookmarkStart w:id="19" w:name="_Toc251586187"/>
      <w:bookmarkStart w:id="20" w:name="_Toc169332794"/>
      <w:bookmarkStart w:id="21" w:name="_Toc267059899"/>
      <w:bookmarkStart w:id="22" w:name="_Toc267060022"/>
      <w:bookmarkStart w:id="23" w:name="_Toc235438297"/>
      <w:bookmarkStart w:id="24" w:name="_Toc266868924"/>
      <w:bookmarkStart w:id="25" w:name="_Toc216241307"/>
      <w:bookmarkStart w:id="26" w:name="_Toc273178686"/>
      <w:bookmarkStart w:id="27" w:name="_Toc254790852"/>
      <w:bookmarkStart w:id="28" w:name="_Toc266868624"/>
      <w:bookmarkStart w:id="29" w:name="_Toc219800200"/>
      <w:bookmarkStart w:id="30" w:name="_Toc267059161"/>
      <w:bookmarkStart w:id="31" w:name="_Toc212454753"/>
      <w:bookmarkStart w:id="32" w:name="_Toc267059519"/>
      <w:bookmarkStart w:id="33" w:name="_Toc267060162"/>
      <w:bookmarkStart w:id="34" w:name="_Toc267059633"/>
      <w:bookmarkStart w:id="35" w:name="_Toc259520819"/>
      <w:bookmarkStart w:id="36" w:name="_Toc169332904"/>
      <w:bookmarkStart w:id="37" w:name="_Toc267060407"/>
      <w:bookmarkStart w:id="38" w:name="_Toc207014580"/>
      <w:bookmarkStart w:id="39" w:name="_Toc227058483"/>
      <w:bookmarkStart w:id="40" w:name="_Toc212526081"/>
      <w:bookmarkStart w:id="41" w:name="_Toc255974963"/>
      <w:bookmarkStart w:id="42" w:name="_Toc225669277"/>
      <w:bookmarkStart w:id="43" w:name="_Toc223146565"/>
      <w:bookmarkStart w:id="44" w:name="_Toc212530253"/>
      <w:bookmarkStart w:id="45" w:name="_Toc266870386"/>
      <w:bookmarkStart w:id="46" w:name="_Toc266870861"/>
      <w:bookmarkStart w:id="47" w:name="_Toc235438227"/>
      <w:bookmarkStart w:id="48" w:name="_Toc212456146"/>
      <w:r>
        <w:rPr>
          <w:rFonts w:hint="eastAsia" w:ascii="仿宋" w:hAnsi="仿宋" w:eastAsia="仿宋"/>
          <w:b/>
          <w:sz w:val="32"/>
          <w:szCs w:val="32"/>
        </w:rPr>
        <w:t>功能性投影仪设备采购项目</w:t>
      </w:r>
    </w:p>
    <w:p>
      <w:pPr>
        <w:spacing w:line="500" w:lineRule="exact"/>
        <w:ind w:firstLine="1943" w:firstLineChars="645"/>
        <w:rPr>
          <w:rFonts w:ascii="仿宋" w:hAnsi="仿宋" w:eastAsia="仿宋"/>
          <w:b/>
          <w:sz w:val="30"/>
          <w:szCs w:val="30"/>
        </w:rPr>
        <w:sectPr>
          <w:footerReference r:id="rId5" w:type="default"/>
          <w:pgSz w:w="11906" w:h="16838"/>
          <w:pgMar w:top="1440" w:right="1416" w:bottom="1440" w:left="1134" w:header="851" w:footer="680" w:gutter="0"/>
          <w:cols w:space="425" w:num="1"/>
          <w:titlePg/>
          <w:docGrid w:type="lines" w:linePitch="312" w:charSpace="0"/>
        </w:sectPr>
      </w:pP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425" w:firstLineChars="152"/>
        <w:jc w:val="left"/>
        <w:rPr>
          <w:rFonts w:ascii="仿宋" w:hAnsi="仿宋" w:eastAsia="仿宋" w:cs="Times New Roman"/>
          <w:sz w:val="28"/>
          <w:szCs w:val="28"/>
        </w:rPr>
      </w:pPr>
      <w:bookmarkStart w:id="49" w:name="_Hlk10840310"/>
      <w:r>
        <w:rPr>
          <w:rFonts w:hint="eastAsia" w:ascii="仿宋" w:hAnsi="仿宋" w:eastAsia="仿宋"/>
          <w:sz w:val="28"/>
          <w:szCs w:val="28"/>
        </w:rPr>
        <w:t>按照公开、公平、公正的原则，经学校研究决定，将江西科技学院功能性投影仪设备项目公开询价信息公布，欢迎国内合格的供应商参与,校内教职工均可推荐符合条件的供应商来参与，以利于做好信息透明、机会均等、程序规范、标准统一的要求。</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项目编号：JK202</w:t>
      </w:r>
      <w:r>
        <w:rPr>
          <w:rFonts w:ascii="仿宋" w:hAnsi="仿宋" w:eastAsia="仿宋"/>
          <w:sz w:val="28"/>
          <w:szCs w:val="28"/>
        </w:rPr>
        <w:t>11118001</w:t>
      </w:r>
    </w:p>
    <w:p>
      <w:pPr>
        <w:widowControl w:val="0"/>
        <w:spacing w:after="0" w:line="500" w:lineRule="exact"/>
        <w:ind w:left="839"/>
        <w:rPr>
          <w:rFonts w:ascii="仿宋" w:hAnsi="仿宋" w:eastAsia="仿宋"/>
          <w:sz w:val="28"/>
          <w:szCs w:val="28"/>
        </w:rPr>
      </w:pPr>
      <w:r>
        <w:rPr>
          <w:rFonts w:hint="eastAsia" w:ascii="仿宋" w:hAnsi="仿宋" w:eastAsia="仿宋"/>
          <w:sz w:val="28"/>
          <w:szCs w:val="28"/>
        </w:rPr>
        <w:t>项目名称：江西科技学院功能性投影仪设备采购项目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数量及主要技术要求:详见附件。</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w:t>
      </w:r>
      <w:r>
        <w:rPr>
          <w:rFonts w:hint="eastAsia" w:ascii="仿宋" w:hAnsi="仿宋" w:eastAsia="仿宋"/>
          <w:color w:val="0C0C0C"/>
          <w:sz w:val="28"/>
          <w:szCs w:val="28"/>
        </w:rPr>
        <w:t>，</w:t>
      </w:r>
      <w:r>
        <w:rPr>
          <w:rFonts w:hint="eastAsia" w:ascii="仿宋" w:hAnsi="仿宋" w:eastAsia="仿宋"/>
          <w:sz w:val="28"/>
          <w:szCs w:val="28"/>
        </w:rPr>
        <w:t>具有独立承担民事责任能力的生产厂商或授权代理商。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（2）参与人应具</w:t>
      </w:r>
      <w:r>
        <w:rPr>
          <w:rFonts w:ascii="仿宋" w:hAnsi="仿宋" w:eastAsia="仿宋"/>
          <w:sz w:val="28"/>
          <w:szCs w:val="28"/>
        </w:rPr>
        <w:t>有提</w:t>
      </w:r>
      <w:r>
        <w:rPr>
          <w:rFonts w:hint="eastAsia" w:ascii="仿宋" w:hAnsi="仿宋" w:eastAsia="仿宋"/>
          <w:sz w:val="28"/>
          <w:szCs w:val="28"/>
        </w:rPr>
        <w:t>供功能性投影仪设备和</w:t>
      </w:r>
      <w:r>
        <w:rPr>
          <w:rFonts w:ascii="仿宋" w:hAnsi="仿宋" w:eastAsia="仿宋"/>
          <w:color w:val="000000"/>
          <w:sz w:val="28"/>
          <w:szCs w:val="28"/>
        </w:rPr>
        <w:t>服务的资格</w:t>
      </w:r>
      <w:r>
        <w:rPr>
          <w:rFonts w:hint="eastAsia" w:ascii="仿宋" w:hAnsi="仿宋" w:eastAsia="仿宋"/>
          <w:color w:val="000000"/>
          <w:sz w:val="28"/>
          <w:szCs w:val="28"/>
        </w:rPr>
        <w:t>及</w:t>
      </w:r>
      <w:r>
        <w:rPr>
          <w:rFonts w:ascii="仿宋" w:hAnsi="仿宋" w:eastAsia="仿宋"/>
          <w:color w:val="000000"/>
          <w:sz w:val="28"/>
          <w:szCs w:val="28"/>
        </w:rPr>
        <w:t>能力</w:t>
      </w:r>
      <w:r>
        <w:rPr>
          <w:rFonts w:hint="eastAsia" w:ascii="仿宋" w:hAnsi="仿宋" w:eastAsia="仿宋"/>
          <w:sz w:val="28"/>
          <w:szCs w:val="28"/>
        </w:rPr>
        <w:t>。在南昌市范围有固定服务机构。</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（4）参与人具有相关投影仪设备项目和良好的售后服务应用成功案例,近三年未发生重大安全或质量事故。</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：2021年</w:t>
      </w:r>
      <w:r>
        <w:rPr>
          <w:rFonts w:ascii="仿宋" w:hAnsi="仿宋" w:eastAsia="仿宋"/>
          <w:sz w:val="28"/>
          <w:szCs w:val="28"/>
          <w:shd w:val="clear" w:color="auto" w:fill="FFFFFF"/>
        </w:rPr>
        <w:t>12月</w:t>
      </w:r>
      <w:r>
        <w:rPr>
          <w:rFonts w:hint="eastAsia" w:ascii="仿宋" w:hAnsi="仿宋" w:eastAsia="仿宋"/>
          <w:sz w:val="28"/>
          <w:szCs w:val="28"/>
          <w:shd w:val="clear" w:color="auto" w:fill="FFFFFF"/>
          <w:lang w:val="en-US" w:eastAsia="zh-CN"/>
        </w:rPr>
        <w:t>6</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下午16:00前。</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报价响应文件递交地点：</w:t>
      </w:r>
    </w:p>
    <w:p>
      <w:pPr>
        <w:spacing w:after="0" w:line="500" w:lineRule="exact"/>
        <w:ind w:firstLine="840" w:firstLineChars="300"/>
        <w:rPr>
          <w:rFonts w:ascii="仿宋" w:hAnsi="仿宋" w:eastAsia="仿宋"/>
          <w:sz w:val="28"/>
          <w:szCs w:val="28"/>
        </w:rPr>
      </w:pPr>
      <w:r>
        <w:rPr>
          <w:rFonts w:hint="eastAsia" w:ascii="仿宋" w:hAnsi="仿宋" w:eastAsia="仿宋"/>
          <w:sz w:val="28"/>
          <w:szCs w:val="28"/>
        </w:rPr>
        <w:t>地点：后勤中心30</w:t>
      </w:r>
      <w:r>
        <w:rPr>
          <w:rFonts w:ascii="仿宋" w:hAnsi="仿宋" w:eastAsia="仿宋"/>
          <w:sz w:val="28"/>
          <w:szCs w:val="28"/>
        </w:rPr>
        <w:t>6</w:t>
      </w:r>
    </w:p>
    <w:p>
      <w:pPr>
        <w:spacing w:after="0" w:line="500" w:lineRule="exact"/>
        <w:ind w:left="839"/>
        <w:rPr>
          <w:rFonts w:ascii="Arial" w:hAnsi="Arial" w:eastAsia="Arial" w:cs="Arial"/>
          <w:b w:val="0"/>
          <w:bCs w:val="0"/>
          <w:i w:val="0"/>
          <w:iCs w:val="0"/>
          <w:caps w:val="0"/>
          <w:color w:val="1D1D1D"/>
          <w:spacing w:val="0"/>
          <w:sz w:val="18"/>
          <w:szCs w:val="18"/>
          <w:shd w:val="clear" w:fill="F6F8F9"/>
        </w:rPr>
      </w:pPr>
      <w:r>
        <w:rPr>
          <w:rFonts w:hint="eastAsia" w:ascii="仿宋" w:hAnsi="仿宋" w:eastAsia="仿宋"/>
          <w:sz w:val="28"/>
          <w:szCs w:val="28"/>
        </w:rPr>
        <w:t>联系人：吴震林  联系电话：</w:t>
      </w:r>
      <w:r>
        <w:rPr>
          <w:rFonts w:ascii="仿宋" w:hAnsi="仿宋" w:eastAsia="仿宋"/>
          <w:sz w:val="28"/>
          <w:szCs w:val="28"/>
        </w:rPr>
        <w:t>13870830011</w:t>
      </w:r>
    </w:p>
    <w:p>
      <w:pPr>
        <w:spacing w:after="0" w:line="500" w:lineRule="exact"/>
        <w:ind w:left="839"/>
        <w:rPr>
          <w:rFonts w:ascii="仿宋" w:hAnsi="仿宋" w:eastAsia="仿宋"/>
          <w:sz w:val="28"/>
          <w:szCs w:val="28"/>
        </w:rPr>
      </w:pPr>
      <w:r>
        <w:rPr>
          <w:rFonts w:hint="eastAsia" w:ascii="仿宋" w:hAnsi="仿宋" w:eastAsia="仿宋"/>
          <w:sz w:val="28"/>
          <w:szCs w:val="28"/>
        </w:rPr>
        <w:t>项目现场踏勘答疑人：刘斌</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15070083097</w:t>
      </w:r>
    </w:p>
    <w:p>
      <w:pPr>
        <w:spacing w:after="0" w:line="500" w:lineRule="exact"/>
        <w:ind w:left="849" w:leftChars="385" w:hanging="2"/>
        <w:rPr>
          <w:rFonts w:ascii="仿宋" w:hAnsi="仿宋" w:eastAsia="仿宋"/>
          <w:b/>
          <w:bCs/>
          <w:sz w:val="28"/>
          <w:szCs w:val="28"/>
        </w:rPr>
      </w:pPr>
      <w:r>
        <w:rPr>
          <w:rFonts w:hint="eastAsia" w:ascii="仿宋" w:hAnsi="仿宋" w:eastAsia="仿宋"/>
          <w:b/>
          <w:bCs/>
          <w:sz w:val="28"/>
          <w:szCs w:val="28"/>
        </w:rPr>
        <w:t>本项目监督投诉部门：中教集团内控部；投诉电话： 0791-88102608；</w:t>
      </w:r>
    </w:p>
    <w:p>
      <w:pPr>
        <w:spacing w:after="0" w:line="500" w:lineRule="exact"/>
        <w:ind w:left="851" w:leftChars="386" w:hanging="2"/>
        <w:rPr>
          <w:rFonts w:ascii="仿宋" w:hAnsi="仿宋" w:eastAsia="仿宋"/>
          <w:b/>
          <w:bCs/>
          <w:sz w:val="28"/>
          <w:szCs w:val="28"/>
        </w:rPr>
      </w:pPr>
      <w:r>
        <w:rPr>
          <w:rFonts w:hint="eastAsia" w:ascii="仿宋" w:hAnsi="仿宋" w:eastAsia="仿宋"/>
          <w:b/>
          <w:bCs/>
          <w:sz w:val="28"/>
          <w:szCs w:val="28"/>
        </w:rPr>
        <w:t>投诉邮箱：</w:t>
      </w:r>
      <w:r>
        <w:fldChar w:fldCharType="begin"/>
      </w:r>
      <w:r>
        <w:instrText xml:space="preserve"> HYPERLINK "mailto:Neikongbu@educationgroup.cn" </w:instrText>
      </w:r>
      <w:r>
        <w:fldChar w:fldCharType="separate"/>
      </w:r>
      <w:r>
        <w:rPr>
          <w:rStyle w:val="29"/>
          <w:rFonts w:hint="eastAsia" w:ascii="仿宋" w:hAnsi="仿宋" w:eastAsia="仿宋"/>
          <w:b/>
          <w:bCs/>
          <w:sz w:val="28"/>
          <w:szCs w:val="28"/>
        </w:rPr>
        <w:t>Neikongbu@educationgroup.cn</w:t>
      </w:r>
      <w:r>
        <w:rPr>
          <w:rStyle w:val="29"/>
          <w:rFonts w:hint="eastAsia" w:ascii="仿宋" w:hAnsi="仿宋" w:eastAsia="仿宋"/>
          <w:b/>
          <w:bCs/>
          <w:sz w:val="28"/>
          <w:szCs w:val="28"/>
        </w:rPr>
        <w:fldChar w:fldCharType="end"/>
      </w:r>
    </w:p>
    <w:p>
      <w:pPr>
        <w:spacing w:after="0" w:line="500" w:lineRule="exact"/>
        <w:ind w:firstLine="427" w:firstLineChars="152"/>
        <w:jc w:val="left"/>
        <w:rPr>
          <w:rStyle w:val="29"/>
          <w:rFonts w:ascii="仿宋" w:hAnsi="仿宋" w:eastAsia="仿宋" w:cs="仿宋"/>
          <w:color w:val="000000"/>
          <w:sz w:val="28"/>
          <w:szCs w:val="28"/>
        </w:rPr>
      </w:pPr>
      <w:bookmarkStart w:id="50" w:name="_Hlk60233196"/>
      <w:r>
        <w:rPr>
          <w:rStyle w:val="27"/>
          <w:rFonts w:ascii="仿宋" w:hAnsi="仿宋" w:eastAsia="仿宋" w:cs="仿宋"/>
          <w:color w:val="000000"/>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Style w:val="29"/>
          <w:rFonts w:hint="eastAsia" w:ascii="仿宋" w:hAnsi="仿宋" w:eastAsia="仿宋" w:cs="仿宋"/>
          <w:color w:val="000000"/>
          <w:sz w:val="28"/>
          <w:szCs w:val="28"/>
        </w:rPr>
        <w:t>www.ceghqxz.com</w:t>
      </w:r>
      <w:r>
        <w:rPr>
          <w:rStyle w:val="29"/>
          <w:rFonts w:hint="eastAsia" w:ascii="仿宋" w:hAnsi="仿宋" w:eastAsia="仿宋" w:cs="仿宋"/>
          <w:color w:val="000000"/>
          <w:sz w:val="28"/>
          <w:szCs w:val="28"/>
        </w:rPr>
        <w:fldChar w:fldCharType="end"/>
      </w:r>
      <w:bookmarkEnd w:id="50"/>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三、售后服务要求（根据项目情况可自行修改）</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2.应急维修时间安排；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3.培训计划及人员安排；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4.维修地点、地址、联系电话及联系人员；</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5.维修服务收费标准；</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6.主要零配件及易耗品价格；</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7.制造商的技术支持；</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所投设备符合采购需求、质量和服务要求,经过磋商所报价格为合理价格的参与人为成交参与人，最低报价不作为成交的保证。</w:t>
      </w:r>
    </w:p>
    <w:p>
      <w:pPr>
        <w:rPr>
          <w:rFonts w:ascii="仿宋" w:hAnsi="仿宋" w:eastAsia="仿宋"/>
          <w:sz w:val="28"/>
          <w:szCs w:val="28"/>
        </w:rPr>
      </w:pPr>
      <w:r>
        <w:rPr>
          <w:rFonts w:ascii="仿宋" w:hAnsi="仿宋" w:eastAsia="仿宋"/>
          <w:sz w:val="28"/>
          <w:szCs w:val="28"/>
        </w:rPr>
        <w:br w:type="page"/>
      </w:r>
    </w:p>
    <w:p>
      <w:pPr>
        <w:pStyle w:val="53"/>
        <w:spacing w:line="360" w:lineRule="auto"/>
        <w:jc w:val="center"/>
        <w:outlineLvl w:val="0"/>
        <w:rPr>
          <w:rFonts w:ascii="仿宋" w:hAnsi="仿宋" w:eastAsia="仿宋"/>
          <w:b/>
          <w:sz w:val="32"/>
          <w:szCs w:val="32"/>
        </w:rPr>
      </w:pPr>
      <w:r>
        <w:rPr>
          <w:rFonts w:hint="eastAsia" w:ascii="仿宋" w:hAnsi="仿宋" w:eastAsia="仿宋"/>
          <w:b/>
          <w:color w:val="auto"/>
          <w:sz w:val="44"/>
          <w:szCs w:val="44"/>
        </w:rPr>
        <w:t>二、公开询价项目介绍</w:t>
      </w:r>
      <w:bookmarkEnd w:id="49"/>
    </w:p>
    <w:tbl>
      <w:tblPr>
        <w:tblStyle w:val="24"/>
        <w:tblW w:w="10363" w:type="dxa"/>
        <w:jc w:val="center"/>
        <w:tblLayout w:type="fixed"/>
        <w:tblCellMar>
          <w:top w:w="0" w:type="dxa"/>
          <w:left w:w="0" w:type="dxa"/>
          <w:bottom w:w="0" w:type="dxa"/>
          <w:right w:w="0" w:type="dxa"/>
        </w:tblCellMar>
      </w:tblPr>
      <w:tblGrid>
        <w:gridCol w:w="606"/>
        <w:gridCol w:w="1134"/>
        <w:gridCol w:w="5182"/>
        <w:gridCol w:w="709"/>
        <w:gridCol w:w="650"/>
        <w:gridCol w:w="567"/>
        <w:gridCol w:w="587"/>
        <w:gridCol w:w="928"/>
      </w:tblGrid>
      <w:tr>
        <w:tblPrEx>
          <w:tblCellMar>
            <w:top w:w="0" w:type="dxa"/>
            <w:left w:w="0" w:type="dxa"/>
            <w:bottom w:w="0" w:type="dxa"/>
            <w:right w:w="0" w:type="dxa"/>
          </w:tblCellMar>
        </w:tblPrEx>
        <w:trPr>
          <w:trHeight w:val="66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bidi="ar"/>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bidi="ar"/>
              </w:rPr>
              <w:t>物品名称</w:t>
            </w:r>
          </w:p>
        </w:tc>
        <w:tc>
          <w:tcPr>
            <w:tcW w:w="5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bidi="ar"/>
              </w:rPr>
              <w:t>规格型号</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bidi="ar"/>
              </w:rPr>
              <w:t>数量</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bidi="ar"/>
              </w:rPr>
              <w:t>单位</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bidi="ar"/>
              </w:rPr>
              <w:t>单价</w:t>
            </w:r>
          </w:p>
        </w:tc>
        <w:tc>
          <w:tcPr>
            <w:tcW w:w="58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总价</w:t>
            </w:r>
          </w:p>
        </w:tc>
        <w:tc>
          <w:tcPr>
            <w:tcW w:w="928"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color w:val="000000"/>
              </w:rPr>
            </w:pPr>
            <w:r>
              <w:rPr>
                <w:rFonts w:hint="eastAsia" w:ascii="仿宋" w:hAnsi="仿宋" w:eastAsia="仿宋" w:cs="仿宋"/>
                <w:b w:val="0"/>
                <w:bCs w:val="0"/>
                <w:color w:val="000000"/>
                <w:lang w:bidi="ar"/>
              </w:rPr>
              <w:t>备注</w:t>
            </w:r>
          </w:p>
        </w:tc>
      </w:tr>
      <w:tr>
        <w:tblPrEx>
          <w:tblCellMar>
            <w:top w:w="0" w:type="dxa"/>
            <w:left w:w="0" w:type="dxa"/>
            <w:bottom w:w="0" w:type="dxa"/>
            <w:right w:w="0" w:type="dxa"/>
          </w:tblCellMar>
        </w:tblPrEx>
        <w:trPr>
          <w:trHeight w:val="4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工程投影机</w:t>
            </w:r>
          </w:p>
        </w:tc>
        <w:tc>
          <w:tcPr>
            <w:tcW w:w="5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val="0"/>
              <w:numPr>
                <w:ilvl w:val="0"/>
                <w:numId w:val="2"/>
              </w:numPr>
              <w:spacing w:after="0"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DLP芯片\单片DLP技术；</w:t>
            </w:r>
          </w:p>
          <w:p>
            <w:pPr>
              <w:widowControl w:val="0"/>
              <w:numPr>
                <w:ilvl w:val="0"/>
                <w:numId w:val="2"/>
              </w:numPr>
              <w:spacing w:after="0"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亮度≥16000 流明（中心亮度）</w:t>
            </w:r>
          </w:p>
          <w:p>
            <w:pPr>
              <w:widowControl w:val="0"/>
              <w:numPr>
                <w:ilvl w:val="0"/>
                <w:numId w:val="2"/>
              </w:numPr>
              <w:spacing w:after="0"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动态对比度：10000：1（动态）；</w:t>
            </w:r>
          </w:p>
          <w:p>
            <w:pPr>
              <w:widowControl w:val="0"/>
              <w:numPr>
                <w:ilvl w:val="0"/>
                <w:numId w:val="2"/>
              </w:numPr>
              <w:spacing w:after="0"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分辨率≥1920x1200 ；</w:t>
            </w:r>
          </w:p>
          <w:p>
            <w:pPr>
              <w:widowControl w:val="0"/>
              <w:numPr>
                <w:ilvl w:val="0"/>
                <w:numId w:val="2"/>
              </w:numPr>
              <w:spacing w:after="0" w:line="240" w:lineRule="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光源：双色激光；</w:t>
            </w:r>
          </w:p>
          <w:p>
            <w:pPr>
              <w:widowControl w:val="0"/>
              <w:numPr>
                <w:ilvl w:val="0"/>
                <w:numId w:val="2"/>
              </w:numPr>
              <w:spacing w:after="0" w:line="240" w:lineRule="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光源寿命:</w:t>
            </w:r>
            <w:r>
              <w:rPr>
                <w:rFonts w:hint="eastAsia" w:ascii="仿宋" w:hAnsi="仿宋" w:eastAsia="仿宋" w:cs="仿宋"/>
                <w:b w:val="0"/>
                <w:bCs w:val="0"/>
                <w:sz w:val="24"/>
                <w:szCs w:val="24"/>
              </w:rPr>
              <w:t xml:space="preserve"> ≥</w:t>
            </w:r>
            <w:r>
              <w:rPr>
                <w:rFonts w:hint="eastAsia" w:ascii="仿宋" w:hAnsi="仿宋" w:eastAsia="仿宋" w:cs="仿宋"/>
                <w:b w:val="0"/>
                <w:bCs w:val="0"/>
                <w:color w:val="000000" w:themeColor="text1"/>
                <w:sz w:val="24"/>
                <w:szCs w:val="24"/>
                <w14:textFill>
                  <w14:solidFill>
                    <w14:schemeClr w14:val="tx1"/>
                  </w14:solidFill>
                </w14:textFill>
              </w:rPr>
              <w:t>20,000 小时</w:t>
            </w:r>
          </w:p>
          <w:p>
            <w:pPr>
              <w:widowControl w:val="0"/>
              <w:numPr>
                <w:ilvl w:val="0"/>
                <w:numId w:val="2"/>
              </w:numPr>
              <w:spacing w:after="0" w:line="240" w:lineRule="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运行噪音≤50dBA；</w:t>
            </w:r>
          </w:p>
          <w:p>
            <w:pPr>
              <w:widowControl w:val="0"/>
              <w:numPr>
                <w:ilvl w:val="0"/>
                <w:numId w:val="2"/>
              </w:numPr>
              <w:spacing w:after="0" w:line="240" w:lineRule="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校正技术保证多台投影机颜色一致性；</w:t>
            </w:r>
          </w:p>
          <w:p>
            <w:pPr>
              <w:widowControl w:val="0"/>
              <w:numPr>
                <w:ilvl w:val="0"/>
                <w:numId w:val="2"/>
              </w:numPr>
              <w:spacing w:after="0" w:line="240" w:lineRule="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具有主动立体3D功能</w:t>
            </w:r>
          </w:p>
          <w:p>
            <w:pPr>
              <w:widowControl w:val="0"/>
              <w:numPr>
                <w:ilvl w:val="0"/>
                <w:numId w:val="2"/>
              </w:numPr>
              <w:spacing w:after="0" w:line="240" w:lineRule="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双通道处理允许两路输入源同时输入</w:t>
            </w:r>
          </w:p>
          <w:p>
            <w:pPr>
              <w:pStyle w:val="65"/>
              <w:numPr>
                <w:ilvl w:val="0"/>
                <w:numId w:val="2"/>
              </w:numPr>
              <w:ind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画面比例支持多种比例输出；</w:t>
            </w:r>
          </w:p>
          <w:p>
            <w:pPr>
              <w:pStyle w:val="65"/>
              <w:numPr>
                <w:ilvl w:val="0"/>
                <w:numId w:val="2"/>
              </w:numPr>
              <w:ind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传输长达100米的未压缩的高清视频 ;</w:t>
            </w:r>
          </w:p>
          <w:p>
            <w:pPr>
              <w:pStyle w:val="65"/>
              <w:numPr>
                <w:ilvl w:val="0"/>
                <w:numId w:val="2"/>
              </w:numPr>
              <w:ind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镜头记忆数量≥5个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b w:val="0"/>
                <w:bCs w:val="0"/>
                <w:color w:val="000000"/>
                <w:sz w:val="24"/>
                <w:szCs w:val="24"/>
              </w:rPr>
            </w:pPr>
          </w:p>
        </w:tc>
        <w:tc>
          <w:tcPr>
            <w:tcW w:w="58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仿宋" w:hAnsi="仿宋" w:eastAsia="仿宋" w:cs="仿宋"/>
                <w:b w:val="0"/>
                <w:bCs w:val="0"/>
                <w:color w:val="000000"/>
                <w:sz w:val="24"/>
                <w:szCs w:val="24"/>
              </w:rPr>
            </w:pPr>
          </w:p>
        </w:tc>
        <w:tc>
          <w:tcPr>
            <w:tcW w:w="928" w:type="dxa"/>
            <w:tcBorders>
              <w:top w:val="single" w:color="000000" w:sz="4" w:space="0"/>
              <w:left w:val="single" w:color="auto" w:sz="4" w:space="0"/>
              <w:bottom w:val="single" w:color="000000" w:sz="4" w:space="0"/>
              <w:right w:val="single" w:color="000000" w:sz="4" w:space="0"/>
            </w:tcBorders>
            <w:vAlign w:val="center"/>
          </w:tcPr>
          <w:p>
            <w:pPr>
              <w:rPr>
                <w:rFonts w:hint="eastAsia" w:ascii="仿宋" w:hAnsi="仿宋" w:eastAsia="仿宋" w:cs="仿宋"/>
                <w:b w:val="0"/>
                <w:bCs w:val="0"/>
                <w:color w:val="000000"/>
              </w:rPr>
            </w:pPr>
          </w:p>
        </w:tc>
      </w:tr>
      <w:tr>
        <w:tblPrEx>
          <w:tblCellMar>
            <w:top w:w="0" w:type="dxa"/>
            <w:left w:w="0" w:type="dxa"/>
            <w:bottom w:w="0" w:type="dxa"/>
            <w:right w:w="0" w:type="dxa"/>
          </w:tblCellMar>
        </w:tblPrEx>
        <w:trPr>
          <w:trHeight w:val="4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lang w:bidi="ar"/>
              </w:rPr>
            </w:pPr>
            <w:r>
              <w:rPr>
                <w:rFonts w:hint="eastAsia" w:ascii="仿宋" w:hAnsi="仿宋" w:eastAsia="仿宋" w:cs="仿宋"/>
                <w:b w:val="0"/>
                <w:bCs w:val="0"/>
                <w:color w:val="000000"/>
                <w:sz w:val="24"/>
                <w:szCs w:val="24"/>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投影机</w:t>
            </w:r>
          </w:p>
        </w:tc>
        <w:tc>
          <w:tcPr>
            <w:tcW w:w="5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val="0"/>
              <w:tabs>
                <w:tab w:val="left" w:pos="420"/>
              </w:tabs>
              <w:spacing w:after="0" w:line="240" w:lineRule="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1、显示面板 0.47" UHD DMD</w:t>
            </w:r>
            <w:r>
              <w:rPr>
                <w:rFonts w:hint="eastAsia" w:ascii="仿宋" w:hAnsi="仿宋" w:eastAsia="仿宋" w:cs="仿宋"/>
                <w:b w:val="0"/>
                <w:bCs w:val="0"/>
                <w:color w:val="000000" w:themeColor="text1"/>
                <w:sz w:val="24"/>
                <w:szCs w:val="24"/>
                <w14:textFill>
                  <w14:solidFill>
                    <w14:schemeClr w14:val="tx1"/>
                  </w14:solidFill>
                </w14:textFill>
              </w:rPr>
              <w:br w:type="textWrapping"/>
            </w:r>
            <w:r>
              <w:rPr>
                <w:rFonts w:hint="eastAsia" w:ascii="仿宋" w:hAnsi="仿宋" w:eastAsia="仿宋" w:cs="仿宋"/>
                <w:b w:val="0"/>
                <w:bCs w:val="0"/>
                <w:color w:val="000000" w:themeColor="text1"/>
                <w:sz w:val="24"/>
                <w:szCs w:val="24"/>
                <w14:textFill>
                  <w14:solidFill>
                    <w14:schemeClr w14:val="tx1"/>
                  </w14:solidFill>
                </w14:textFill>
              </w:rPr>
              <w:t>2、分辨率 4K</w:t>
            </w:r>
            <w:r>
              <w:rPr>
                <w:rFonts w:hint="eastAsia" w:ascii="仿宋" w:hAnsi="仿宋" w:eastAsia="仿宋" w:cs="仿宋"/>
                <w:b w:val="0"/>
                <w:bCs w:val="0"/>
                <w:color w:val="000000" w:themeColor="text1"/>
                <w:sz w:val="24"/>
                <w:szCs w:val="24"/>
                <w14:textFill>
                  <w14:solidFill>
                    <w14:schemeClr w14:val="tx1"/>
                  </w14:solidFill>
                </w14:textFill>
              </w:rPr>
              <w:br w:type="textWrapping"/>
            </w:r>
            <w:r>
              <w:rPr>
                <w:rFonts w:hint="eastAsia" w:ascii="仿宋" w:hAnsi="仿宋" w:eastAsia="仿宋" w:cs="仿宋"/>
                <w:b w:val="0"/>
                <w:bCs w:val="0"/>
                <w:color w:val="000000" w:themeColor="text1"/>
                <w:sz w:val="24"/>
                <w:szCs w:val="24"/>
                <w14:textFill>
                  <w14:solidFill>
                    <w14:schemeClr w14:val="tx1"/>
                  </w14:solidFill>
                </w14:textFill>
              </w:rPr>
              <w:t>3、亮度</w:t>
            </w:r>
            <w:r>
              <w:rPr>
                <w:rFonts w:hint="eastAsia" w:ascii="仿宋" w:hAnsi="仿宋" w:eastAsia="仿宋" w:cs="仿宋"/>
                <w:b w:val="0"/>
                <w:bCs w:val="0"/>
                <w:sz w:val="24"/>
                <w:szCs w:val="24"/>
              </w:rPr>
              <w:t>≥</w:t>
            </w:r>
            <w:r>
              <w:rPr>
                <w:rFonts w:hint="eastAsia" w:ascii="仿宋" w:hAnsi="仿宋" w:eastAsia="仿宋" w:cs="仿宋"/>
                <w:b w:val="0"/>
                <w:bCs w:val="0"/>
                <w:color w:val="000000" w:themeColor="text1"/>
                <w:sz w:val="24"/>
                <w:szCs w:val="24"/>
                <w14:textFill>
                  <w14:solidFill>
                    <w14:schemeClr w14:val="tx1"/>
                  </w14:solidFill>
                </w14:textFill>
              </w:rPr>
              <w:t>3,600流明</w:t>
            </w:r>
            <w:r>
              <w:rPr>
                <w:rFonts w:hint="eastAsia" w:ascii="仿宋" w:hAnsi="仿宋" w:eastAsia="仿宋" w:cs="仿宋"/>
                <w:b w:val="0"/>
                <w:bCs w:val="0"/>
                <w:color w:val="000000" w:themeColor="text1"/>
                <w:sz w:val="24"/>
                <w:szCs w:val="24"/>
                <w14:textFill>
                  <w14:solidFill>
                    <w14:schemeClr w14:val="tx1"/>
                  </w14:solidFill>
                </w14:textFill>
              </w:rPr>
              <w:br w:type="textWrapping"/>
            </w:r>
            <w:r>
              <w:rPr>
                <w:rFonts w:hint="eastAsia" w:ascii="仿宋" w:hAnsi="仿宋" w:eastAsia="仿宋" w:cs="仿宋"/>
                <w:b w:val="0"/>
                <w:bCs w:val="0"/>
                <w:color w:val="000000" w:themeColor="text1"/>
                <w:sz w:val="24"/>
                <w:szCs w:val="24"/>
                <w14:textFill>
                  <w14:solidFill>
                    <w14:schemeClr w14:val="tx1"/>
                  </w14:solidFill>
                </w14:textFill>
              </w:rPr>
              <w:t>4、画面比例2种以上</w:t>
            </w:r>
            <w:r>
              <w:rPr>
                <w:rFonts w:hint="eastAsia" w:ascii="仿宋" w:hAnsi="仿宋" w:eastAsia="仿宋" w:cs="仿宋"/>
                <w:b w:val="0"/>
                <w:bCs w:val="0"/>
                <w:color w:val="000000" w:themeColor="text1"/>
                <w:sz w:val="24"/>
                <w:szCs w:val="24"/>
                <w14:textFill>
                  <w14:solidFill>
                    <w14:schemeClr w14:val="tx1"/>
                  </w14:solidFill>
                </w14:textFill>
              </w:rPr>
              <w:br w:type="textWrapping"/>
            </w:r>
            <w:r>
              <w:rPr>
                <w:rFonts w:hint="eastAsia" w:ascii="仿宋" w:hAnsi="仿宋" w:eastAsia="仿宋" w:cs="仿宋"/>
                <w:b w:val="0"/>
                <w:bCs w:val="0"/>
                <w:color w:val="000000" w:themeColor="text1"/>
                <w:sz w:val="24"/>
                <w:szCs w:val="24"/>
                <w14:textFill>
                  <w14:solidFill>
                    <w14:schemeClr w14:val="tx1"/>
                  </w14:solidFill>
                </w14:textFill>
              </w:rPr>
              <w:t>5、光源寿命</w:t>
            </w:r>
            <w:r>
              <w:rPr>
                <w:rFonts w:hint="eastAsia" w:ascii="仿宋" w:hAnsi="仿宋" w:eastAsia="仿宋" w:cs="仿宋"/>
                <w:b w:val="0"/>
                <w:bCs w:val="0"/>
                <w:sz w:val="24"/>
                <w:szCs w:val="24"/>
              </w:rPr>
              <w:t>≥</w:t>
            </w:r>
            <w:r>
              <w:rPr>
                <w:rFonts w:hint="eastAsia" w:ascii="仿宋" w:hAnsi="仿宋" w:eastAsia="仿宋" w:cs="仿宋"/>
                <w:b w:val="0"/>
                <w:bCs w:val="0"/>
                <w:color w:val="000000" w:themeColor="text1"/>
                <w:sz w:val="24"/>
                <w:szCs w:val="24"/>
                <w14:textFill>
                  <w14:solidFill>
                    <w14:schemeClr w14:val="tx1"/>
                  </w14:solidFill>
                </w14:textFill>
              </w:rPr>
              <w:t>10,000 小时</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b w:val="0"/>
                <w:bCs w:val="0"/>
                <w:color w:val="000000"/>
                <w:sz w:val="24"/>
                <w:szCs w:val="24"/>
              </w:rPr>
            </w:pPr>
          </w:p>
        </w:tc>
        <w:tc>
          <w:tcPr>
            <w:tcW w:w="58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仿宋" w:hAnsi="仿宋" w:eastAsia="仿宋" w:cs="仿宋"/>
                <w:b w:val="0"/>
                <w:bCs w:val="0"/>
                <w:color w:val="000000"/>
                <w:sz w:val="24"/>
                <w:szCs w:val="24"/>
              </w:rPr>
            </w:pPr>
          </w:p>
        </w:tc>
        <w:tc>
          <w:tcPr>
            <w:tcW w:w="928" w:type="dxa"/>
            <w:tcBorders>
              <w:top w:val="single" w:color="000000" w:sz="4" w:space="0"/>
              <w:left w:val="single" w:color="auto" w:sz="4" w:space="0"/>
              <w:bottom w:val="single" w:color="000000" w:sz="4" w:space="0"/>
              <w:right w:val="single" w:color="000000" w:sz="4" w:space="0"/>
            </w:tcBorders>
            <w:vAlign w:val="center"/>
          </w:tcPr>
          <w:p>
            <w:pPr>
              <w:rPr>
                <w:rFonts w:hint="eastAsia" w:ascii="仿宋" w:hAnsi="仿宋" w:eastAsia="仿宋" w:cs="仿宋"/>
                <w:b w:val="0"/>
                <w:bCs w:val="0"/>
                <w:color w:val="000000"/>
              </w:rPr>
            </w:pPr>
          </w:p>
        </w:tc>
      </w:tr>
      <w:tr>
        <w:tblPrEx>
          <w:tblCellMar>
            <w:top w:w="0" w:type="dxa"/>
            <w:left w:w="0" w:type="dxa"/>
            <w:bottom w:w="0" w:type="dxa"/>
            <w:right w:w="0" w:type="dxa"/>
          </w:tblCellMar>
        </w:tblPrEx>
        <w:trPr>
          <w:trHeight w:val="4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lang w:bidi="ar"/>
              </w:rPr>
            </w:pPr>
            <w:r>
              <w:rPr>
                <w:rFonts w:hint="eastAsia" w:ascii="仿宋" w:hAnsi="仿宋" w:eastAsia="仿宋" w:cs="仿宋"/>
                <w:b w:val="0"/>
                <w:bCs w:val="0"/>
                <w:color w:val="000000"/>
                <w:sz w:val="24"/>
                <w:szCs w:val="24"/>
                <w:lang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投影屏幕</w:t>
            </w:r>
          </w:p>
        </w:tc>
        <w:tc>
          <w:tcPr>
            <w:tcW w:w="5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val="0"/>
              <w:tabs>
                <w:tab w:val="left" w:pos="420"/>
              </w:tabs>
              <w:spacing w:after="0" w:line="240" w:lineRule="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100寸    电动玻珠屏幕</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付</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b w:val="0"/>
                <w:bCs w:val="0"/>
                <w:color w:val="000000"/>
                <w:sz w:val="24"/>
                <w:szCs w:val="24"/>
              </w:rPr>
            </w:pPr>
          </w:p>
        </w:tc>
        <w:tc>
          <w:tcPr>
            <w:tcW w:w="58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仿宋" w:hAnsi="仿宋" w:eastAsia="仿宋" w:cs="仿宋"/>
                <w:b w:val="0"/>
                <w:bCs w:val="0"/>
                <w:color w:val="000000"/>
                <w:sz w:val="24"/>
                <w:szCs w:val="24"/>
              </w:rPr>
            </w:pPr>
          </w:p>
        </w:tc>
        <w:tc>
          <w:tcPr>
            <w:tcW w:w="928" w:type="dxa"/>
            <w:tcBorders>
              <w:top w:val="single" w:color="000000" w:sz="4" w:space="0"/>
              <w:left w:val="single" w:color="auto" w:sz="4" w:space="0"/>
              <w:bottom w:val="single" w:color="000000" w:sz="4" w:space="0"/>
              <w:right w:val="single" w:color="000000" w:sz="4" w:space="0"/>
            </w:tcBorders>
            <w:vAlign w:val="center"/>
          </w:tcPr>
          <w:p>
            <w:pPr>
              <w:rPr>
                <w:rFonts w:hint="eastAsia" w:ascii="仿宋" w:hAnsi="仿宋" w:eastAsia="仿宋" w:cs="仿宋"/>
                <w:b w:val="0"/>
                <w:bCs w:val="0"/>
                <w:color w:val="000000"/>
              </w:rPr>
            </w:pPr>
          </w:p>
        </w:tc>
      </w:tr>
      <w:tr>
        <w:tblPrEx>
          <w:tblCellMar>
            <w:top w:w="0" w:type="dxa"/>
            <w:left w:w="0" w:type="dxa"/>
            <w:bottom w:w="0" w:type="dxa"/>
            <w:right w:w="0" w:type="dxa"/>
          </w:tblCellMar>
        </w:tblPrEx>
        <w:trPr>
          <w:trHeight w:val="4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lang w:bidi="ar"/>
              </w:rPr>
            </w:pPr>
            <w:r>
              <w:rPr>
                <w:rFonts w:hint="eastAsia" w:ascii="仿宋" w:hAnsi="仿宋" w:eastAsia="仿宋" w:cs="仿宋"/>
                <w:b w:val="0"/>
                <w:bCs w:val="0"/>
                <w:color w:val="000000"/>
                <w:sz w:val="24"/>
                <w:szCs w:val="24"/>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还原卡</w:t>
            </w:r>
          </w:p>
        </w:tc>
        <w:tc>
          <w:tcPr>
            <w:tcW w:w="5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tabs>
                <w:tab w:val="left" w:pos="420"/>
              </w:tabs>
              <w:spacing w:after="0" w:line="240" w:lineRule="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奥易还原卡,能与现有的系统设备关联对接</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点</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b w:val="0"/>
                <w:bCs w:val="0"/>
                <w:color w:val="000000"/>
                <w:sz w:val="24"/>
                <w:szCs w:val="24"/>
              </w:rPr>
            </w:pPr>
          </w:p>
        </w:tc>
        <w:tc>
          <w:tcPr>
            <w:tcW w:w="58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仿宋" w:hAnsi="仿宋" w:eastAsia="仿宋" w:cs="仿宋"/>
                <w:b w:val="0"/>
                <w:bCs w:val="0"/>
                <w:color w:val="000000"/>
                <w:sz w:val="24"/>
                <w:szCs w:val="24"/>
              </w:rPr>
            </w:pPr>
          </w:p>
        </w:tc>
        <w:tc>
          <w:tcPr>
            <w:tcW w:w="928" w:type="dxa"/>
            <w:tcBorders>
              <w:top w:val="single" w:color="000000" w:sz="4" w:space="0"/>
              <w:left w:val="single" w:color="auto" w:sz="4" w:space="0"/>
              <w:bottom w:val="single" w:color="000000" w:sz="4" w:space="0"/>
              <w:right w:val="single" w:color="000000" w:sz="4" w:space="0"/>
            </w:tcBorders>
            <w:vAlign w:val="center"/>
          </w:tcPr>
          <w:p>
            <w:pPr>
              <w:rPr>
                <w:rFonts w:hint="eastAsia" w:ascii="仿宋" w:hAnsi="仿宋" w:eastAsia="仿宋" w:cs="仿宋"/>
                <w:b w:val="0"/>
                <w:bCs w:val="0"/>
                <w:color w:val="000000"/>
              </w:rPr>
            </w:pPr>
          </w:p>
        </w:tc>
      </w:tr>
      <w:tr>
        <w:tblPrEx>
          <w:tblCellMar>
            <w:top w:w="0" w:type="dxa"/>
            <w:left w:w="0" w:type="dxa"/>
            <w:bottom w:w="0" w:type="dxa"/>
            <w:right w:w="0" w:type="dxa"/>
          </w:tblCellMar>
        </w:tblPrEx>
        <w:trPr>
          <w:trHeight w:val="4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lang w:bidi="ar"/>
              </w:rPr>
            </w:pPr>
            <w:r>
              <w:rPr>
                <w:rFonts w:hint="eastAsia" w:ascii="仿宋" w:hAnsi="仿宋" w:eastAsia="仿宋" w:cs="仿宋"/>
                <w:b w:val="0"/>
                <w:bCs w:val="0"/>
                <w:color w:val="000000"/>
                <w:sz w:val="24"/>
                <w:szCs w:val="24"/>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多媒体管理软件</w:t>
            </w:r>
          </w:p>
        </w:tc>
        <w:tc>
          <w:tcPr>
            <w:tcW w:w="5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tabs>
                <w:tab w:val="left" w:pos="420"/>
              </w:tabs>
              <w:spacing w:after="0" w:line="240" w:lineRule="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1.支持学生机管理，有隐藏“功能；</w:t>
            </w:r>
            <w:r>
              <w:rPr>
                <w:rFonts w:hint="eastAsia" w:ascii="仿宋" w:hAnsi="仿宋" w:eastAsia="仿宋" w:cs="仿宋"/>
                <w:b w:val="0"/>
                <w:bCs w:val="0"/>
                <w:color w:val="000000" w:themeColor="text1"/>
                <w:sz w:val="24"/>
                <w:szCs w:val="24"/>
                <w14:textFill>
                  <w14:solidFill>
                    <w14:schemeClr w14:val="tx1"/>
                  </w14:solidFill>
                </w14:textFill>
              </w:rPr>
              <w:br w:type="textWrapping"/>
            </w:r>
            <w:r>
              <w:rPr>
                <w:rFonts w:hint="eastAsia" w:ascii="仿宋" w:hAnsi="仿宋" w:eastAsia="仿宋" w:cs="仿宋"/>
                <w:b w:val="0"/>
                <w:bCs w:val="0"/>
                <w:color w:val="000000" w:themeColor="text1"/>
                <w:sz w:val="24"/>
                <w:szCs w:val="24"/>
                <w14:textFill>
                  <w14:solidFill>
                    <w14:schemeClr w14:val="tx1"/>
                  </w14:solidFill>
                </w14:textFill>
              </w:rPr>
              <w:t>2.支持班级管理分频道进行上课；</w:t>
            </w:r>
            <w:r>
              <w:rPr>
                <w:rFonts w:hint="eastAsia" w:ascii="仿宋" w:hAnsi="仿宋" w:eastAsia="仿宋" w:cs="仿宋"/>
                <w:b w:val="0"/>
                <w:bCs w:val="0"/>
                <w:color w:val="000000" w:themeColor="text1"/>
                <w:sz w:val="24"/>
                <w:szCs w:val="24"/>
                <w14:textFill>
                  <w14:solidFill>
                    <w14:schemeClr w14:val="tx1"/>
                  </w14:solidFill>
                </w14:textFill>
              </w:rPr>
              <w:br w:type="textWrapping"/>
            </w:r>
            <w:r>
              <w:rPr>
                <w:rFonts w:hint="eastAsia" w:ascii="仿宋" w:hAnsi="仿宋" w:eastAsia="仿宋" w:cs="仿宋"/>
                <w:b w:val="0"/>
                <w:bCs w:val="0"/>
                <w:color w:val="000000" w:themeColor="text1"/>
                <w:sz w:val="24"/>
                <w:szCs w:val="24"/>
                <w14:textFill>
                  <w14:solidFill>
                    <w14:schemeClr w14:val="tx1"/>
                  </w14:solidFill>
                </w14:textFill>
              </w:rPr>
              <w:t>3.支持自定义命令和排序，快速找到学生；</w:t>
            </w:r>
            <w:r>
              <w:rPr>
                <w:rFonts w:hint="eastAsia" w:ascii="仿宋" w:hAnsi="仿宋" w:eastAsia="仿宋" w:cs="仿宋"/>
                <w:b w:val="0"/>
                <w:bCs w:val="0"/>
                <w:color w:val="000000" w:themeColor="text1"/>
                <w:sz w:val="24"/>
                <w:szCs w:val="24"/>
                <w14:textFill>
                  <w14:solidFill>
                    <w14:schemeClr w14:val="tx1"/>
                  </w14:solidFill>
                </w14:textFill>
              </w:rPr>
              <w:br w:type="textWrapping"/>
            </w:r>
            <w:r>
              <w:rPr>
                <w:rFonts w:hint="eastAsia" w:ascii="仿宋" w:hAnsi="仿宋" w:eastAsia="仿宋" w:cs="仿宋"/>
                <w:b w:val="0"/>
                <w:bCs w:val="0"/>
                <w:color w:val="000000" w:themeColor="text1"/>
                <w:sz w:val="24"/>
                <w:szCs w:val="24"/>
                <w14:textFill>
                  <w14:solidFill>
                    <w14:schemeClr w14:val="tx1"/>
                  </w14:solidFill>
                </w14:textFill>
              </w:rPr>
              <w:t>4.支持屏幕广播功能；</w:t>
            </w:r>
            <w:r>
              <w:rPr>
                <w:rFonts w:hint="eastAsia" w:ascii="仿宋" w:hAnsi="仿宋" w:eastAsia="仿宋" w:cs="仿宋"/>
                <w:b w:val="0"/>
                <w:bCs w:val="0"/>
                <w:color w:val="000000" w:themeColor="text1"/>
                <w:sz w:val="24"/>
                <w:szCs w:val="24"/>
                <w14:textFill>
                  <w14:solidFill>
                    <w14:schemeClr w14:val="tx1"/>
                  </w14:solidFill>
                </w14:textFill>
              </w:rPr>
              <w:br w:type="textWrapping"/>
            </w:r>
            <w:r>
              <w:rPr>
                <w:rFonts w:hint="eastAsia" w:ascii="仿宋" w:hAnsi="仿宋" w:eastAsia="仿宋" w:cs="仿宋"/>
                <w:b w:val="0"/>
                <w:bCs w:val="0"/>
                <w:color w:val="000000" w:themeColor="text1"/>
                <w:sz w:val="24"/>
                <w:szCs w:val="24"/>
                <w14:textFill>
                  <w14:solidFill>
                    <w14:schemeClr w14:val="tx1"/>
                  </w14:solidFill>
                </w14:textFill>
              </w:rPr>
              <w:t xml:space="preserve">5.支持教学互动； </w:t>
            </w:r>
            <w:r>
              <w:rPr>
                <w:rFonts w:hint="eastAsia" w:ascii="仿宋" w:hAnsi="仿宋" w:eastAsia="仿宋" w:cs="仿宋"/>
                <w:b w:val="0"/>
                <w:bCs w:val="0"/>
                <w:color w:val="000000" w:themeColor="text1"/>
                <w:sz w:val="24"/>
                <w:szCs w:val="24"/>
                <w14:textFill>
                  <w14:solidFill>
                    <w14:schemeClr w14:val="tx1"/>
                  </w14:solidFill>
                </w14:textFill>
              </w:rPr>
              <w:br w:type="textWrapping"/>
            </w:r>
            <w:r>
              <w:rPr>
                <w:rFonts w:hint="eastAsia" w:ascii="仿宋" w:hAnsi="仿宋" w:eastAsia="仿宋" w:cs="仿宋"/>
                <w:b w:val="0"/>
                <w:bCs w:val="0"/>
                <w:color w:val="000000" w:themeColor="text1"/>
                <w:sz w:val="24"/>
                <w:szCs w:val="24"/>
                <w14:textFill>
                  <w14:solidFill>
                    <w14:schemeClr w14:val="tx1"/>
                  </w14:solidFill>
                </w14:textFill>
              </w:rPr>
              <w:t xml:space="preserve">6.支持遥控监看；  </w:t>
            </w:r>
            <w:r>
              <w:rPr>
                <w:rFonts w:hint="eastAsia" w:ascii="仿宋" w:hAnsi="仿宋" w:eastAsia="仿宋" w:cs="仿宋"/>
                <w:b w:val="0"/>
                <w:bCs w:val="0"/>
                <w:color w:val="000000" w:themeColor="text1"/>
                <w:sz w:val="24"/>
                <w:szCs w:val="24"/>
                <w14:textFill>
                  <w14:solidFill>
                    <w14:schemeClr w14:val="tx1"/>
                  </w14:solidFill>
                </w14:textFill>
              </w:rPr>
              <w:br w:type="textWrapping"/>
            </w:r>
            <w:r>
              <w:rPr>
                <w:rFonts w:hint="eastAsia" w:ascii="仿宋" w:hAnsi="仿宋" w:eastAsia="仿宋" w:cs="仿宋"/>
                <w:b w:val="0"/>
                <w:bCs w:val="0"/>
                <w:color w:val="000000" w:themeColor="text1"/>
                <w:sz w:val="24"/>
                <w:szCs w:val="24"/>
                <w14:textFill>
                  <w14:solidFill>
                    <w14:schemeClr w14:val="tx1"/>
                  </w14:solidFill>
                </w14:textFill>
              </w:rPr>
              <w:t xml:space="preserve">7.支持屏幕录制与回放 </w:t>
            </w:r>
            <w:r>
              <w:rPr>
                <w:rFonts w:hint="eastAsia" w:ascii="仿宋" w:hAnsi="仿宋" w:eastAsia="仿宋" w:cs="仿宋"/>
                <w:b w:val="0"/>
                <w:bCs w:val="0"/>
                <w:color w:val="000000" w:themeColor="text1"/>
                <w:sz w:val="24"/>
                <w:szCs w:val="24"/>
                <w14:textFill>
                  <w14:solidFill>
                    <w14:schemeClr w14:val="tx1"/>
                  </w14:solidFill>
                </w14:textFill>
              </w:rPr>
              <w:br w:type="textWrapping"/>
            </w:r>
            <w:r>
              <w:rPr>
                <w:rFonts w:hint="eastAsia" w:ascii="仿宋" w:hAnsi="仿宋" w:eastAsia="仿宋" w:cs="仿宋"/>
                <w:b w:val="0"/>
                <w:bCs w:val="0"/>
                <w:color w:val="000000" w:themeColor="text1"/>
                <w:sz w:val="24"/>
                <w:szCs w:val="24"/>
                <w14:textFill>
                  <w14:solidFill>
                    <w14:schemeClr w14:val="tx1"/>
                  </w14:solidFill>
                </w14:textFill>
              </w:rPr>
              <w:t>8支持电子白板功能，支持黑屏肃静  ；</w:t>
            </w:r>
            <w:r>
              <w:rPr>
                <w:rFonts w:hint="eastAsia" w:ascii="仿宋" w:hAnsi="仿宋" w:eastAsia="仿宋" w:cs="仿宋"/>
                <w:b w:val="0"/>
                <w:bCs w:val="0"/>
                <w:color w:val="000000" w:themeColor="text1"/>
                <w:sz w:val="24"/>
                <w:szCs w:val="24"/>
                <w14:textFill>
                  <w14:solidFill>
                    <w14:schemeClr w14:val="tx1"/>
                  </w14:solidFill>
                </w14:textFill>
              </w:rPr>
              <w:br w:type="textWrapping"/>
            </w:r>
            <w:r>
              <w:rPr>
                <w:rFonts w:hint="eastAsia" w:ascii="仿宋" w:hAnsi="仿宋" w:eastAsia="仿宋" w:cs="仿宋"/>
                <w:b w:val="0"/>
                <w:bCs w:val="0"/>
                <w:color w:val="000000" w:themeColor="text1"/>
                <w:sz w:val="24"/>
                <w:szCs w:val="24"/>
                <w14:textFill>
                  <w14:solidFill>
                    <w14:schemeClr w14:val="tx1"/>
                  </w14:solidFill>
                </w14:textFill>
              </w:rPr>
              <w:t xml:space="preserve">9.★支持考试功能， </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b w:val="0"/>
                <w:bCs w:val="0"/>
                <w:color w:val="000000"/>
                <w:sz w:val="24"/>
                <w:szCs w:val="24"/>
              </w:rPr>
            </w:pPr>
          </w:p>
        </w:tc>
        <w:tc>
          <w:tcPr>
            <w:tcW w:w="58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仿宋" w:hAnsi="仿宋" w:eastAsia="仿宋" w:cs="仿宋"/>
                <w:b w:val="0"/>
                <w:bCs w:val="0"/>
                <w:color w:val="000000"/>
                <w:sz w:val="24"/>
                <w:szCs w:val="24"/>
              </w:rPr>
            </w:pPr>
          </w:p>
        </w:tc>
        <w:tc>
          <w:tcPr>
            <w:tcW w:w="928" w:type="dxa"/>
            <w:tcBorders>
              <w:top w:val="single" w:color="000000" w:sz="4" w:space="0"/>
              <w:left w:val="single" w:color="auto" w:sz="4" w:space="0"/>
              <w:bottom w:val="single" w:color="000000" w:sz="4" w:space="0"/>
              <w:right w:val="single" w:color="000000" w:sz="4" w:space="0"/>
            </w:tcBorders>
            <w:vAlign w:val="center"/>
          </w:tcPr>
          <w:p>
            <w:pPr>
              <w:rPr>
                <w:rFonts w:hint="eastAsia" w:ascii="仿宋" w:hAnsi="仿宋" w:eastAsia="仿宋" w:cs="仿宋"/>
                <w:b w:val="0"/>
                <w:bCs w:val="0"/>
                <w:color w:val="000000"/>
              </w:rPr>
            </w:pPr>
          </w:p>
        </w:tc>
      </w:tr>
      <w:tr>
        <w:tblPrEx>
          <w:tblCellMar>
            <w:top w:w="0" w:type="dxa"/>
            <w:left w:w="0" w:type="dxa"/>
            <w:bottom w:w="0" w:type="dxa"/>
            <w:right w:w="0" w:type="dxa"/>
          </w:tblCellMar>
        </w:tblPrEx>
        <w:trPr>
          <w:trHeight w:val="4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lang w:bidi="ar"/>
              </w:rPr>
            </w:pPr>
            <w:r>
              <w:rPr>
                <w:rFonts w:hint="eastAsia" w:ascii="仿宋" w:hAnsi="仿宋" w:eastAsia="仿宋" w:cs="仿宋"/>
                <w:b w:val="0"/>
                <w:bCs w:val="0"/>
                <w:color w:val="000000"/>
                <w:sz w:val="24"/>
                <w:szCs w:val="24"/>
                <w:lang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HDMI传输器及线</w:t>
            </w:r>
          </w:p>
        </w:tc>
        <w:tc>
          <w:tcPr>
            <w:tcW w:w="5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spacing w:after="0" w:line="240" w:lineRule="auto"/>
              <w:ind w:left="420"/>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能长距离传输</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b w:val="0"/>
                <w:bCs w:val="0"/>
                <w:color w:val="000000"/>
                <w:sz w:val="24"/>
                <w:szCs w:val="24"/>
              </w:rPr>
            </w:pPr>
          </w:p>
        </w:tc>
        <w:tc>
          <w:tcPr>
            <w:tcW w:w="58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仿宋" w:hAnsi="仿宋" w:eastAsia="仿宋" w:cs="仿宋"/>
                <w:b w:val="0"/>
                <w:bCs w:val="0"/>
                <w:color w:val="000000"/>
                <w:sz w:val="24"/>
                <w:szCs w:val="24"/>
              </w:rPr>
            </w:pPr>
          </w:p>
        </w:tc>
        <w:tc>
          <w:tcPr>
            <w:tcW w:w="928" w:type="dxa"/>
            <w:tcBorders>
              <w:top w:val="single" w:color="000000" w:sz="4" w:space="0"/>
              <w:left w:val="single" w:color="auto" w:sz="4" w:space="0"/>
              <w:bottom w:val="single" w:color="000000" w:sz="4" w:space="0"/>
              <w:right w:val="single" w:color="000000" w:sz="4" w:space="0"/>
            </w:tcBorders>
            <w:vAlign w:val="center"/>
          </w:tcPr>
          <w:p>
            <w:pPr>
              <w:rPr>
                <w:rFonts w:hint="eastAsia" w:ascii="仿宋" w:hAnsi="仿宋" w:eastAsia="仿宋" w:cs="仿宋"/>
                <w:b w:val="0"/>
                <w:bCs w:val="0"/>
                <w:color w:val="000000"/>
              </w:rPr>
            </w:pPr>
          </w:p>
        </w:tc>
      </w:tr>
    </w:tbl>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本项目为“交钥匙工程”含设备运输、安装、调试和税等所有项目。</w:t>
      </w:r>
    </w:p>
    <w:p>
      <w:pPr>
        <w:spacing w:after="0" w:line="500" w:lineRule="exact"/>
        <w:rPr>
          <w:rFonts w:ascii="仿宋" w:hAnsi="仿宋" w:eastAsia="仿宋"/>
          <w:b/>
          <w:sz w:val="28"/>
          <w:szCs w:val="28"/>
        </w:rPr>
        <w:sectPr>
          <w:headerReference r:id="rId7" w:type="first"/>
          <w:headerReference r:id="rId6" w:type="default"/>
          <w:pgSz w:w="11906" w:h="16838"/>
          <w:pgMar w:top="1440" w:right="1416" w:bottom="1440" w:left="1134" w:header="851" w:footer="680" w:gutter="0"/>
          <w:cols w:space="425" w:num="1"/>
          <w:titlePg/>
          <w:docGrid w:type="lines" w:linePitch="312" w:charSpace="0"/>
        </w:sectPr>
      </w:pPr>
      <w:r>
        <w:rPr>
          <w:rFonts w:hint="eastAsia" w:ascii="仿宋" w:hAnsi="仿宋" w:eastAsia="仿宋"/>
          <w:sz w:val="28"/>
          <w:szCs w:val="28"/>
        </w:rPr>
        <w:t>参与人报价时硬件设备需提供品牌，产品参数、图片信息及质保期，需注明功能等，如未提供以上信息，将视为无效报价最终数量以实际验收为准，确保设备为原厂正品并按原厂提供质保。</w:t>
      </w:r>
      <w:r>
        <w:rPr>
          <w:rFonts w:ascii="仿宋" w:hAnsi="仿宋" w:eastAsia="仿宋"/>
          <w:b/>
          <w:sz w:val="28"/>
          <w:szCs w:val="28"/>
        </w:rPr>
        <w:br w:type="page"/>
      </w:r>
    </w:p>
    <w:p>
      <w:pPr>
        <w:spacing w:line="1000" w:lineRule="exact"/>
        <w:jc w:val="center"/>
        <w:rPr>
          <w:rFonts w:ascii="仿宋" w:hAnsi="仿宋" w:eastAsia="仿宋"/>
          <w:b/>
          <w:sz w:val="72"/>
          <w:szCs w:val="72"/>
        </w:rPr>
      </w:pPr>
      <w:r>
        <w:rPr>
          <w:rFonts w:ascii="仿宋" w:hAnsi="仿宋" w:eastAsia="仿宋"/>
          <w:b/>
          <w:sz w:val="72"/>
          <w:szCs w:val="72"/>
        </w:rPr>
        <w:drawing>
          <wp:anchor distT="0" distB="0" distL="114300" distR="114300" simplePos="0" relativeHeight="251661312" behindDoc="0" locked="0" layoutInCell="1" allowOverlap="1">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pPr>
        <w:spacing w:line="1000" w:lineRule="exact"/>
        <w:jc w:val="center"/>
        <w:rPr>
          <w:rFonts w:ascii="仿宋" w:hAnsi="仿宋" w:eastAsia="仿宋"/>
          <w:b/>
          <w:sz w:val="32"/>
          <w:szCs w:val="32"/>
        </w:rPr>
      </w:pPr>
      <w:r>
        <w:rPr>
          <w:rFonts w:hint="eastAsia" w:ascii="仿宋" w:hAnsi="仿宋" w:eastAsia="仿宋"/>
          <w:b/>
          <w:sz w:val="32"/>
          <w:szCs w:val="32"/>
        </w:rPr>
        <w:t>江西科技学院关于功能性投影仪设备采购项目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参与人名称（公司全称）：</w:t>
      </w:r>
      <w:r>
        <w:rPr>
          <w:rFonts w:ascii="仿宋" w:hAnsi="仿宋" w:eastAsia="仿宋"/>
          <w:b/>
          <w:sz w:val="30"/>
          <w:szCs w:val="30"/>
        </w:rPr>
        <w:t>XXXX</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参与人授权代表：X</w:t>
      </w:r>
      <w:r>
        <w:rPr>
          <w:rFonts w:ascii="仿宋" w:hAnsi="仿宋" w:eastAsia="仿宋"/>
          <w:b/>
          <w:sz w:val="30"/>
          <w:szCs w:val="30"/>
        </w:rPr>
        <w:t>XXX</w:t>
      </w:r>
    </w:p>
    <w:p>
      <w:pPr>
        <w:jc w:val="center"/>
        <w:rPr>
          <w:rFonts w:ascii="仿宋" w:hAnsi="仿宋" w:eastAsia="仿宋"/>
          <w:b/>
          <w:sz w:val="36"/>
          <w:szCs w:val="36"/>
        </w:rPr>
      </w:pPr>
    </w:p>
    <w:p>
      <w:pPr>
        <w:jc w:val="center"/>
        <w:rPr>
          <w:rFonts w:ascii="仿宋" w:hAnsi="仿宋" w:eastAsia="仿宋"/>
          <w:b/>
          <w:bCs/>
          <w:sz w:val="30"/>
          <w:szCs w:val="30"/>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680" w:gutter="0"/>
          <w:cols w:space="425" w:num="1"/>
          <w:titlePg/>
          <w:docGrid w:type="lines" w:linePitch="312" w:charSpace="0"/>
        </w:sectPr>
      </w:pPr>
    </w:p>
    <w:p>
      <w:pPr>
        <w:jc w:val="center"/>
        <w:outlineLvl w:val="1"/>
        <w:rPr>
          <w:rFonts w:ascii="仿宋" w:hAnsi="仿宋" w:eastAsia="仿宋"/>
          <w:b/>
          <w:bCs/>
          <w:sz w:val="28"/>
          <w:szCs w:val="28"/>
        </w:rPr>
      </w:pPr>
      <w:bookmarkStart w:id="51" w:name="_Toc181436461"/>
      <w:bookmarkStart w:id="52" w:name="_Toc213755858"/>
      <w:bookmarkStart w:id="53" w:name="_Toc267059030"/>
      <w:bookmarkStart w:id="54" w:name="_Toc213208766"/>
      <w:bookmarkStart w:id="55" w:name="_Toc213756051"/>
      <w:bookmarkStart w:id="56" w:name="_Toc193165734"/>
      <w:bookmarkStart w:id="57" w:name="_Toc249325711"/>
      <w:bookmarkStart w:id="58" w:name="_Toc169332838"/>
      <w:bookmarkStart w:id="59" w:name="_Toc180302913"/>
      <w:bookmarkStart w:id="60" w:name="_Toc181436565"/>
      <w:bookmarkStart w:id="61" w:name="_Toc160880160"/>
      <w:bookmarkStart w:id="62" w:name="_Toc177985469"/>
      <w:bookmarkStart w:id="63" w:name="_Toc192996338"/>
      <w:bookmarkStart w:id="64" w:name="_Toc191783222"/>
      <w:bookmarkStart w:id="65" w:name="_Toc230071147"/>
      <w:bookmarkStart w:id="66" w:name="_Toc160880529"/>
      <w:bookmarkStart w:id="67" w:name="_Toc235438274"/>
      <w:bookmarkStart w:id="68" w:name="_Toc266868670"/>
      <w:bookmarkStart w:id="69" w:name="_Toc192663835"/>
      <w:bookmarkStart w:id="70" w:name="_Toc182372782"/>
      <w:bookmarkStart w:id="71" w:name="_Toc235438344"/>
      <w:bookmarkStart w:id="72" w:name="_Toc170798793"/>
      <w:bookmarkStart w:id="73" w:name="_Toc192664153"/>
      <w:bookmarkStart w:id="74" w:name="_Toc266870907"/>
      <w:bookmarkStart w:id="75" w:name="_Toc211917116"/>
      <w:bookmarkStart w:id="76" w:name="_Toc259692740"/>
      <w:bookmarkStart w:id="77" w:name="_Toc236021449"/>
      <w:bookmarkStart w:id="78" w:name="_Toc267060453"/>
      <w:bookmarkStart w:id="79" w:name="_Toc169332949"/>
      <w:bookmarkStart w:id="80" w:name="_Toc266870833"/>
      <w:bookmarkStart w:id="81" w:name="_Toc223146608"/>
      <w:bookmarkStart w:id="82" w:name="_Toc253066614"/>
      <w:bookmarkStart w:id="83" w:name="_Toc266870432"/>
      <w:bookmarkStart w:id="84" w:name="_Toc267060321"/>
      <w:bookmarkStart w:id="85" w:name="_Toc192663686"/>
      <w:bookmarkStart w:id="86" w:name="_Toc259520865"/>
      <w:bookmarkStart w:id="87" w:name="_Toc235437991"/>
      <w:bookmarkStart w:id="88" w:name="_Toc251586231"/>
      <w:bookmarkStart w:id="89" w:name="_Toc267059539"/>
      <w:bookmarkStart w:id="90" w:name="_Toc193160448"/>
      <w:bookmarkStart w:id="91" w:name="_Toc192996446"/>
      <w:bookmarkStart w:id="92" w:name="_Toc267059653"/>
      <w:bookmarkStart w:id="93" w:name="_Toc217891402"/>
      <w:bookmarkStart w:id="94" w:name="_Toc203355733"/>
      <w:bookmarkStart w:id="95" w:name="_Toc191802690"/>
      <w:bookmarkStart w:id="96" w:name="_Toc267059806"/>
      <w:bookmarkStart w:id="97" w:name="_Toc225669322"/>
      <w:bookmarkStart w:id="98" w:name="_Toc213755995"/>
      <w:bookmarkStart w:id="99" w:name="_Toc232302115"/>
      <w:bookmarkStart w:id="100" w:name="_Toc267060068"/>
      <w:bookmarkStart w:id="101" w:name="_Toc191803626"/>
      <w:bookmarkStart w:id="102" w:name="_Toc227058530"/>
      <w:bookmarkStart w:id="103" w:name="_Toc191789329"/>
      <w:bookmarkStart w:id="104" w:name="_Toc254790899"/>
      <w:bookmarkStart w:id="105" w:name="_Toc267060208"/>
      <w:bookmarkStart w:id="106" w:name="_Toc258401256"/>
      <w:bookmarkStart w:id="107" w:name="_Toc213755939"/>
      <w:bookmarkStart w:id="108" w:name="_Toc182805217"/>
      <w:bookmarkStart w:id="109" w:name="_Toc251613829"/>
      <w:bookmarkStart w:id="110" w:name="_Toc273178698"/>
      <w:bookmarkStart w:id="111" w:name="_Toc266868937"/>
      <w:bookmarkStart w:id="112" w:name="_Toc219800243"/>
      <w:bookmarkStart w:id="113" w:name="_Toc255975007"/>
      <w:bookmarkStart w:id="114" w:name="_Toc267059919"/>
      <w:bookmarkStart w:id="115" w:name="_Toc267059181"/>
      <w:bookmarkStart w:id="116" w:name="_Toc259692647"/>
    </w:p>
    <w:p>
      <w:pPr>
        <w:jc w:val="center"/>
        <w:outlineLvl w:val="1"/>
        <w:rPr>
          <w:rFonts w:ascii="仿宋" w:hAnsi="仿宋" w:eastAsia="仿宋"/>
          <w:b/>
          <w:bCs/>
          <w:sz w:val="28"/>
          <w:szCs w:val="28"/>
        </w:rPr>
      </w:pPr>
      <w:r>
        <w:rPr>
          <w:rFonts w:hint="eastAsia" w:ascii="仿宋" w:hAnsi="仿宋" w:eastAsia="仿宋"/>
          <w:b/>
          <w:bCs/>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致：江西科技学院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 ，本签字代表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质保期和售后服务承诺书（采购物品为一般货物时需要）</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 </w:t>
      </w:r>
      <w:r>
        <w:rPr>
          <w:rFonts w:ascii="仿宋" w:hAnsi="仿宋" w:eastAsia="仿宋"/>
          <w:sz w:val="28"/>
          <w:szCs w:val="28"/>
        </w:rPr>
        <w:t xml:space="preserve">      </w:t>
      </w:r>
      <w:r>
        <w:rPr>
          <w:rFonts w:hint="eastAsia" w:ascii="仿宋" w:hAnsi="仿宋" w:eastAsia="仿宋"/>
          <w:sz w:val="28"/>
          <w:szCs w:val="28"/>
        </w:rPr>
        <w:t xml:space="preserve">人民币，即（中文表述） </w:t>
      </w:r>
      <w:r>
        <w:rPr>
          <w:rFonts w:ascii="仿宋" w:hAnsi="仿宋" w:eastAsia="仿宋"/>
          <w:sz w:val="28"/>
          <w:szCs w:val="28"/>
        </w:rPr>
        <w:t xml:space="preserve">       </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p>
    <w:p>
      <w:pPr>
        <w:pStyle w:val="58"/>
        <w:spacing w:line="480" w:lineRule="exact"/>
        <w:jc w:val="left"/>
        <w:outlineLvl w:val="9"/>
        <w:rPr>
          <w:rFonts w:ascii="仿宋" w:hAnsi="仿宋" w:eastAsia="仿宋"/>
          <w:szCs w:val="28"/>
        </w:rPr>
      </w:pPr>
      <w:r>
        <w:rPr>
          <w:rFonts w:hint="eastAsia" w:ascii="仿宋" w:hAnsi="仿宋" w:eastAsia="仿宋"/>
          <w:szCs w:val="28"/>
        </w:rPr>
        <w:t xml:space="preserve">      日  期：    年   月   日</w:t>
      </w:r>
    </w:p>
    <w:p>
      <w:pPr>
        <w:rPr>
          <w:rFonts w:ascii="仿宋" w:hAnsi="仿宋" w:eastAsia="仿宋" w:cs="Times New Roman"/>
          <w:kern w:val="2"/>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、工程量清单</w:t>
      </w:r>
    </w:p>
    <w:p>
      <w:pPr>
        <w:jc w:val="center"/>
        <w:outlineLvl w:val="1"/>
        <w:rPr>
          <w:rFonts w:ascii="仿宋" w:hAnsi="仿宋" w:eastAsia="仿宋"/>
          <w:b/>
          <w:bCs/>
          <w:sz w:val="28"/>
          <w:szCs w:val="28"/>
        </w:rPr>
      </w:pP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日 期：</w:t>
      </w:r>
      <w:bookmarkStart w:id="117" w:name="_Toc177985474"/>
      <w:bookmarkStart w:id="118" w:name="_Toc193160453"/>
      <w:bookmarkStart w:id="119" w:name="_Toc213756001"/>
      <w:bookmarkStart w:id="120" w:name="_Toc266870839"/>
      <w:bookmarkStart w:id="121" w:name="_Toc192663691"/>
      <w:bookmarkStart w:id="122" w:name="_Toc192996343"/>
      <w:bookmarkStart w:id="123" w:name="_Toc181436570"/>
      <w:bookmarkStart w:id="124" w:name="_Toc258401265"/>
      <w:bookmarkStart w:id="125" w:name="_Toc225669328"/>
      <w:bookmarkStart w:id="126" w:name="_Toc255975016"/>
      <w:bookmarkStart w:id="127" w:name="_Toc192664158"/>
      <w:bookmarkStart w:id="128" w:name="_Toc267059924"/>
      <w:bookmarkStart w:id="129" w:name="_Toc192663840"/>
      <w:bookmarkStart w:id="130" w:name="_Toc217891408"/>
      <w:bookmarkStart w:id="131" w:name="_Toc267059544"/>
      <w:bookmarkStart w:id="132" w:name="_Toc259520874"/>
      <w:bookmarkStart w:id="133" w:name="_Toc203355738"/>
      <w:bookmarkStart w:id="134" w:name="_Toc219800249"/>
      <w:bookmarkStart w:id="135" w:name="_Toc193165739"/>
      <w:bookmarkStart w:id="136" w:name="_Toc160880534"/>
      <w:bookmarkStart w:id="137" w:name="_Toc169332843"/>
      <w:bookmarkStart w:id="138" w:name="_Toc273178703"/>
      <w:bookmarkStart w:id="139" w:name="_Toc169332954"/>
      <w:bookmarkStart w:id="140" w:name="_Toc181436466"/>
      <w:bookmarkStart w:id="141" w:name="_Toc180302918"/>
      <w:bookmarkStart w:id="142" w:name="_Toc266870916"/>
      <w:bookmarkStart w:id="143" w:name="_Toc236021457"/>
      <w:bookmarkStart w:id="144" w:name="_Toc267060216"/>
      <w:bookmarkStart w:id="145" w:name="_Toc235438281"/>
      <w:bookmarkStart w:id="146" w:name="_Toc213756057"/>
      <w:bookmarkStart w:id="147" w:name="_Toc266870441"/>
      <w:bookmarkStart w:id="148" w:name="_Toc191802695"/>
      <w:bookmarkStart w:id="149" w:name="_Toc182805222"/>
      <w:bookmarkStart w:id="150" w:name="_Toc191789334"/>
      <w:bookmarkStart w:id="151" w:name="_Toc267059811"/>
      <w:bookmarkStart w:id="152" w:name="_Toc266868943"/>
      <w:bookmarkStart w:id="153" w:name="_Toc191803631"/>
      <w:bookmarkStart w:id="154" w:name="_Toc232302122"/>
      <w:bookmarkStart w:id="155" w:name="_Toc259692749"/>
      <w:bookmarkStart w:id="156" w:name="_Toc191783227"/>
      <w:bookmarkStart w:id="157" w:name="_Toc253066624"/>
      <w:bookmarkStart w:id="158" w:name="_Toc254790909"/>
      <w:bookmarkStart w:id="159" w:name="_Toc192996451"/>
      <w:bookmarkStart w:id="160" w:name="_Toc251613839"/>
      <w:bookmarkStart w:id="161" w:name="_Toc213755945"/>
      <w:bookmarkStart w:id="162" w:name="_Toc211917121"/>
      <w:bookmarkStart w:id="163" w:name="_Toc267060326"/>
      <w:bookmarkStart w:id="164" w:name="_Toc235437998"/>
      <w:bookmarkStart w:id="165" w:name="_Toc213208771"/>
      <w:bookmarkStart w:id="166" w:name="_Toc182372787"/>
      <w:bookmarkStart w:id="167" w:name="_Toc170798798"/>
      <w:bookmarkStart w:id="168" w:name="_Toc213755864"/>
      <w:bookmarkStart w:id="169" w:name="_Toc267059186"/>
      <w:bookmarkStart w:id="170" w:name="_Toc235438352"/>
      <w:bookmarkStart w:id="171" w:name="_Toc266868679"/>
      <w:bookmarkStart w:id="172" w:name="_Toc267060461"/>
      <w:bookmarkStart w:id="173" w:name="_Toc267059658"/>
      <w:bookmarkStart w:id="174" w:name="_Toc223146614"/>
      <w:bookmarkStart w:id="175" w:name="_Toc251586241"/>
      <w:bookmarkStart w:id="176" w:name="_Toc160880165"/>
      <w:bookmarkStart w:id="177" w:name="_Toc267059035"/>
      <w:bookmarkStart w:id="178" w:name="_Toc227058536"/>
      <w:bookmarkStart w:id="179" w:name="_Toc249325720"/>
      <w:bookmarkStart w:id="180" w:name="_Toc230071153"/>
      <w:bookmarkStart w:id="181" w:name="_Toc267060076"/>
      <w:bookmarkStart w:id="182" w:name="_Toc259692656"/>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183" w:name="_Toc249325721"/>
      <w:bookmarkStart w:id="184" w:name="_Toc266870917"/>
      <w:bookmarkStart w:id="185" w:name="_Toc235438282"/>
      <w:bookmarkStart w:id="186" w:name="_Toc258401266"/>
      <w:bookmarkStart w:id="187" w:name="_Toc251586242"/>
      <w:bookmarkStart w:id="188" w:name="_Toc219800250"/>
      <w:bookmarkStart w:id="189" w:name="_Toc253066625"/>
      <w:bookmarkStart w:id="190" w:name="_Toc230071154"/>
      <w:bookmarkStart w:id="191" w:name="_Toc254790910"/>
      <w:bookmarkStart w:id="192" w:name="_Toc255975017"/>
      <w:bookmarkStart w:id="193" w:name="_Toc251613840"/>
      <w:bookmarkStart w:id="194" w:name="_Toc225669329"/>
      <w:bookmarkStart w:id="195" w:name="_Toc232302123"/>
      <w:bookmarkStart w:id="196" w:name="_Toc266870442"/>
      <w:bookmarkStart w:id="197" w:name="_Toc236021458"/>
      <w:bookmarkStart w:id="198" w:name="_Toc217891409"/>
      <w:bookmarkStart w:id="199" w:name="_Toc213756058"/>
      <w:bookmarkStart w:id="200" w:name="_Toc259520875"/>
      <w:bookmarkStart w:id="201" w:name="_Toc259692657"/>
      <w:bookmarkStart w:id="202" w:name="_Toc223146615"/>
      <w:bookmarkStart w:id="203" w:name="_Toc267060217"/>
      <w:bookmarkStart w:id="204" w:name="_Toc259692750"/>
      <w:bookmarkStart w:id="205" w:name="_Toc227058537"/>
      <w:bookmarkStart w:id="206" w:name="_Toc267060077"/>
      <w:bookmarkStart w:id="207" w:name="_Toc235438353"/>
      <w:bookmarkStart w:id="208" w:name="_Toc235437999"/>
      <w:bookmarkStart w:id="209" w:name="_Toc266868680"/>
      <w:bookmarkStart w:id="210" w:name="_Toc267060462"/>
      <w:r>
        <w:rPr>
          <w:rFonts w:ascii="仿宋" w:hAnsi="仿宋" w:eastAsia="仿宋"/>
          <w:b/>
          <w:sz w:val="28"/>
          <w:szCs w:val="28"/>
        </w:rPr>
        <w:t>3</w:t>
      </w:r>
      <w:r>
        <w:rPr>
          <w:rFonts w:hint="eastAsia" w:ascii="仿宋" w:hAnsi="仿宋" w:eastAsia="仿宋"/>
          <w:b/>
          <w:sz w:val="28"/>
          <w:szCs w:val="28"/>
        </w:rPr>
        <w:t>-1关于资格的声明函</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ascii="仿宋" w:hAnsi="仿宋" w:eastAsia="仿宋"/>
          <w:b/>
          <w:sz w:val="28"/>
          <w:szCs w:val="28"/>
        </w:rPr>
        <w:cr/>
      </w:r>
    </w:p>
    <w:p>
      <w:pPr>
        <w:spacing w:after="0" w:line="500" w:lineRule="exact"/>
        <w:rPr>
          <w:rFonts w:ascii="仿宋" w:hAnsi="仿宋" w:eastAsia="仿宋"/>
          <w:sz w:val="28"/>
          <w:szCs w:val="28"/>
        </w:rPr>
      </w:pPr>
      <w:bookmarkStart w:id="211" w:name="_Hlk511663739"/>
      <w:r>
        <w:rPr>
          <w:rFonts w:hint="eastAsia" w:ascii="仿宋" w:hAnsi="仿宋" w:eastAsia="仿宋"/>
          <w:sz w:val="28"/>
          <w:szCs w:val="28"/>
        </w:rPr>
        <w:t>江西科技学院：</w:t>
      </w:r>
      <w:bookmarkEnd w:id="211"/>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     年   月   日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u w:val="single"/>
        </w:rPr>
      </w:pPr>
      <w:r>
        <w:rPr>
          <w:rFonts w:hint="eastAsia" w:ascii="仿宋" w:hAnsi="仿宋" w:eastAsia="仿宋"/>
          <w:sz w:val="28"/>
          <w:szCs w:val="28"/>
        </w:rPr>
        <w:t>地     址：</w:t>
      </w:r>
    </w:p>
    <w:p>
      <w:pPr>
        <w:spacing w:line="500" w:lineRule="exact"/>
        <w:rPr>
          <w:rFonts w:ascii="仿宋" w:hAnsi="仿宋" w:eastAsia="仿宋"/>
          <w:sz w:val="28"/>
          <w:szCs w:val="28"/>
          <w:u w:val="single"/>
        </w:rPr>
      </w:pPr>
      <w:r>
        <w:rPr>
          <w:rFonts w:hint="eastAsia" w:ascii="仿宋" w:hAnsi="仿宋" w:eastAsia="仿宋"/>
          <w:sz w:val="28"/>
          <w:szCs w:val="28"/>
        </w:rPr>
        <w:t>邮     编：</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12" w:name="_Toc259692751"/>
      <w:bookmarkStart w:id="213" w:name="_Toc225669330"/>
      <w:bookmarkStart w:id="214" w:name="_Toc253066626"/>
      <w:bookmarkStart w:id="215" w:name="_Toc255975018"/>
      <w:bookmarkStart w:id="216" w:name="_Toc217891410"/>
      <w:bookmarkStart w:id="217" w:name="_Toc219800251"/>
      <w:bookmarkStart w:id="218" w:name="_Toc266870443"/>
      <w:bookmarkStart w:id="219" w:name="_Toc249325722"/>
      <w:bookmarkStart w:id="220" w:name="_Toc258401267"/>
      <w:bookmarkStart w:id="221" w:name="_Toc227058538"/>
      <w:bookmarkStart w:id="222" w:name="_Toc259692658"/>
      <w:bookmarkStart w:id="223" w:name="_Toc213756059"/>
      <w:bookmarkStart w:id="224" w:name="_Toc232302124"/>
      <w:bookmarkStart w:id="225" w:name="_Toc235438000"/>
      <w:bookmarkStart w:id="226" w:name="_Toc230071155"/>
      <w:bookmarkStart w:id="227" w:name="_Toc266868681"/>
      <w:bookmarkStart w:id="228" w:name="_Toc235438283"/>
      <w:bookmarkStart w:id="229" w:name="_Toc251586243"/>
      <w:bookmarkStart w:id="230" w:name="_Toc236021459"/>
      <w:bookmarkStart w:id="231" w:name="_Toc266870918"/>
      <w:bookmarkStart w:id="232" w:name="_Toc259520876"/>
      <w:bookmarkStart w:id="233" w:name="_Toc223146616"/>
      <w:bookmarkStart w:id="234" w:name="_Toc254790911"/>
      <w:bookmarkStart w:id="235" w:name="_Toc251613841"/>
      <w:bookmarkStart w:id="236" w:name="_Toc235438354"/>
    </w:p>
    <w:p>
      <w:pPr>
        <w:jc w:val="center"/>
        <w:outlineLvl w:val="1"/>
        <w:rPr>
          <w:rFonts w:ascii="仿宋" w:hAnsi="仿宋" w:eastAsia="仿宋"/>
          <w:b/>
          <w:sz w:val="28"/>
          <w:szCs w:val="28"/>
        </w:rPr>
      </w:pPr>
      <w:r>
        <w:rPr>
          <w:rFonts w:ascii="仿宋" w:hAnsi="仿宋" w:eastAsia="仿宋"/>
          <w:sz w:val="28"/>
          <w:szCs w:val="28"/>
        </w:rPr>
        <w:br w:type="page"/>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江西科技学院：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7" w:name="_Toc192996346"/>
      <w:bookmarkStart w:id="238" w:name="_Toc182805225"/>
      <w:bookmarkStart w:id="239" w:name="_Toc211917124"/>
      <w:bookmarkStart w:id="240" w:name="_Toc192663843"/>
      <w:bookmarkStart w:id="241" w:name="_Toc259520879"/>
      <w:bookmarkStart w:id="242" w:name="_Toc267060465"/>
      <w:bookmarkStart w:id="243" w:name="_Toc180302921"/>
      <w:bookmarkStart w:id="244" w:name="_Toc203355741"/>
      <w:bookmarkStart w:id="245" w:name="_Toc169332846"/>
      <w:bookmarkStart w:id="246" w:name="_Toc191789337"/>
      <w:bookmarkStart w:id="247" w:name="_Toc235438357"/>
      <w:bookmarkStart w:id="248" w:name="_Toc191802698"/>
      <w:bookmarkStart w:id="249" w:name="_Toc181436469"/>
      <w:bookmarkStart w:id="250" w:name="_Toc191783230"/>
      <w:bookmarkStart w:id="251" w:name="_Toc192663694"/>
      <w:bookmarkStart w:id="252" w:name="_Toc192996454"/>
      <w:bookmarkStart w:id="253" w:name="_Toc160880168"/>
      <w:bookmarkStart w:id="254" w:name="_Toc170798801"/>
      <w:bookmarkStart w:id="255" w:name="_Toc235438286"/>
      <w:bookmarkStart w:id="256" w:name="_Toc267060466"/>
      <w:bookmarkStart w:id="257" w:name="_Toc182372790"/>
      <w:bookmarkStart w:id="258" w:name="_Toc232302127"/>
      <w:bookmarkStart w:id="259" w:name="_Toc160880537"/>
      <w:bookmarkStart w:id="260" w:name="_Toc251586246"/>
      <w:bookmarkStart w:id="261" w:name="_Toc181436573"/>
      <w:bookmarkStart w:id="262" w:name="_Toc259692661"/>
      <w:bookmarkStart w:id="263" w:name="_Toc249325725"/>
      <w:bookmarkStart w:id="264" w:name="_Toc235438003"/>
      <w:bookmarkStart w:id="265" w:name="_Toc192664161"/>
      <w:bookmarkStart w:id="266" w:name="_Toc258401270"/>
      <w:bookmarkStart w:id="267" w:name="_Toc259520881"/>
      <w:bookmarkStart w:id="268" w:name="_Toc255975023"/>
      <w:bookmarkStart w:id="269" w:name="_Toc259692663"/>
      <w:bookmarkStart w:id="270" w:name="_Toc266870447"/>
      <w:bookmarkStart w:id="271" w:name="_Toc251613844"/>
      <w:bookmarkStart w:id="272" w:name="_Toc254790916"/>
      <w:bookmarkStart w:id="273" w:name="_Toc255975021"/>
      <w:bookmarkStart w:id="274" w:name="_Toc267060220"/>
      <w:bookmarkStart w:id="275" w:name="_Toc259692754"/>
      <w:bookmarkStart w:id="276" w:name="_Toc193165742"/>
      <w:bookmarkStart w:id="277" w:name="_Toc236021462"/>
      <w:bookmarkStart w:id="278" w:name="_Toc253066629"/>
      <w:bookmarkStart w:id="279" w:name="_Toc258401272"/>
      <w:bookmarkStart w:id="280" w:name="_Toc266868684"/>
      <w:bookmarkStart w:id="281" w:name="_Toc177985477"/>
      <w:bookmarkStart w:id="282" w:name="_Toc266868686"/>
      <w:bookmarkStart w:id="283" w:name="_Toc267060080"/>
      <w:bookmarkStart w:id="284" w:name="_Toc193160456"/>
      <w:bookmarkStart w:id="285" w:name="_Toc254790914"/>
      <w:bookmarkStart w:id="286" w:name="_Toc267060081"/>
      <w:bookmarkStart w:id="287" w:name="_Toc266870446"/>
      <w:bookmarkStart w:id="288" w:name="_Toc169332957"/>
      <w:bookmarkStart w:id="289" w:name="_Toc266870922"/>
      <w:bookmarkStart w:id="290" w:name="_Toc259692756"/>
      <w:bookmarkStart w:id="291" w:name="_Toc266870921"/>
      <w:bookmarkStart w:id="292" w:name="_Toc191803634"/>
      <w:bookmarkStart w:id="293" w:name="_Toc267060221"/>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Pr>
        <w:spacing w:after="0" w:line="480" w:lineRule="exact"/>
        <w:ind w:firstLine="570"/>
        <w:jc w:val="center"/>
        <w:rPr>
          <w:rFonts w:ascii="仿宋" w:hAnsi="仿宋" w:eastAsia="仿宋"/>
          <w:b/>
          <w:bCs/>
          <w:sz w:val="28"/>
          <w:szCs w:val="28"/>
        </w:rPr>
      </w:pPr>
      <w:bookmarkStart w:id="294" w:name="_Toc267059812"/>
      <w:bookmarkStart w:id="295" w:name="_Toc259520882"/>
      <w:bookmarkStart w:id="296" w:name="_Toc267059187"/>
      <w:bookmarkStart w:id="297" w:name="_Toc236021463"/>
      <w:bookmarkStart w:id="298" w:name="_Toc273178704"/>
      <w:bookmarkStart w:id="299" w:name="_Toc267060327"/>
      <w:bookmarkStart w:id="300" w:name="_Toc267060082"/>
      <w:bookmarkStart w:id="301" w:name="_Toc235438004"/>
      <w:bookmarkStart w:id="302" w:name="_Toc235438358"/>
      <w:bookmarkStart w:id="303" w:name="_Toc259692757"/>
      <w:bookmarkStart w:id="304" w:name="_Toc267059659"/>
      <w:bookmarkStart w:id="305" w:name="_Toc266868687"/>
      <w:bookmarkStart w:id="306" w:name="_Toc255975024"/>
      <w:bookmarkStart w:id="307" w:name="_Toc251586247"/>
      <w:bookmarkStart w:id="308" w:name="_Toc254790917"/>
      <w:bookmarkStart w:id="309" w:name="_Toc266870448"/>
      <w:bookmarkStart w:id="310" w:name="_Toc259692664"/>
      <w:bookmarkStart w:id="311" w:name="_Toc267059036"/>
      <w:bookmarkStart w:id="312" w:name="_Toc267060467"/>
      <w:bookmarkStart w:id="313" w:name="_Toc266870923"/>
      <w:bookmarkStart w:id="314" w:name="_Toc251613845"/>
      <w:bookmarkStart w:id="315" w:name="_Toc267060222"/>
      <w:bookmarkStart w:id="316" w:name="_Toc258401273"/>
      <w:bookmarkStart w:id="317" w:name="_Toc249325726"/>
      <w:bookmarkStart w:id="318" w:name="_Toc266870840"/>
      <w:bookmarkStart w:id="319" w:name="_Toc266868944"/>
      <w:bookmarkStart w:id="320" w:name="_Toc235438287"/>
      <w:bookmarkStart w:id="321" w:name="_Toc267059925"/>
      <w:bookmarkStart w:id="322" w:name="_Toc232302128"/>
      <w:bookmarkStart w:id="323" w:name="_Toc267059545"/>
      <w:bookmarkStart w:id="324" w:name="_Toc253066630"/>
      <w:r>
        <w:rPr>
          <w:rFonts w:ascii="仿宋" w:hAnsi="仿宋" w:eastAsia="仿宋"/>
          <w:b/>
          <w:bCs/>
          <w:sz w:val="28"/>
          <w:szCs w:val="28"/>
        </w:rPr>
        <w:t>4.</w:t>
      </w:r>
      <w:r>
        <w:rPr>
          <w:rFonts w:hint="eastAsia" w:ascii="仿宋" w:hAnsi="仿宋" w:eastAsia="仿宋"/>
          <w:b/>
          <w:bCs/>
          <w:sz w:val="28"/>
          <w:szCs w:val="28"/>
        </w:rPr>
        <w:t>质保期和售后服务承诺书</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widowControl w:val="0"/>
        <w:spacing w:after="0" w:line="240" w:lineRule="auto"/>
        <w:ind w:left="420"/>
        <w:jc w:val="center"/>
        <w:outlineLvl w:val="1"/>
        <w:rPr>
          <w:rFonts w:ascii="仿宋" w:hAnsi="仿宋" w:eastAsia="仿宋"/>
          <w:b/>
          <w:sz w:val="28"/>
          <w:szCs w:val="28"/>
        </w:rPr>
      </w:pPr>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p>
    <w:p>
      <w:pPr>
        <w:spacing w:line="380" w:lineRule="exact"/>
        <w:rPr>
          <w:rFonts w:ascii="仿宋" w:hAnsi="仿宋" w:eastAsia="仿宋"/>
          <w:sz w:val="28"/>
          <w:szCs w:val="28"/>
        </w:rPr>
      </w:pPr>
    </w:p>
    <w:sectPr>
      <w:headerReference r:id="rId10" w:type="first"/>
      <w:footerReference r:id="rId11"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drawing>
        <wp:anchor distT="0" distB="0" distL="114300" distR="114300" simplePos="0" relativeHeight="251659264" behindDoc="0" locked="0" layoutInCell="1" allowOverlap="1">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4AD"/>
    <w:rsid w:val="0000490C"/>
    <w:rsid w:val="00004A19"/>
    <w:rsid w:val="00031D61"/>
    <w:rsid w:val="000569E1"/>
    <w:rsid w:val="00064E4D"/>
    <w:rsid w:val="00070A6D"/>
    <w:rsid w:val="0007244C"/>
    <w:rsid w:val="00074B20"/>
    <w:rsid w:val="00082572"/>
    <w:rsid w:val="00092390"/>
    <w:rsid w:val="000934D4"/>
    <w:rsid w:val="000A06E4"/>
    <w:rsid w:val="000C09AE"/>
    <w:rsid w:val="000D4D71"/>
    <w:rsid w:val="000D4FB9"/>
    <w:rsid w:val="000F4F45"/>
    <w:rsid w:val="0012724D"/>
    <w:rsid w:val="0013118F"/>
    <w:rsid w:val="00147E05"/>
    <w:rsid w:val="001561E9"/>
    <w:rsid w:val="0016249C"/>
    <w:rsid w:val="00163B53"/>
    <w:rsid w:val="00176CD4"/>
    <w:rsid w:val="00182C6E"/>
    <w:rsid w:val="001A06A4"/>
    <w:rsid w:val="001A5B43"/>
    <w:rsid w:val="001B2557"/>
    <w:rsid w:val="001B719E"/>
    <w:rsid w:val="001C0845"/>
    <w:rsid w:val="001C6943"/>
    <w:rsid w:val="001E7B35"/>
    <w:rsid w:val="001F3952"/>
    <w:rsid w:val="00215A21"/>
    <w:rsid w:val="00235942"/>
    <w:rsid w:val="00235C32"/>
    <w:rsid w:val="00237309"/>
    <w:rsid w:val="00241EA7"/>
    <w:rsid w:val="00244E90"/>
    <w:rsid w:val="002476C4"/>
    <w:rsid w:val="002772BB"/>
    <w:rsid w:val="00282FFD"/>
    <w:rsid w:val="002936CA"/>
    <w:rsid w:val="002A1975"/>
    <w:rsid w:val="002C2C3D"/>
    <w:rsid w:val="002C4297"/>
    <w:rsid w:val="002C558F"/>
    <w:rsid w:val="002F3F54"/>
    <w:rsid w:val="002F61BF"/>
    <w:rsid w:val="00315D0D"/>
    <w:rsid w:val="003222F2"/>
    <w:rsid w:val="00334E6F"/>
    <w:rsid w:val="0033686F"/>
    <w:rsid w:val="0034695A"/>
    <w:rsid w:val="00350AF8"/>
    <w:rsid w:val="003570A0"/>
    <w:rsid w:val="00370098"/>
    <w:rsid w:val="00383EA0"/>
    <w:rsid w:val="003845F2"/>
    <w:rsid w:val="003C0028"/>
    <w:rsid w:val="003C0E1A"/>
    <w:rsid w:val="003C406B"/>
    <w:rsid w:val="003C60EF"/>
    <w:rsid w:val="003D02FC"/>
    <w:rsid w:val="003E6439"/>
    <w:rsid w:val="003F20A6"/>
    <w:rsid w:val="003F36CB"/>
    <w:rsid w:val="003F4827"/>
    <w:rsid w:val="003F4C2C"/>
    <w:rsid w:val="003F6D67"/>
    <w:rsid w:val="00403AD6"/>
    <w:rsid w:val="00404FA2"/>
    <w:rsid w:val="00416AB1"/>
    <w:rsid w:val="004242F4"/>
    <w:rsid w:val="00424AA3"/>
    <w:rsid w:val="0043243C"/>
    <w:rsid w:val="00436823"/>
    <w:rsid w:val="00441955"/>
    <w:rsid w:val="0045488D"/>
    <w:rsid w:val="00486EEF"/>
    <w:rsid w:val="00490E29"/>
    <w:rsid w:val="00494088"/>
    <w:rsid w:val="004956C0"/>
    <w:rsid w:val="004B4E97"/>
    <w:rsid w:val="004B66B1"/>
    <w:rsid w:val="004E0DBF"/>
    <w:rsid w:val="004E24DE"/>
    <w:rsid w:val="004E3E6F"/>
    <w:rsid w:val="004F3FCE"/>
    <w:rsid w:val="00500FB5"/>
    <w:rsid w:val="00502F52"/>
    <w:rsid w:val="00527BFC"/>
    <w:rsid w:val="00543220"/>
    <w:rsid w:val="00553238"/>
    <w:rsid w:val="005553AB"/>
    <w:rsid w:val="00562F2E"/>
    <w:rsid w:val="0057646C"/>
    <w:rsid w:val="00582530"/>
    <w:rsid w:val="00590957"/>
    <w:rsid w:val="0059251D"/>
    <w:rsid w:val="005A5A4D"/>
    <w:rsid w:val="005C2170"/>
    <w:rsid w:val="005C6E27"/>
    <w:rsid w:val="005F1FC8"/>
    <w:rsid w:val="00607B2B"/>
    <w:rsid w:val="006230ED"/>
    <w:rsid w:val="00630374"/>
    <w:rsid w:val="00645EFA"/>
    <w:rsid w:val="0066427F"/>
    <w:rsid w:val="006651E0"/>
    <w:rsid w:val="006652BF"/>
    <w:rsid w:val="00665A94"/>
    <w:rsid w:val="00691E02"/>
    <w:rsid w:val="006A084D"/>
    <w:rsid w:val="006B6F8C"/>
    <w:rsid w:val="006C2D5E"/>
    <w:rsid w:val="006D27DD"/>
    <w:rsid w:val="006D53F9"/>
    <w:rsid w:val="006D6492"/>
    <w:rsid w:val="006F3C71"/>
    <w:rsid w:val="006F5FBA"/>
    <w:rsid w:val="00737694"/>
    <w:rsid w:val="007550F2"/>
    <w:rsid w:val="00790192"/>
    <w:rsid w:val="0079407E"/>
    <w:rsid w:val="007B0F09"/>
    <w:rsid w:val="007B2319"/>
    <w:rsid w:val="007B5846"/>
    <w:rsid w:val="007B5C67"/>
    <w:rsid w:val="007C719E"/>
    <w:rsid w:val="007D5A32"/>
    <w:rsid w:val="007E12A9"/>
    <w:rsid w:val="00820F76"/>
    <w:rsid w:val="00821371"/>
    <w:rsid w:val="00832069"/>
    <w:rsid w:val="00844ABD"/>
    <w:rsid w:val="0085479C"/>
    <w:rsid w:val="00865B30"/>
    <w:rsid w:val="00867893"/>
    <w:rsid w:val="008733EA"/>
    <w:rsid w:val="00874219"/>
    <w:rsid w:val="00876AB6"/>
    <w:rsid w:val="008843FB"/>
    <w:rsid w:val="008902DC"/>
    <w:rsid w:val="008A7DBB"/>
    <w:rsid w:val="008B31EE"/>
    <w:rsid w:val="008B4FB6"/>
    <w:rsid w:val="008C2433"/>
    <w:rsid w:val="008D5688"/>
    <w:rsid w:val="008F1544"/>
    <w:rsid w:val="00906C23"/>
    <w:rsid w:val="00916532"/>
    <w:rsid w:val="009206ED"/>
    <w:rsid w:val="00923C7E"/>
    <w:rsid w:val="00936704"/>
    <w:rsid w:val="00941CEB"/>
    <w:rsid w:val="00945B37"/>
    <w:rsid w:val="009606BC"/>
    <w:rsid w:val="00967E57"/>
    <w:rsid w:val="00970E44"/>
    <w:rsid w:val="00974742"/>
    <w:rsid w:val="00985FC2"/>
    <w:rsid w:val="00994E59"/>
    <w:rsid w:val="009A19FA"/>
    <w:rsid w:val="009A635D"/>
    <w:rsid w:val="009A6925"/>
    <w:rsid w:val="009B035D"/>
    <w:rsid w:val="009B38B3"/>
    <w:rsid w:val="009B5A7A"/>
    <w:rsid w:val="009B75DB"/>
    <w:rsid w:val="009C3D80"/>
    <w:rsid w:val="009D75D8"/>
    <w:rsid w:val="009E759F"/>
    <w:rsid w:val="00A04519"/>
    <w:rsid w:val="00A10022"/>
    <w:rsid w:val="00A148CE"/>
    <w:rsid w:val="00A24465"/>
    <w:rsid w:val="00A40610"/>
    <w:rsid w:val="00A4220E"/>
    <w:rsid w:val="00A44A63"/>
    <w:rsid w:val="00A625F7"/>
    <w:rsid w:val="00A64A5B"/>
    <w:rsid w:val="00A73E47"/>
    <w:rsid w:val="00AA5A63"/>
    <w:rsid w:val="00AC50D8"/>
    <w:rsid w:val="00AD29A3"/>
    <w:rsid w:val="00AE4A31"/>
    <w:rsid w:val="00AF1CE1"/>
    <w:rsid w:val="00AF3C2A"/>
    <w:rsid w:val="00B14C37"/>
    <w:rsid w:val="00B35205"/>
    <w:rsid w:val="00B430EE"/>
    <w:rsid w:val="00B53F63"/>
    <w:rsid w:val="00B54440"/>
    <w:rsid w:val="00B554E7"/>
    <w:rsid w:val="00B60843"/>
    <w:rsid w:val="00B613BB"/>
    <w:rsid w:val="00B9025C"/>
    <w:rsid w:val="00BA1DC6"/>
    <w:rsid w:val="00BA4686"/>
    <w:rsid w:val="00BA7AF2"/>
    <w:rsid w:val="00BB038D"/>
    <w:rsid w:val="00BD49FB"/>
    <w:rsid w:val="00BD7232"/>
    <w:rsid w:val="00BE1921"/>
    <w:rsid w:val="00BE3AA2"/>
    <w:rsid w:val="00C019D8"/>
    <w:rsid w:val="00C035B5"/>
    <w:rsid w:val="00C03BFF"/>
    <w:rsid w:val="00C35176"/>
    <w:rsid w:val="00C46CBE"/>
    <w:rsid w:val="00C53205"/>
    <w:rsid w:val="00C53790"/>
    <w:rsid w:val="00C55D10"/>
    <w:rsid w:val="00C66E1E"/>
    <w:rsid w:val="00C676BA"/>
    <w:rsid w:val="00C81AB4"/>
    <w:rsid w:val="00C857BF"/>
    <w:rsid w:val="00C872BA"/>
    <w:rsid w:val="00C97CD5"/>
    <w:rsid w:val="00CA48A5"/>
    <w:rsid w:val="00CB5A61"/>
    <w:rsid w:val="00D2102C"/>
    <w:rsid w:val="00D23E6F"/>
    <w:rsid w:val="00D268B8"/>
    <w:rsid w:val="00D31624"/>
    <w:rsid w:val="00D36D52"/>
    <w:rsid w:val="00D56DEA"/>
    <w:rsid w:val="00D63CE3"/>
    <w:rsid w:val="00D710EA"/>
    <w:rsid w:val="00DA0D64"/>
    <w:rsid w:val="00DC2C74"/>
    <w:rsid w:val="00DC7C62"/>
    <w:rsid w:val="00DE4C02"/>
    <w:rsid w:val="00DF4B52"/>
    <w:rsid w:val="00E04A37"/>
    <w:rsid w:val="00E06CBF"/>
    <w:rsid w:val="00E11567"/>
    <w:rsid w:val="00E30C8F"/>
    <w:rsid w:val="00E3310A"/>
    <w:rsid w:val="00E33B9E"/>
    <w:rsid w:val="00E33C1C"/>
    <w:rsid w:val="00E67206"/>
    <w:rsid w:val="00E737BC"/>
    <w:rsid w:val="00E83F69"/>
    <w:rsid w:val="00E84BB5"/>
    <w:rsid w:val="00E85E7E"/>
    <w:rsid w:val="00E9406E"/>
    <w:rsid w:val="00E95973"/>
    <w:rsid w:val="00EA31FE"/>
    <w:rsid w:val="00EA320E"/>
    <w:rsid w:val="00EB0368"/>
    <w:rsid w:val="00EB1B4B"/>
    <w:rsid w:val="00ED2437"/>
    <w:rsid w:val="00EE02A8"/>
    <w:rsid w:val="00EE3803"/>
    <w:rsid w:val="00F0149B"/>
    <w:rsid w:val="00F030C2"/>
    <w:rsid w:val="00F1721B"/>
    <w:rsid w:val="00F172D8"/>
    <w:rsid w:val="00F66190"/>
    <w:rsid w:val="00F81C66"/>
    <w:rsid w:val="00F823F4"/>
    <w:rsid w:val="00F8646A"/>
    <w:rsid w:val="00F876DE"/>
    <w:rsid w:val="00F9131A"/>
    <w:rsid w:val="00F915AB"/>
    <w:rsid w:val="00FA1749"/>
    <w:rsid w:val="00FA4236"/>
    <w:rsid w:val="00FA5070"/>
    <w:rsid w:val="00FB2DCF"/>
    <w:rsid w:val="00FB7688"/>
    <w:rsid w:val="00FC4A83"/>
    <w:rsid w:val="00FD2343"/>
    <w:rsid w:val="00FF1750"/>
    <w:rsid w:val="01916A18"/>
    <w:rsid w:val="03C907C6"/>
    <w:rsid w:val="08675BDC"/>
    <w:rsid w:val="0E7C2FAE"/>
    <w:rsid w:val="1BEC742C"/>
    <w:rsid w:val="21DC42C4"/>
    <w:rsid w:val="2A7C013C"/>
    <w:rsid w:val="2DD131C6"/>
    <w:rsid w:val="2E9278E2"/>
    <w:rsid w:val="2F1E15A0"/>
    <w:rsid w:val="3BC72DE7"/>
    <w:rsid w:val="3F7B1C31"/>
    <w:rsid w:val="463679EF"/>
    <w:rsid w:val="4BAD18DA"/>
    <w:rsid w:val="4EFC0DA6"/>
    <w:rsid w:val="5C4247CB"/>
    <w:rsid w:val="66707909"/>
    <w:rsid w:val="6A923527"/>
    <w:rsid w:val="708659B7"/>
    <w:rsid w:val="779B39ED"/>
    <w:rsid w:val="7B4D039C"/>
    <w:rsid w:val="7C5B03EB"/>
    <w:rsid w:val="7CB116B1"/>
    <w:rsid w:val="7EE34C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Balloon Text"/>
    <w:basedOn w:val="1"/>
    <w:link w:val="64"/>
    <w:semiHidden/>
    <w:unhideWhenUsed/>
    <w:qFormat/>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unhideWhenUsed/>
    <w:qFormat/>
    <w:uiPriority w:val="99"/>
    <w:rPr>
      <w:color w:val="F49100"/>
      <w:u w:val="single"/>
    </w:rPr>
  </w:style>
  <w:style w:type="character" w:customStyle="1" w:styleId="30">
    <w:name w:val="标题 1 字符"/>
    <w:basedOn w:val="26"/>
    <w:link w:val="2"/>
    <w:qFormat/>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4"/>
    <w:semiHidden/>
    <w:qFormat/>
    <w:uiPriority w:val="9"/>
    <w:rPr>
      <w:rFonts w:asciiTheme="majorHAnsi" w:hAnsiTheme="majorHAnsi" w:eastAsiaTheme="majorEastAsia" w:cstheme="majorBidi"/>
      <w:spacing w:val="4"/>
      <w:sz w:val="24"/>
      <w:szCs w:val="24"/>
    </w:rPr>
  </w:style>
  <w:style w:type="character" w:customStyle="1" w:styleId="33">
    <w:name w:val="标题 4 字符"/>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6"/>
    <w:semiHidden/>
    <w:qFormat/>
    <w:uiPriority w:val="9"/>
    <w:rPr>
      <w:rFonts w:asciiTheme="majorHAnsi" w:hAnsiTheme="majorHAnsi" w:eastAsiaTheme="majorEastAsia" w:cstheme="majorBidi"/>
      <w:b/>
      <w:bCs/>
    </w:rPr>
  </w:style>
  <w:style w:type="character" w:customStyle="1" w:styleId="35">
    <w:name w:val="标题 6 字符"/>
    <w:basedOn w:val="26"/>
    <w:link w:val="7"/>
    <w:semiHidden/>
    <w:qFormat/>
    <w:uiPriority w:val="9"/>
    <w:rPr>
      <w:rFonts w:asciiTheme="majorHAnsi" w:hAnsiTheme="majorHAnsi" w:eastAsiaTheme="majorEastAsia" w:cstheme="majorBidi"/>
      <w:b/>
      <w:bCs/>
      <w:i/>
      <w:iCs/>
    </w:rPr>
  </w:style>
  <w:style w:type="character" w:customStyle="1" w:styleId="36">
    <w:name w:val="标题 7 字符"/>
    <w:basedOn w:val="26"/>
    <w:link w:val="8"/>
    <w:semiHidden/>
    <w:qFormat/>
    <w:uiPriority w:val="9"/>
    <w:rPr>
      <w:i/>
      <w:iCs/>
    </w:rPr>
  </w:style>
  <w:style w:type="character" w:customStyle="1" w:styleId="37">
    <w:name w:val="标题 8 字符"/>
    <w:basedOn w:val="26"/>
    <w:link w:val="9"/>
    <w:semiHidden/>
    <w:qFormat/>
    <w:uiPriority w:val="9"/>
    <w:rPr>
      <w:b/>
      <w:bCs/>
    </w:rPr>
  </w:style>
  <w:style w:type="character" w:customStyle="1" w:styleId="38">
    <w:name w:val="标题 9 字符"/>
    <w:basedOn w:val="26"/>
    <w:link w:val="10"/>
    <w:semiHidden/>
    <w:qFormat/>
    <w:uiPriority w:val="9"/>
    <w:rPr>
      <w:i/>
      <w:iCs/>
    </w:rPr>
  </w:style>
  <w:style w:type="character" w:customStyle="1" w:styleId="39">
    <w:name w:val="标题 字符"/>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字符"/>
    <w:basedOn w:val="26"/>
    <w:link w:val="41"/>
    <w:qFormat/>
    <w:uiPriority w:val="1"/>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8"/>
    <w:qFormat/>
    <w:uiPriority w:val="99"/>
    <w:rPr>
      <w:sz w:val="18"/>
      <w:szCs w:val="18"/>
    </w:rPr>
  </w:style>
  <w:style w:type="character" w:customStyle="1" w:styleId="55">
    <w:name w:val="页脚 字符"/>
    <w:basedOn w:val="26"/>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字符"/>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5"/>
    <w:semiHidden/>
    <w:qFormat/>
    <w:uiPriority w:val="99"/>
    <w:rPr>
      <w:rFonts w:hAnsi="Courier New" w:cs="Courier New" w:asciiTheme="minorEastAsia"/>
    </w:rPr>
  </w:style>
  <w:style w:type="character" w:customStyle="1" w:styleId="60">
    <w:name w:val="正文文本 字符"/>
    <w:basedOn w:val="26"/>
    <w:link w:val="13"/>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font11"/>
    <w:basedOn w:val="26"/>
    <w:qFormat/>
    <w:uiPriority w:val="0"/>
    <w:rPr>
      <w:rFonts w:hint="eastAsia" w:ascii="微软雅黑" w:hAnsi="微软雅黑" w:eastAsia="微软雅黑" w:cs="微软雅黑"/>
      <w:color w:val="000000"/>
      <w:sz w:val="16"/>
      <w:szCs w:val="16"/>
      <w:u w:val="none"/>
    </w:rPr>
  </w:style>
  <w:style w:type="character" w:customStyle="1" w:styleId="63">
    <w:name w:val="font01"/>
    <w:basedOn w:val="26"/>
    <w:qFormat/>
    <w:uiPriority w:val="0"/>
    <w:rPr>
      <w:rFonts w:hint="eastAsia" w:ascii="微软雅黑" w:hAnsi="微软雅黑" w:eastAsia="微软雅黑" w:cs="微软雅黑"/>
      <w:color w:val="FF0000"/>
      <w:sz w:val="16"/>
      <w:szCs w:val="16"/>
      <w:u w:val="none"/>
    </w:rPr>
  </w:style>
  <w:style w:type="character" w:customStyle="1" w:styleId="64">
    <w:name w:val="批注框文本 字符"/>
    <w:basedOn w:val="26"/>
    <w:link w:val="16"/>
    <w:semiHidden/>
    <w:qFormat/>
    <w:uiPriority w:val="99"/>
    <w:rPr>
      <w:sz w:val="18"/>
      <w:szCs w:val="18"/>
    </w:rPr>
  </w:style>
  <w:style w:type="paragraph" w:customStyle="1" w:styleId="65">
    <w:name w:val="中等深浅网格 1 - 强调文字颜色 21"/>
    <w:basedOn w:val="1"/>
    <w:qFormat/>
    <w:uiPriority w:val="0"/>
    <w:pPr>
      <w:widowControl w:val="0"/>
      <w:spacing w:after="0" w:line="240" w:lineRule="auto"/>
      <w:ind w:firstLine="420" w:firstLineChars="200"/>
    </w:pPr>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E43CC1-955F-4E6D-850B-911766DEBBC5}">
  <ds:schemaRefs/>
</ds:datastoreItem>
</file>

<file path=docProps/app.xml><?xml version="1.0" encoding="utf-8"?>
<Properties xmlns="http://schemas.openxmlformats.org/officeDocument/2006/extended-properties" xmlns:vt="http://schemas.openxmlformats.org/officeDocument/2006/docPropsVTypes">
  <Template>Normal</Template>
  <Pages>10</Pages>
  <Words>508</Words>
  <Characters>2902</Characters>
  <Lines>24</Lines>
  <Paragraphs>6</Paragraphs>
  <TotalTime>142</TotalTime>
  <ScaleCrop>false</ScaleCrop>
  <LinksUpToDate>false</LinksUpToDate>
  <CharactersWithSpaces>3404</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2021-09-10T09:53:00Z</dcterms:created>
  <dc:creator>树亮 门</dc:creator>
  <cp:lastModifiedBy>Administrator</cp:lastModifiedBy>
  <dcterms:modified xsi:type="dcterms:W3CDTF">2021-11-29T09:09:41Z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B1FC708ACD4D4602B2B5A2A2637C38A2</vt:lpwstr>
  </property>
</Properties>
</file>