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72"/>
          <w:szCs w:val="72"/>
        </w:rPr>
      </w:pPr>
      <w:bookmarkStart w:id="0" w:name="_Hlk38472698"/>
      <w:bookmarkStart w:id="236" w:name="_GoBack"/>
      <w:bookmarkEnd w:id="236"/>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关于2021年-2022年维修物料（水暖）采购项目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rPr>
          <w:rFonts w:ascii="仿宋" w:hAnsi="仿宋" w:eastAsia="仿宋"/>
          <w:b/>
          <w:sz w:val="36"/>
          <w:szCs w:val="36"/>
        </w:rPr>
      </w:pPr>
      <w:r>
        <w:rPr>
          <w:rFonts w:hint="eastAsia" w:ascii="仿宋" w:hAnsi="仿宋" w:eastAsia="仿宋"/>
          <w:b/>
          <w:sz w:val="36"/>
          <w:szCs w:val="36"/>
        </w:rPr>
        <w:t>项目编号：YKG20210016</w:t>
      </w:r>
    </w:p>
    <w:p>
      <w:pPr>
        <w:spacing w:line="500" w:lineRule="exact"/>
        <w:rPr>
          <w:rFonts w:ascii="仿宋" w:hAnsi="仿宋" w:eastAsia="仿宋"/>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227" w:gutter="0"/>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25669277"/>
      <w:bookmarkStart w:id="5" w:name="_Toc212526081"/>
      <w:bookmarkStart w:id="6" w:name="_Toc212456146"/>
      <w:bookmarkStart w:id="7" w:name="_Toc216241307"/>
      <w:bookmarkStart w:id="8" w:name="_Toc212530253"/>
      <w:bookmarkStart w:id="9" w:name="_Toc217891359"/>
      <w:bookmarkStart w:id="10" w:name="_Toc219800200"/>
      <w:bookmarkStart w:id="11" w:name="_Toc223146565"/>
      <w:bookmarkStart w:id="12" w:name="_Toc267060407"/>
      <w:bookmarkStart w:id="13" w:name="_Toc267060022"/>
      <w:bookmarkStart w:id="14" w:name="_Toc267059786"/>
      <w:bookmarkStart w:id="15" w:name="_Toc267059519"/>
      <w:bookmarkStart w:id="16" w:name="_Toc267059010"/>
      <w:bookmarkStart w:id="17" w:name="_Toc266870386"/>
      <w:bookmarkStart w:id="18" w:name="_Toc266868624"/>
      <w:bookmarkStart w:id="19" w:name="_Toc259692600"/>
      <w:bookmarkStart w:id="20" w:name="_Toc258401210"/>
      <w:bookmarkStart w:id="21" w:name="_Toc254790852"/>
      <w:bookmarkStart w:id="22" w:name="_Toc251613780"/>
      <w:bookmarkStart w:id="23" w:name="_Toc249325665"/>
      <w:bookmarkStart w:id="24" w:name="_Toc235438297"/>
      <w:bookmarkStart w:id="25" w:name="_Toc212454753"/>
      <w:bookmarkStart w:id="26" w:name="_Toc207014580"/>
      <w:bookmarkStart w:id="27" w:name="_Toc170798743"/>
      <w:bookmarkStart w:id="28" w:name="_Toc169332794"/>
      <w:bookmarkStart w:id="29" w:name="_Toc235437942"/>
      <w:bookmarkStart w:id="30" w:name="_Toc273178686"/>
      <w:bookmarkStart w:id="31" w:name="_Toc267060162"/>
      <w:bookmarkStart w:id="32" w:name="_Toc267059899"/>
      <w:bookmarkStart w:id="33" w:name="_Toc267059633"/>
      <w:bookmarkStart w:id="34" w:name="_Toc267059161"/>
      <w:bookmarkStart w:id="35" w:name="_Toc266870861"/>
      <w:bookmarkStart w:id="36" w:name="_Toc266868924"/>
      <w:bookmarkStart w:id="37" w:name="_Toc259692693"/>
      <w:bookmarkStart w:id="38" w:name="_Toc259520819"/>
      <w:bookmarkStart w:id="39" w:name="_Toc255974963"/>
      <w:bookmarkStart w:id="40" w:name="_Toc253066567"/>
      <w:bookmarkStart w:id="41" w:name="_Toc251586187"/>
      <w:bookmarkStart w:id="42" w:name="_Toc236021402"/>
      <w:bookmarkStart w:id="43" w:name="_Toc235438227"/>
      <w:bookmarkStart w:id="44" w:name="_Toc211937196"/>
      <w:bookmarkStart w:id="45" w:name="_Toc177985424"/>
      <w:bookmarkStart w:id="46" w:name="_Toc169332904"/>
      <w:bookmarkStart w:id="47" w:name="_Toc160880487"/>
      <w:bookmarkStart w:id="48" w:name="_Toc227058483"/>
      <w:r>
        <w:rPr>
          <w:rFonts w:hint="eastAsia" w:ascii="仿宋" w:hAnsi="仿宋" w:eastAsia="仿宋"/>
          <w:b/>
          <w:sz w:val="36"/>
          <w:szCs w:val="36"/>
        </w:rPr>
        <w:t>烟台科技学院关于2021-2022年维修物料（水暖件）采购项目</w:t>
      </w:r>
    </w:p>
    <w:p>
      <w:pPr>
        <w:pStyle w:val="11"/>
        <w:spacing w:line="360" w:lineRule="auto"/>
        <w:jc w:val="center"/>
        <w:outlineLvl w:val="0"/>
        <w:rPr>
          <w:rFonts w:ascii="仿宋" w:hAnsi="仿宋" w:eastAsia="仿宋"/>
          <w:b/>
          <w:color w:val="auto"/>
          <w:sz w:val="44"/>
          <w:szCs w:val="44"/>
        </w:rPr>
      </w:pPr>
    </w:p>
    <w:p>
      <w:pPr>
        <w:pStyle w:val="11"/>
        <w:spacing w:line="360" w:lineRule="auto"/>
        <w:jc w:val="center"/>
        <w:outlineLvl w:val="0"/>
        <w:rPr>
          <w:rFonts w:ascii="仿宋" w:hAnsi="仿宋" w:eastAsia="仿宋"/>
          <w:b/>
          <w:color w:val="auto"/>
          <w:sz w:val="44"/>
          <w:szCs w:val="44"/>
        </w:rPr>
      </w:pPr>
    </w:p>
    <w:p>
      <w:pPr>
        <w:pStyle w:val="11"/>
        <w:spacing w:line="360" w:lineRule="auto"/>
        <w:jc w:val="center"/>
        <w:outlineLvl w:val="0"/>
        <w:rPr>
          <w:rFonts w:ascii="仿宋" w:hAnsi="仿宋" w:eastAsia="仿宋"/>
          <w:b/>
          <w:color w:val="auto"/>
          <w:sz w:val="44"/>
          <w:szCs w:val="44"/>
        </w:rPr>
      </w:pPr>
    </w:p>
    <w:p>
      <w:pPr>
        <w:pStyle w:val="1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烟台科技学院成立于2005年（原济南大学泉城学院），是国家教育部和山东省人民政府批准成立的全日制普通本科高校。现有全日制在校生15000余人，基础设施完备，教学科研条件优越。根据需要，对烟台科技学院2021年-2022年维修物料（水暖件）采购项目公开询价，欢迎国内合格参与人参与。</w:t>
      </w:r>
    </w:p>
    <w:p>
      <w:pPr>
        <w:spacing w:after="0" w:line="500" w:lineRule="exact"/>
        <w:ind w:firstLine="425" w:firstLineChars="152"/>
        <w:jc w:val="left"/>
        <w:rPr>
          <w:rFonts w:ascii="仿宋" w:hAnsi="仿宋" w:eastAsia="仿宋"/>
          <w:sz w:val="28"/>
          <w:szCs w:val="28"/>
        </w:rPr>
      </w:pPr>
      <w:bookmarkStart w:id="49" w:name="_Hlk10840310"/>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项目编号：YKG20210016</w:t>
      </w:r>
    </w:p>
    <w:p>
      <w:pPr>
        <w:spacing w:line="500" w:lineRule="exact"/>
        <w:ind w:firstLine="879" w:firstLineChars="314"/>
        <w:rPr>
          <w:rFonts w:ascii="仿宋" w:hAnsi="仿宋" w:eastAsia="仿宋"/>
          <w:sz w:val="28"/>
          <w:szCs w:val="28"/>
        </w:rPr>
      </w:pPr>
      <w:r>
        <w:rPr>
          <w:rFonts w:hint="eastAsia" w:ascii="仿宋" w:hAnsi="仿宋" w:eastAsia="仿宋"/>
          <w:sz w:val="28"/>
          <w:szCs w:val="28"/>
        </w:rPr>
        <w:t>项目名称：烟台科技学院2021年-2022年维修物料（水暖类）采购项目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（1）参与人应遵守中国的有关法律、法规和规章的规定。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（2）参与人具有2年以上（包括2年）3个以上同类项目销售和良好的售后服务应用成功案例,近三年未发生重大安全或质量事故。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（4）参与人有依法缴纳税金和社会保障资金的良好记录。</w:t>
      </w:r>
    </w:p>
    <w:p>
      <w:pPr>
        <w:spacing w:after="0" w:line="500" w:lineRule="exact"/>
        <w:ind w:firstLine="700" w:firstLineChars="250"/>
        <w:jc w:val="left"/>
        <w:rPr>
          <w:rFonts w:ascii="仿宋" w:hAnsi="仿宋" w:eastAsia="仿宋"/>
          <w:sz w:val="28"/>
          <w:szCs w:val="28"/>
        </w:rPr>
      </w:pPr>
      <w:r>
        <w:rPr>
          <w:rFonts w:hint="eastAsia" w:ascii="仿宋" w:hAnsi="仿宋" w:eastAsia="仿宋"/>
          <w:sz w:val="28"/>
          <w:szCs w:val="28"/>
        </w:rPr>
        <w:t>（5）参与人须有专职设计人员、具有提供小样能力。</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tabs>
          <w:tab w:val="left" w:pos="567"/>
          <w:tab w:val="clear" w:pos="839"/>
        </w:tabs>
        <w:spacing w:after="0" w:line="500" w:lineRule="exact"/>
        <w:ind w:left="1" w:firstLine="422" w:firstLineChars="151"/>
        <w:rPr>
          <w:rFonts w:ascii="仿宋" w:hAnsi="仿宋" w:eastAsia="仿宋"/>
          <w:sz w:val="28"/>
          <w:szCs w:val="28"/>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：2021年12</w:t>
      </w:r>
      <w:r>
        <w:rPr>
          <w:rFonts w:ascii="仿宋" w:hAnsi="仿宋" w:eastAsia="仿宋"/>
          <w:sz w:val="28"/>
          <w:szCs w:val="28"/>
          <w:shd w:val="clear" w:color="auto" w:fill="FFFFFF"/>
        </w:rPr>
        <w:t>月</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上午09:30前</w:t>
      </w:r>
    </w:p>
    <w:p>
      <w:pPr>
        <w:widowControl w:val="0"/>
        <w:numPr>
          <w:ilvl w:val="1"/>
          <w:numId w:val="1"/>
        </w:numPr>
        <w:tabs>
          <w:tab w:val="left" w:pos="567"/>
          <w:tab w:val="clear" w:pos="839"/>
        </w:tabs>
        <w:spacing w:after="0" w:line="500" w:lineRule="exact"/>
        <w:ind w:left="1" w:firstLine="422" w:firstLineChars="151"/>
        <w:rPr>
          <w:rFonts w:ascii="仿宋" w:hAnsi="仿宋" w:eastAsia="仿宋"/>
          <w:sz w:val="28"/>
          <w:szCs w:val="28"/>
        </w:rPr>
      </w:pPr>
      <w:r>
        <w:rPr>
          <w:rFonts w:hint="eastAsia" w:ascii="仿宋" w:hAnsi="仿宋" w:eastAsia="仿宋"/>
          <w:sz w:val="28"/>
          <w:szCs w:val="28"/>
        </w:rPr>
        <w:t>报价响应文件递交地点：烟台市蓬莱区仙境西路34号，烟台科技学院图文楼616室</w:t>
      </w:r>
    </w:p>
    <w:p>
      <w:pPr>
        <w:spacing w:after="0" w:line="500" w:lineRule="exact"/>
        <w:ind w:left="839"/>
        <w:rPr>
          <w:rFonts w:ascii="仿宋" w:hAnsi="仿宋" w:eastAsia="仿宋"/>
          <w:sz w:val="28"/>
          <w:szCs w:val="28"/>
        </w:rPr>
      </w:pPr>
      <w:r>
        <w:rPr>
          <w:rFonts w:hint="eastAsia" w:ascii="仿宋" w:hAnsi="仿宋" w:eastAsia="仿宋"/>
          <w:sz w:val="28"/>
          <w:szCs w:val="28"/>
        </w:rPr>
        <w:t>联系人：邵阳；联系电话：18754518111</w:t>
      </w:r>
    </w:p>
    <w:p>
      <w:pPr>
        <w:spacing w:after="0" w:line="500" w:lineRule="exact"/>
        <w:ind w:left="839"/>
        <w:rPr>
          <w:rFonts w:ascii="仿宋" w:hAnsi="仿宋" w:eastAsia="仿宋"/>
          <w:b/>
          <w:sz w:val="28"/>
          <w:szCs w:val="28"/>
        </w:rPr>
      </w:pPr>
      <w:r>
        <w:rPr>
          <w:rFonts w:hint="eastAsia" w:ascii="仿宋" w:hAnsi="仿宋" w:eastAsia="仿宋"/>
          <w:b/>
          <w:sz w:val="28"/>
          <w:szCs w:val="28"/>
        </w:rPr>
        <w:t>相关物料咨询联系人：陈曙；联系电话：15098669658</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7.本项目监督投诉部门:中教集团内控部</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投诉电话:0791-88102608</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投诉邮箱:Neikongbu@educationgroup.cn</w:t>
      </w:r>
    </w:p>
    <w:p>
      <w:pPr>
        <w:widowControl w:val="0"/>
        <w:spacing w:after="0" w:line="500" w:lineRule="exact"/>
        <w:ind w:left="426" w:firstLine="14" w:firstLineChars="5"/>
        <w:jc w:val="left"/>
        <w:rPr>
          <w:rFonts w:ascii="仿宋" w:hAnsi="仿宋" w:eastAsia="仿宋"/>
          <w:b/>
          <w:bCs/>
          <w:color w:val="FF0000"/>
          <w:sz w:val="28"/>
          <w:szCs w:val="28"/>
        </w:rPr>
      </w:pPr>
      <w:r>
        <w:rPr>
          <w:rFonts w:hint="eastAsia" w:ascii="仿宋" w:hAnsi="仿宋" w:eastAsia="仿宋"/>
          <w:b/>
          <w:bCs/>
          <w:sz w:val="28"/>
          <w:szCs w:val="28"/>
        </w:rPr>
        <w:t>本项目最终成交结果会在中教集团后勤贤知平台“中标信息公示”板块公示，网址：www.ceghqxz.com</w:t>
      </w:r>
    </w:p>
    <w:p>
      <w:pPr>
        <w:spacing w:after="0" w:line="500" w:lineRule="exact"/>
        <w:ind w:left="839"/>
        <w:rPr>
          <w:rFonts w:ascii="仿宋" w:hAnsi="仿宋" w:eastAsia="仿宋"/>
          <w:sz w:val="28"/>
          <w:szCs w:val="28"/>
        </w:rPr>
      </w:pP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240" w:lineRule="auto"/>
        <w:jc w:val="left"/>
        <w:rPr>
          <w:rFonts w:ascii="仿宋" w:hAnsi="仿宋" w:eastAsia="仿宋" w:cs="Times New Roman"/>
          <w:b/>
          <w:sz w:val="44"/>
          <w:szCs w:val="44"/>
        </w:rPr>
      </w:pPr>
      <w:r>
        <w:rPr>
          <w:rFonts w:ascii="仿宋" w:hAnsi="仿宋" w:eastAsia="仿宋"/>
          <w:b/>
          <w:sz w:val="44"/>
          <w:szCs w:val="44"/>
        </w:rPr>
        <w:br w:type="page"/>
      </w:r>
    </w:p>
    <w:p>
      <w:pPr>
        <w:pStyle w:val="11"/>
        <w:spacing w:line="360" w:lineRule="auto"/>
        <w:ind w:firstLine="2327" w:firstLineChars="644"/>
        <w:outlineLvl w:val="0"/>
        <w:rPr>
          <w:rFonts w:ascii="仿宋" w:hAnsi="仿宋" w:eastAsia="仿宋"/>
          <w:b/>
          <w:color w:val="auto"/>
          <w:sz w:val="36"/>
          <w:szCs w:val="36"/>
        </w:rPr>
      </w:pPr>
      <w:r>
        <w:rPr>
          <w:rFonts w:hint="eastAsia" w:ascii="仿宋" w:hAnsi="仿宋" w:eastAsia="仿宋"/>
          <w:b/>
          <w:color w:val="auto"/>
          <w:sz w:val="36"/>
          <w:szCs w:val="36"/>
        </w:rPr>
        <w:t xml:space="preserve">  二、</w:t>
      </w:r>
      <w:bookmarkEnd w:id="49"/>
      <w:r>
        <w:rPr>
          <w:rFonts w:hint="eastAsia" w:ascii="仿宋" w:hAnsi="仿宋" w:eastAsia="仿宋"/>
          <w:b/>
          <w:color w:val="auto"/>
          <w:sz w:val="36"/>
          <w:szCs w:val="36"/>
        </w:rPr>
        <w:t>公开询价货物一览表</w:t>
      </w:r>
    </w:p>
    <w:tbl>
      <w:tblPr>
        <w:tblStyle w:val="5"/>
        <w:tblW w:w="9938" w:type="dxa"/>
        <w:tblInd w:w="93" w:type="dxa"/>
        <w:tblLayout w:type="autofit"/>
        <w:tblCellMar>
          <w:top w:w="0" w:type="dxa"/>
          <w:left w:w="108" w:type="dxa"/>
          <w:bottom w:w="0" w:type="dxa"/>
          <w:right w:w="108" w:type="dxa"/>
        </w:tblCellMar>
      </w:tblPr>
      <w:tblGrid>
        <w:gridCol w:w="866"/>
        <w:gridCol w:w="1984"/>
        <w:gridCol w:w="851"/>
        <w:gridCol w:w="1716"/>
        <w:gridCol w:w="1261"/>
        <w:gridCol w:w="1134"/>
        <w:gridCol w:w="2126"/>
      </w:tblGrid>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71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单价</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rPr>
            </w:pPr>
            <w:r>
              <w:rPr>
                <w:rFonts w:hint="eastAsia" w:ascii="宋体" w:hAnsi="宋体" w:eastAsia="宋体" w:cs="宋体"/>
                <w:color w:val="000000"/>
              </w:rPr>
              <w:t>备注（未指定品牌请备注）</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面盆水嘴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X76002-016/1C-1</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74055-339/1C-1</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洗衣机水嘴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X72003-374/1C-1</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快开水嘴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X7116-234/1C-1</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不锈钢网编织管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1.0-1.8MPA长度30CM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不锈钢网编织管）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1.0-1.8MPA长度50CM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不锈钢网编织管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1.0-1.8MPA长度70CM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面盆冷热水龙头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双孔全铜</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厨房洗碗池冷热水龙头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不锈钢带冷热水软管</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面盆下水管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长度90cm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面盆下水套装</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长度90cm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水嘴开关</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水嘴阀芯</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冷热水阀芯</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塑料水龙头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热水器混水阀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4分热水器一体</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热水器混水阀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4分墙面明装</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热水器混水阀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4分暗装</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热水器减压阀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热水器漏电插头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16A</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热水器温控</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美的</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热水器温控</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海尔</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热水器过热保护</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美的</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热水器过热保护</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海尔</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304不锈钢波纹管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4分20cm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305不锈钢波纹管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4分30cm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306不锈钢波纹管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4分40cm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307不锈钢波纹管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4分50cm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308不锈钢波纹管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4分60cm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309不锈钢波纹管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4分80cm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310不锈钢波纹管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4分100cm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304不锈钢外丝直接对丝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304不锈钢外丝直接对丝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马桶上水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坐便</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马桶下水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坐便</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马桶按键</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坐便</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马桶圈</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坐便</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蹲便高位水箱</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塑料材质</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蹲便高位水箱上下水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小便冲洗阀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手压</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小便冲洗阀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感应</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大便冲洗阀（手压）</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大便冲洗阀（脚踏）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30*30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5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PVC弯头46度（国标）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PVC弯头47度（国标）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PVC落水斗</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水表前止回阀(铜)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水表前止回阀(铜)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水表前止回阀(铜)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水表活接头(铜)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水表活接头(铜)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水表活接头(铜)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平口排气阀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平口排气阀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平口排气阀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暖气片跑风阀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10mm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一字磁性锁闭球阀(铜)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一字磁性锁闭球阀(铜)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一字磁性锁闭球阀(铜)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一字磁性锁闭球阀(铜)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分水器球阀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分水器球阀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六路分水器</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6路</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平头电镀铜暖气片堵头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平头电镀铜暖气片堵头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平头电镀铜暖气片堵头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暖气片补芯</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暖气片补芯</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暖气PPR补芯活接（正丝）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暖气PPR补芯活接（正丝）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暖气PPR补芯活接（反丝）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暖气PPR补芯活接（反丝）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暖气片排气堵（正丝）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暖气片排气堵（正丝）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暖气片堵头（正丝）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暖气片堵头（反丝）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暖气外丝活接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暖气外丝活接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暖气片对丝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暖气片钢丝垫圈</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艺术片排气阀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艺术片排气阀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艺术片排气阀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全铜铝塑管卡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20转25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全铜铝塑管卡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20转1寸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小背篓</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400*800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小背篓固定件</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对流辐射暖气片（烤漆喷塑）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对流辐射暖气片（烤漆喷塑）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对流辐射暖气片（烤漆喷塑）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暖气片挂钩</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xml:space="preserve">8cm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材质塑料洗衣机水嘴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材质304不锈钢洗衣机水嘴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材质304不锈钢面盆水嘴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单冷材质304不锈钢洗菜盆水嘴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冷热材质304不锈钢洗菜盆水嘴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法兰式截止阀材质314不锈钢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自动排气阀材质铸铜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手动排气阀材质铸铜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安全阀门材质铸钢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安全阀门材质铸钢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安全阀门材质铸钢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φ400*400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洗菜盆冷热阀水咀材质铸铜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洗菜盆冷热阀水咀材质304不锈钢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暖气硅胶垫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暖气带钢丝胶垫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淋浴软管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 1.5米</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淋浴软管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 2米</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蹲便进水口胶圈</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马桶法兰密封垫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拖布池</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台下盆</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台上盆</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小便池</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蹲便器</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合计</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xml:space="preserve">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bl>
    <w:p>
      <w:pPr>
        <w:spacing w:after="0" w:line="240" w:lineRule="auto"/>
        <w:ind w:left="560" w:hanging="560" w:hangingChars="200"/>
        <w:jc w:val="left"/>
        <w:rPr>
          <w:rFonts w:ascii="仿宋" w:hAnsi="仿宋" w:eastAsia="仿宋"/>
          <w:sz w:val="28"/>
          <w:szCs w:val="28"/>
        </w:rPr>
      </w:pPr>
    </w:p>
    <w:p>
      <w:pPr>
        <w:spacing w:after="0" w:line="240" w:lineRule="auto"/>
        <w:ind w:left="560" w:hanging="560" w:hangingChars="200"/>
        <w:jc w:val="left"/>
        <w:rPr>
          <w:rFonts w:ascii="仿宋" w:hAnsi="仿宋" w:eastAsia="仿宋"/>
          <w:sz w:val="28"/>
          <w:szCs w:val="28"/>
        </w:rPr>
      </w:pPr>
      <w:r>
        <w:rPr>
          <w:rFonts w:hint="eastAsia" w:ascii="仿宋" w:hAnsi="仿宋" w:eastAsia="仿宋"/>
          <w:sz w:val="28"/>
          <w:szCs w:val="28"/>
        </w:rPr>
        <w:t>注：1.此价格合同签署期为12个月，合同期内价格不得调整，严格按照此报价为准。</w:t>
      </w:r>
      <w:r>
        <w:rPr>
          <w:rFonts w:ascii="仿宋" w:hAnsi="仿宋" w:eastAsia="仿宋"/>
          <w:sz w:val="28"/>
          <w:szCs w:val="28"/>
        </w:rPr>
        <w:t xml:space="preserve"> </w:t>
      </w:r>
    </w:p>
    <w:p>
      <w:pPr>
        <w:spacing w:after="0" w:line="240" w:lineRule="auto"/>
        <w:ind w:left="561" w:leftChars="255"/>
        <w:jc w:val="left"/>
        <w:rPr>
          <w:rFonts w:ascii="仿宋" w:hAnsi="仿宋" w:eastAsia="仿宋"/>
          <w:sz w:val="28"/>
          <w:szCs w:val="28"/>
        </w:rPr>
      </w:pPr>
      <w:r>
        <w:rPr>
          <w:rFonts w:hint="eastAsia" w:ascii="仿宋" w:hAnsi="仿宋" w:eastAsia="仿宋"/>
          <w:sz w:val="28"/>
          <w:szCs w:val="28"/>
        </w:rPr>
        <w:t>2.接甲方通知后3个日历日将货物送至甲方指点位置。</w:t>
      </w:r>
      <w:r>
        <w:rPr>
          <w:rFonts w:ascii="仿宋" w:hAnsi="仿宋" w:eastAsia="仿宋"/>
          <w:sz w:val="28"/>
          <w:szCs w:val="28"/>
        </w:rPr>
        <w:br w:type="page"/>
      </w:r>
    </w:p>
    <w:p>
      <w:pPr>
        <w:spacing w:after="0" w:line="240" w:lineRule="auto"/>
        <w:ind w:left="560" w:hanging="560" w:hangingChars="200"/>
        <w:jc w:val="left"/>
        <w:rPr>
          <w:rFonts w:ascii="仿宋" w:hAnsi="仿宋" w:eastAsia="仿宋"/>
          <w:sz w:val="28"/>
          <w:szCs w:val="28"/>
        </w:rPr>
      </w:pPr>
    </w:p>
    <w:p>
      <w:pPr>
        <w:spacing w:after="0" w:line="240" w:lineRule="auto"/>
        <w:ind w:left="1443" w:leftChars="656" w:firstLine="1417" w:firstLineChars="196"/>
        <w:jc w:val="left"/>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关2021-2022年维修物料（水暖件）采购项目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2" w:type="first"/>
          <w:headerReference r:id="rId11" w:type="default"/>
          <w:type w:val="continuous"/>
          <w:pgSz w:w="11906" w:h="16838"/>
          <w:pgMar w:top="1440" w:right="1416" w:bottom="1440" w:left="1134" w:header="851" w:footer="227" w:gutter="0"/>
          <w:cols w:space="425" w:num="1"/>
          <w:titlePg/>
          <w:docGrid w:type="lines" w:linePitch="312" w:charSpace="0"/>
        </w:sectPr>
      </w:pPr>
    </w:p>
    <w:p>
      <w:pPr>
        <w:rPr>
          <w:rFonts w:ascii="仿宋" w:hAnsi="仿宋" w:eastAsia="仿宋"/>
          <w:b/>
          <w:bCs/>
          <w:sz w:val="28"/>
          <w:szCs w:val="28"/>
        </w:rPr>
      </w:pPr>
      <w:bookmarkStart w:id="50" w:name="_Toc160880160"/>
      <w:bookmarkStart w:id="51" w:name="_Toc160880529"/>
      <w:bookmarkStart w:id="52" w:name="_Toc169332838"/>
      <w:bookmarkStart w:id="53" w:name="_Toc169332949"/>
      <w:bookmarkStart w:id="54" w:name="_Toc170798793"/>
      <w:bookmarkStart w:id="55" w:name="_Toc177985469"/>
      <w:bookmarkStart w:id="56" w:name="_Toc180302913"/>
      <w:bookmarkStart w:id="57" w:name="_Toc181436461"/>
      <w:bookmarkStart w:id="58" w:name="_Toc181436565"/>
      <w:bookmarkStart w:id="59" w:name="_Toc182372782"/>
      <w:bookmarkStart w:id="60" w:name="_Toc182805217"/>
      <w:bookmarkStart w:id="61" w:name="_Toc191783222"/>
      <w:bookmarkStart w:id="62" w:name="_Toc191789329"/>
      <w:bookmarkStart w:id="63" w:name="_Toc191802690"/>
      <w:bookmarkStart w:id="64" w:name="_Toc191803626"/>
      <w:bookmarkStart w:id="65" w:name="_Toc192663686"/>
      <w:bookmarkStart w:id="66" w:name="_Toc192663835"/>
      <w:bookmarkStart w:id="67" w:name="_Toc192664153"/>
      <w:bookmarkStart w:id="68" w:name="_Toc192996338"/>
      <w:bookmarkStart w:id="69" w:name="_Toc192996446"/>
      <w:bookmarkStart w:id="70" w:name="_Toc193160448"/>
      <w:bookmarkStart w:id="71" w:name="_Toc193165734"/>
      <w:bookmarkStart w:id="72" w:name="_Toc203355733"/>
      <w:bookmarkStart w:id="73" w:name="_Toc211917116"/>
      <w:bookmarkStart w:id="74" w:name="_Toc213208766"/>
      <w:bookmarkStart w:id="75" w:name="_Toc213755858"/>
      <w:bookmarkStart w:id="76" w:name="_Toc213755939"/>
      <w:bookmarkStart w:id="77" w:name="_Toc213755995"/>
      <w:bookmarkStart w:id="78" w:name="_Toc213756051"/>
      <w:bookmarkStart w:id="79" w:name="_Toc217891402"/>
      <w:bookmarkStart w:id="80" w:name="_Toc219800243"/>
      <w:bookmarkStart w:id="81" w:name="_Toc223146608"/>
      <w:bookmarkStart w:id="82" w:name="_Toc225669322"/>
      <w:bookmarkStart w:id="83" w:name="_Toc227058530"/>
      <w:bookmarkStart w:id="84" w:name="_Toc230071147"/>
      <w:bookmarkStart w:id="85" w:name="_Toc232302115"/>
      <w:bookmarkStart w:id="86" w:name="_Toc235437991"/>
      <w:bookmarkStart w:id="87" w:name="_Toc235438274"/>
      <w:bookmarkStart w:id="88" w:name="_Toc235438344"/>
      <w:bookmarkStart w:id="89" w:name="_Toc236021449"/>
      <w:bookmarkStart w:id="90" w:name="_Toc249325711"/>
      <w:bookmarkStart w:id="91" w:name="_Toc251586231"/>
      <w:bookmarkStart w:id="92" w:name="_Toc251613829"/>
      <w:bookmarkStart w:id="93" w:name="_Toc253066614"/>
      <w:bookmarkStart w:id="94" w:name="_Toc254790899"/>
      <w:bookmarkStart w:id="95" w:name="_Toc255975007"/>
      <w:bookmarkStart w:id="96" w:name="_Toc258401256"/>
      <w:bookmarkStart w:id="97" w:name="_Toc259520865"/>
      <w:bookmarkStart w:id="98" w:name="_Toc259692647"/>
      <w:bookmarkStart w:id="99" w:name="_Toc259692740"/>
      <w:bookmarkStart w:id="100" w:name="_Toc266868670"/>
      <w:bookmarkStart w:id="101" w:name="_Toc266868937"/>
      <w:bookmarkStart w:id="102" w:name="_Toc266870432"/>
      <w:bookmarkStart w:id="103" w:name="_Toc266870833"/>
      <w:bookmarkStart w:id="104" w:name="_Toc266870907"/>
      <w:bookmarkStart w:id="105" w:name="_Toc267059030"/>
      <w:bookmarkStart w:id="106" w:name="_Toc267059181"/>
      <w:bookmarkStart w:id="107" w:name="_Toc267059539"/>
      <w:bookmarkStart w:id="108" w:name="_Toc267059653"/>
      <w:bookmarkStart w:id="109" w:name="_Toc267059806"/>
      <w:bookmarkStart w:id="110" w:name="_Toc267059919"/>
      <w:bookmarkStart w:id="111" w:name="_Toc267060068"/>
      <w:bookmarkStart w:id="112" w:name="_Toc267060208"/>
      <w:bookmarkStart w:id="113" w:name="_Toc267060321"/>
      <w:bookmarkStart w:id="114" w:name="_Toc267060453"/>
      <w:bookmarkStart w:id="115" w:name="_Toc273178698"/>
      <w:r>
        <w:rPr>
          <w:rFonts w:hint="eastAsia" w:ascii="仿宋" w:hAnsi="仿宋" w:eastAsia="仿宋"/>
          <w:b/>
          <w:bCs/>
          <w:sz w:val="28"/>
          <w:szCs w:val="28"/>
        </w:rPr>
        <w:br w:type="page"/>
      </w:r>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w:t>
      </w:r>
      <w:r>
        <w:rPr>
          <w:rFonts w:hint="eastAsia" w:ascii="仿宋" w:hAnsi="仿宋" w:eastAsia="仿宋"/>
          <w:sz w:val="28"/>
          <w:szCs w:val="28"/>
          <w:u w:val="single"/>
        </w:rPr>
        <w:t xml:space="preserve">          </w:t>
      </w:r>
      <w:r>
        <w:rPr>
          <w:rFonts w:hint="eastAsia" w:ascii="仿宋" w:hAnsi="仿宋" w:eastAsia="仿宋"/>
          <w:sz w:val="28"/>
          <w:szCs w:val="28"/>
        </w:rPr>
        <w:t>: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w:t>
      </w:r>
      <w:r>
        <w:rPr>
          <w:rFonts w:hint="eastAsia" w:ascii="仿宋" w:hAnsi="仿宋" w:eastAsia="仿宋"/>
          <w:sz w:val="28"/>
          <w:szCs w:val="28"/>
        </w:rPr>
        <w:t>，即 （中文表述）。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12"/>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货币单位：人民币</w:t>
      </w:r>
    </w:p>
    <w:tbl>
      <w:tblPr>
        <w:tblStyle w:val="5"/>
        <w:tblW w:w="9938" w:type="dxa"/>
        <w:tblInd w:w="93" w:type="dxa"/>
        <w:tblLayout w:type="autofit"/>
        <w:tblCellMar>
          <w:top w:w="0" w:type="dxa"/>
          <w:left w:w="108" w:type="dxa"/>
          <w:bottom w:w="0" w:type="dxa"/>
          <w:right w:w="108" w:type="dxa"/>
        </w:tblCellMar>
      </w:tblPr>
      <w:tblGrid>
        <w:gridCol w:w="866"/>
        <w:gridCol w:w="1984"/>
        <w:gridCol w:w="851"/>
        <w:gridCol w:w="1716"/>
        <w:gridCol w:w="1261"/>
        <w:gridCol w:w="1134"/>
        <w:gridCol w:w="2126"/>
      </w:tblGrid>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71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单价</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rPr>
            </w:pPr>
            <w:r>
              <w:rPr>
                <w:rFonts w:hint="eastAsia" w:ascii="宋体" w:hAnsi="宋体" w:eastAsia="宋体" w:cs="宋体"/>
                <w:color w:val="000000"/>
              </w:rPr>
              <w:t>备注（未指定品牌请备注）</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面盆水嘴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X76002-016/1C-1</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74055-339/1C-1</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洗衣机水嘴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X72003-374/1C-1</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快开水嘴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X7116-234/1C-1</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不锈钢网编织管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1.0-1.8MPA长度30CM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不锈钢网编织管）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1.0-1.8MPA长度50CM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不锈钢网编织管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1.0-1.8MPA长度70CM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面盆冷热水龙头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双孔全铜</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厨房洗碗池冷热水龙头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不锈钢带冷热水软管</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九牧</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面盆下水管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长度90cm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面盆下水套装</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长度90cm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金蛇王</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水嘴开关</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水嘴阀芯</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冷热水阀芯</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塑料水龙头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热水器混水阀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4分热水器一体</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热水器混水阀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4分墙面明装</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热水器混水阀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4分暗装</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热水器减压阀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热水器漏电插头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16A</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热水器温控</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美的</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热水器温控</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海尔</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热水器过热保护</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美的</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热水器过热保护</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海尔</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304不锈钢波纹管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4分20cm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305不锈钢波纹管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4分30cm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306不锈钢波纹管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4分40cm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307不锈钢波纹管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4分50cm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308不锈钢波纹管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4分60cm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309不锈钢波纹管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4分80cm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310不锈钢波纹管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4分100cm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304不锈钢外丝直接对丝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304不锈钢外丝直接对丝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马桶上水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坐便</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马桶下水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坐便</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马桶按键</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坐便</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马桶圈</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坐便</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蹲便高位水箱</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塑料材质</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蹲便高位水箱上下水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小便冲洗阀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手压</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小便冲洗阀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感应</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大便冲洗阀（手压）</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大便冲洗阀（脚踏）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30*30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方管（国标）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镀锌圆管（国标）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PVC管箍（国标）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5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PVC弯头45度（国标）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PVC弯头46度（国标）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PVC弯头47度（国标）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PVC弯头90度（国标）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PVC三通（国标）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PVC活接（国标）</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PVC清扫口</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PVC落水斗</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PVC管卡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公元</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PPR冷水管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PPR热水管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根</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PPR双活接铜球阀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PPR双活接全塑球阀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PPR弯头45度</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PPR变径直接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PPR内丝活接头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PPR管帽</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PPR外丝堵头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PPR过桥弯头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PPR外牙三通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PPR内牙三通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日丰</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水表前止回阀(铜)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水表前止回阀(铜)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水表前止回阀(铜)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水表活接头(铜)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水表活接头(铜)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水表活接头(铜)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闸阀(铜)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水表带止回阀(卧式)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水表带止回阀(立式)</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全铜双内丝球阀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平口排气阀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平口排气阀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平口排气阀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暖气片跑风阀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10mm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一字磁性锁闭球阀(铜)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一字磁性锁闭球阀(铜)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一字磁性锁闭球阀(铜)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一字磁性锁闭球阀(铜)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暖气过滤器(铜)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分水器球阀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分水器球阀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六路分水器</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套</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6路</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平头电镀铜暖气片堵头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平头电镀铜暖气片堵头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平头电镀铜暖气片堵头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暖气片补芯</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暖气片补芯</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暖气PPR补芯活接（正丝）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暖气PPR补芯活接（正丝）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暖气PPR补芯活接（反丝）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暖气PPR补芯活接（反丝）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暖气片排气堵（正丝）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暖气片排气堵（正丝）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暖气片堵头（正丝）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暖气片堵头（反丝）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暖气外丝活接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暖气外丝活接</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暖气片对丝</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暖气片钢丝垫圈</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暖气过桥弯（铁）</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艺术片排气阀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艺术片排气阀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6分</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艺术片排气阀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全铜铝塑管卡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20转25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全铜铝塑管卡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20转1寸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小背篓</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400*800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小背篓固定件</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对流辐射暖气片（烤漆喷塑）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对流辐射暖气片（烤漆喷塑）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50cm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对流辐射暖气片（烤漆喷塑）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30cm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暖气片挂钩</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xml:space="preserve">8cm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材质塑料洗衣机水嘴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材质304不锈钢洗衣机水嘴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材质304不锈钢面盆水嘴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单冷材质304不锈钢洗菜盆水嘴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冷热材质304不锈钢洗菜盆水嘴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法兰式截止阀材质314不锈钢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法兰式截止阀材质304不锈钢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699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法兰式蝶阀材质PPR</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内螺丝球阀材质PVC</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内螺丝球阀材质304不锈钢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法兰式球阀材质304不锈钢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799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双活接球阀纯塑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双活接PPR球阀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内丝口止回阀材质304不锈钢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法兰式排污阀门材质304不锈钢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自动排气阀材质铸铜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手动排气阀材质铸铜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考克阀材质304不锈钢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安全阀门材质铸钢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安全阀门材质铸钢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安全阀门材质铸钢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材质铸钢管头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材质铸钢三通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899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材质铸铜管箍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材质304不锈钢管箍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999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变径弯头材质304不锈钢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变径管箍材质304不锈钢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变径三通材质304不锈钢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1099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补芯材质304不锈钢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φ400*400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1199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冲压变径管箍</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φ400*300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1299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φ125*50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变径冲压弯头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变径冲压三通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冲压变径三通</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1399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角阀材质铸钢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角阀材质304不锈钢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洗菜盆冷热阀水咀材质铸铜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洗菜盆冷热阀水咀材质304不锈钢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PPR双活接阀门材质304不锈钢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PPR双活接阀门全塑</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1479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丝堵材质塑料</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1489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堵帽材质铸铜</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1499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堵帽材质不锈钢</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1509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水表胶皮胶垫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1519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φ63</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水表硅胶胶垫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暖气硅胶垫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暖气带钢丝胶垫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淋浴软管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 1.5米</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1529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淋浴软管</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φ15 2米</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国标盲板</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1539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1549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DN125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国标法兰垫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蹲便进水口胶圈</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马桶法兰密封垫</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1559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水表横式带止回阀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DN20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DN32</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DN40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1568</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DN50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1569</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DN65</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1570</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DN80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水表立式带止回阀</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DN100</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国标</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拖布池</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40CM</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台下盆</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台上盆</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22寸</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马桶</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1576</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小便池</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1577</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蹲便器</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个</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要求送样品</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合计</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xml:space="preserve">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71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2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c>
          <w:tcPr>
            <w:tcW w:w="21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　</w:t>
            </w:r>
          </w:p>
        </w:tc>
      </w:tr>
    </w:tbl>
    <w:p>
      <w:pPr>
        <w:spacing w:after="0" w:line="240" w:lineRule="auto"/>
        <w:jc w:val="left"/>
        <w:rPr>
          <w:rFonts w:ascii="仿宋" w:hAnsi="仿宋" w:eastAsia="仿宋"/>
          <w:sz w:val="28"/>
          <w:szCs w:val="28"/>
        </w:rPr>
      </w:pPr>
      <w:r>
        <w:rPr>
          <w:rFonts w:hint="eastAsia" w:ascii="仿宋" w:hAnsi="仿宋" w:eastAsia="仿宋"/>
          <w:sz w:val="28"/>
          <w:szCs w:val="28"/>
        </w:rPr>
        <w:t>注：1.此价格合同签署期为12个月，合同期内价格不得调整，严格按照此报价为准。</w:t>
      </w:r>
      <w:r>
        <w:rPr>
          <w:rFonts w:ascii="仿宋" w:hAnsi="仿宋" w:eastAsia="仿宋"/>
          <w:sz w:val="28"/>
          <w:szCs w:val="28"/>
        </w:rPr>
        <w:t xml:space="preserve"> </w:t>
      </w:r>
    </w:p>
    <w:p>
      <w:pPr>
        <w:pStyle w:val="27"/>
        <w:numPr>
          <w:ilvl w:val="0"/>
          <w:numId w:val="1"/>
        </w:numPr>
        <w:spacing w:after="0" w:line="240" w:lineRule="auto"/>
        <w:ind w:firstLineChars="0"/>
        <w:jc w:val="left"/>
        <w:rPr>
          <w:rFonts w:ascii="仿宋" w:hAnsi="仿宋" w:eastAsia="仿宋"/>
          <w:sz w:val="28"/>
          <w:szCs w:val="28"/>
        </w:rPr>
      </w:pPr>
      <w:r>
        <w:rPr>
          <w:rFonts w:hint="eastAsia" w:ascii="仿宋" w:hAnsi="仿宋" w:eastAsia="仿宋"/>
          <w:sz w:val="28"/>
          <w:szCs w:val="28"/>
        </w:rPr>
        <w:t>接甲方通知后3个日历日将货物送至甲方指点位置。</w:t>
      </w:r>
    </w:p>
    <w:p>
      <w:pPr>
        <w:pStyle w:val="27"/>
        <w:spacing w:after="0" w:line="240" w:lineRule="auto"/>
        <w:ind w:left="1469" w:firstLine="0" w:firstLineChars="0"/>
        <w:jc w:val="left"/>
        <w:rPr>
          <w:rFonts w:ascii="仿宋" w:hAnsi="仿宋" w:eastAsia="仿宋"/>
          <w:sz w:val="28"/>
          <w:szCs w:val="28"/>
        </w:rPr>
      </w:pPr>
      <w:r>
        <w:rPr>
          <w:rFonts w:hint="eastAsia" w:ascii="仿宋" w:hAnsi="仿宋" w:eastAsia="仿宋"/>
          <w:sz w:val="28"/>
          <w:szCs w:val="28"/>
          <w:lang w:val="zh-CN"/>
        </w:rPr>
        <w:t xml:space="preserve">          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5880" w:firstLineChars="2100"/>
        <w:outlineLvl w:val="2"/>
        <w:rPr>
          <w:rFonts w:ascii="仿宋" w:hAnsi="仿宋" w:eastAsia="仿宋"/>
          <w:sz w:val="28"/>
          <w:szCs w:val="28"/>
          <w:lang w:val="zh-CN"/>
        </w:rPr>
      </w:pPr>
      <w:r>
        <w:rPr>
          <w:rFonts w:hint="eastAsia" w:ascii="仿宋" w:hAnsi="仿宋" w:eastAsia="仿宋"/>
          <w:sz w:val="28"/>
          <w:szCs w:val="28"/>
          <w:lang w:val="zh-CN"/>
        </w:rPr>
        <w:t>日 期：</w:t>
      </w:r>
      <w:bookmarkStart w:id="116" w:name="_Toc160880534"/>
      <w:bookmarkStart w:id="117" w:name="_Toc169332843"/>
      <w:bookmarkStart w:id="118" w:name="_Toc169332954"/>
      <w:bookmarkStart w:id="119" w:name="_Toc170798798"/>
      <w:bookmarkStart w:id="120" w:name="_Toc177985474"/>
      <w:bookmarkStart w:id="121" w:name="_Toc251613839"/>
      <w:bookmarkStart w:id="122" w:name="_Toc180302918"/>
      <w:bookmarkStart w:id="123" w:name="_Toc181436466"/>
      <w:bookmarkStart w:id="124" w:name="_Toc181436570"/>
      <w:bookmarkStart w:id="125" w:name="_Toc182372787"/>
      <w:bookmarkStart w:id="126" w:name="_Toc182805222"/>
      <w:bookmarkStart w:id="127" w:name="_Toc191783227"/>
      <w:bookmarkStart w:id="128" w:name="_Toc191789334"/>
      <w:bookmarkStart w:id="129" w:name="_Toc191802695"/>
      <w:bookmarkStart w:id="130" w:name="_Toc191803631"/>
      <w:bookmarkStart w:id="131" w:name="_Toc192663691"/>
      <w:bookmarkStart w:id="132" w:name="_Toc192663840"/>
      <w:bookmarkStart w:id="133" w:name="_Toc192664158"/>
      <w:bookmarkStart w:id="134" w:name="_Toc192996343"/>
      <w:bookmarkStart w:id="135" w:name="_Toc253066624"/>
      <w:bookmarkStart w:id="136" w:name="_Toc192996451"/>
      <w:bookmarkStart w:id="137" w:name="_Toc193160453"/>
      <w:bookmarkStart w:id="138" w:name="_Toc193165739"/>
      <w:bookmarkStart w:id="139" w:name="_Toc203355738"/>
      <w:bookmarkStart w:id="140" w:name="_Toc211917121"/>
      <w:bookmarkStart w:id="141" w:name="_Toc213755864"/>
      <w:bookmarkStart w:id="142" w:name="_Toc213755945"/>
      <w:bookmarkStart w:id="143" w:name="_Toc213756001"/>
      <w:bookmarkStart w:id="144" w:name="_Toc213756057"/>
      <w:bookmarkStart w:id="145" w:name="_Toc217891408"/>
      <w:bookmarkStart w:id="146" w:name="_Toc219800249"/>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r>
        <w:rPr>
          <w:rFonts w:ascii="仿宋" w:hAnsi="仿宋" w:eastAsia="仿宋"/>
          <w:b/>
          <w:bCs/>
          <w:sz w:val="28"/>
          <w:szCs w:val="28"/>
        </w:rPr>
        <w:br w:type="page"/>
      </w: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12"/>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4790910"/>
      <w:bookmarkStart w:id="183" w:name="_Toc255975017"/>
      <w:bookmarkStart w:id="184" w:name="_Toc258401266"/>
      <w:bookmarkStart w:id="185" w:name="_Toc259520875"/>
      <w:bookmarkStart w:id="186" w:name="_Toc259692657"/>
      <w:bookmarkStart w:id="187" w:name="_Toc259692750"/>
      <w:bookmarkStart w:id="188" w:name="_Toc266868680"/>
      <w:bookmarkStart w:id="189" w:name="_Toc266870442"/>
      <w:bookmarkStart w:id="190" w:name="_Toc266870917"/>
      <w:bookmarkStart w:id="191" w:name="_Toc267060077"/>
      <w:bookmarkStart w:id="192" w:name="_Toc267060217"/>
      <w:bookmarkStart w:id="193" w:name="_Toc267060462"/>
      <w:bookmarkStart w:id="194" w:name="_Toc213756058"/>
      <w:bookmarkStart w:id="195" w:name="_Toc217891409"/>
      <w:bookmarkStart w:id="196" w:name="_Toc219800250"/>
      <w:bookmarkStart w:id="197" w:name="_Toc223146615"/>
      <w:bookmarkStart w:id="198" w:name="_Toc225669329"/>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烟台科技学院：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关于贵方年月日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 话或传 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1" w:name="_Toc213756059"/>
      <w:bookmarkStart w:id="212" w:name="_Toc217891410"/>
      <w:bookmarkStart w:id="213" w:name="_Toc219800251"/>
      <w:bookmarkStart w:id="214" w:name="_Toc223146616"/>
      <w:bookmarkStart w:id="215" w:name="_Toc225669330"/>
      <w:bookmarkStart w:id="216" w:name="_Toc232302124"/>
      <w:bookmarkStart w:id="217" w:name="_Toc235438000"/>
      <w:bookmarkStart w:id="218" w:name="_Toc235438283"/>
      <w:bookmarkStart w:id="219" w:name="_Toc235438354"/>
      <w:bookmarkStart w:id="220" w:name="_Toc236021459"/>
      <w:bookmarkStart w:id="221" w:name="_Toc249325722"/>
      <w:bookmarkStart w:id="222" w:name="_Toc251586243"/>
      <w:bookmarkStart w:id="223" w:name="_Toc251613841"/>
      <w:bookmarkStart w:id="224" w:name="_Toc253066626"/>
      <w:bookmarkStart w:id="225" w:name="_Toc254790911"/>
      <w:bookmarkStart w:id="226" w:name="_Toc255975018"/>
      <w:bookmarkStart w:id="227" w:name="_Toc258401267"/>
      <w:bookmarkStart w:id="228" w:name="_Toc259520876"/>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280" w:firstLineChars="100"/>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ind w:firstLine="2100" w:firstLineChars="750"/>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outlineLvl w:val="2"/>
        <w:rPr>
          <w:rFonts w:ascii="仿宋" w:hAnsi="仿宋" w:eastAsia="仿宋"/>
          <w:b/>
          <w:sz w:val="28"/>
          <w:szCs w:val="28"/>
        </w:rPr>
      </w:pPr>
    </w:p>
    <w:p/>
    <w:sectPr>
      <w:headerReference r:id="rId14" w:type="first"/>
      <w:headerReference r:id="rId13" w:type="default"/>
      <w:footerReference r:id="rId15"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84</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89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89</w:t>
    </w:r>
    <w:r>
      <w:rPr>
        <w:b/>
        <w:bCs/>
        <w:sz w:val="24"/>
        <w:szCs w:val="24"/>
      </w:rPr>
      <w:fldChar w:fldCharType="end"/>
    </w:r>
  </w:p>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济南大学泉城学院关于标准化考场建设项目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rPr>
    </w:pPr>
    <w:r>
      <w:rPr>
        <w:rFonts w:hint="eastAsia" w:ascii="仿宋" w:hAnsi="仿宋" w:eastAsia="仿宋"/>
      </w:rPr>
      <w:t>烟台科技学院2021-2022年维修物料(水暖件)采购项目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济南大学泉城学院A3A4教学楼标准化考场建设项目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rPr>
    </w:pPr>
    <w:r>
      <w:rPr>
        <w:rFonts w:hint="eastAsia" w:ascii="仿宋" w:hAnsi="仿宋" w:eastAsia="仿宋"/>
      </w:rPr>
      <w:t>烟台科技学院2021-2022年宣传印刷材料采购项目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64"/>
    <w:rsid w:val="00291864"/>
    <w:rsid w:val="003437A2"/>
    <w:rsid w:val="0034716C"/>
    <w:rsid w:val="005A2EAC"/>
    <w:rsid w:val="0068458C"/>
    <w:rsid w:val="00695DA2"/>
    <w:rsid w:val="00D32BF1"/>
    <w:rsid w:val="00D37CF8"/>
    <w:rsid w:val="7765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uiPriority w:val="99"/>
    <w:rPr>
      <w:rFonts w:ascii="宋体" w:hAnsi="Courier New" w:eastAsia="宋体" w:cs="Courier New"/>
      <w:sz w:val="21"/>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u w:val="single"/>
    </w:rPr>
  </w:style>
  <w:style w:type="character" w:styleId="8">
    <w:name w:val="Hyperlink"/>
    <w:basedOn w:val="6"/>
    <w:semiHidden/>
    <w:unhideWhenUsed/>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Defaul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2">
    <w:name w:val="样式3"/>
    <w:basedOn w:val="2"/>
    <w:qFormat/>
    <w:uiPriority w:val="0"/>
    <w:pPr>
      <w:widowControl w:val="0"/>
      <w:spacing w:after="0" w:line="0" w:lineRule="atLeast"/>
      <w:outlineLvl w:val="0"/>
    </w:pPr>
    <w:rPr>
      <w:rFonts w:cs="Times New Roman"/>
      <w:kern w:val="2"/>
      <w:sz w:val="28"/>
      <w:szCs w:val="20"/>
    </w:rPr>
  </w:style>
  <w:style w:type="character" w:customStyle="1" w:styleId="13">
    <w:name w:val="纯文本 Char"/>
    <w:basedOn w:val="6"/>
    <w:link w:val="2"/>
    <w:semiHidden/>
    <w:uiPriority w:val="99"/>
    <w:rPr>
      <w:rFonts w:ascii="宋体" w:hAnsi="Courier New" w:eastAsia="宋体" w:cs="Courier New"/>
      <w:kern w:val="0"/>
      <w:szCs w:val="21"/>
    </w:rPr>
  </w:style>
  <w:style w:type="paragraph" w:customStyle="1" w:styleId="14">
    <w:name w:val="font5"/>
    <w:basedOn w:val="1"/>
    <w:uiPriority w:val="0"/>
    <w:pPr>
      <w:spacing w:before="100" w:beforeAutospacing="1" w:after="100" w:afterAutospacing="1" w:line="240" w:lineRule="auto"/>
      <w:jc w:val="left"/>
    </w:pPr>
    <w:rPr>
      <w:rFonts w:ascii="仿宋" w:hAnsi="仿宋" w:eastAsia="仿宋" w:cs="宋体"/>
      <w:color w:val="000000"/>
      <w:sz w:val="20"/>
      <w:szCs w:val="20"/>
    </w:rPr>
  </w:style>
  <w:style w:type="paragraph" w:customStyle="1" w:styleId="15">
    <w:name w:val="font6"/>
    <w:basedOn w:val="1"/>
    <w:uiPriority w:val="0"/>
    <w:pPr>
      <w:spacing w:before="100" w:beforeAutospacing="1" w:after="100" w:afterAutospacing="1" w:line="240" w:lineRule="auto"/>
      <w:jc w:val="left"/>
    </w:pPr>
    <w:rPr>
      <w:rFonts w:ascii="宋体" w:hAnsi="宋体" w:eastAsia="宋体" w:cs="宋体"/>
      <w:sz w:val="18"/>
      <w:szCs w:val="18"/>
    </w:rPr>
  </w:style>
  <w:style w:type="paragraph" w:customStyle="1" w:styleId="16">
    <w:name w:val="font7"/>
    <w:basedOn w:val="1"/>
    <w:uiPriority w:val="0"/>
    <w:pPr>
      <w:spacing w:before="100" w:beforeAutospacing="1" w:after="100" w:afterAutospacing="1" w:line="240" w:lineRule="auto"/>
      <w:jc w:val="left"/>
    </w:pPr>
    <w:rPr>
      <w:rFonts w:ascii="仿宋" w:hAnsi="仿宋" w:eastAsia="仿宋" w:cs="宋体"/>
      <w:color w:val="000000"/>
      <w:sz w:val="20"/>
      <w:szCs w:val="20"/>
    </w:rPr>
  </w:style>
  <w:style w:type="paragraph" w:customStyle="1" w:styleId="17">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eastAsia="宋体" w:cs="宋体"/>
      <w:b/>
      <w:bCs/>
      <w:color w:val="000000"/>
      <w:sz w:val="24"/>
      <w:szCs w:val="24"/>
    </w:rPr>
  </w:style>
  <w:style w:type="paragraph" w:customStyle="1" w:styleId="18">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000000"/>
      <w:sz w:val="24"/>
      <w:szCs w:val="24"/>
    </w:rPr>
  </w:style>
  <w:style w:type="paragraph" w:customStyle="1" w:styleId="19">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000000"/>
      <w:sz w:val="24"/>
      <w:szCs w:val="24"/>
    </w:rPr>
  </w:style>
  <w:style w:type="paragraph" w:customStyle="1" w:styleId="2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仿宋" w:hAnsi="仿宋" w:eastAsia="仿宋" w:cs="宋体"/>
      <w:color w:val="000000"/>
      <w:sz w:val="20"/>
      <w:szCs w:val="20"/>
    </w:rPr>
  </w:style>
  <w:style w:type="paragraph" w:customStyle="1" w:styleId="2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000000"/>
      <w:sz w:val="20"/>
      <w:szCs w:val="20"/>
    </w:rPr>
  </w:style>
  <w:style w:type="paragraph" w:customStyle="1" w:styleId="2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FF0000"/>
      <w:sz w:val="20"/>
      <w:szCs w:val="20"/>
    </w:rPr>
  </w:style>
  <w:style w:type="paragraph" w:customStyle="1" w:styleId="23">
    <w:name w:val="xl71"/>
    <w:basedOn w:val="1"/>
    <w:qFormat/>
    <w:uiPriority w:val="0"/>
    <w:pPr>
      <w:pBdr>
        <w:top w:val="single" w:color="auto" w:sz="4" w:space="0"/>
        <w:left w:val="single" w:color="auto" w:sz="4" w:space="20"/>
        <w:bottom w:val="single" w:color="auto" w:sz="4" w:space="0"/>
        <w:right w:val="single" w:color="auto" w:sz="4" w:space="0"/>
      </w:pBdr>
      <w:spacing w:before="100" w:beforeAutospacing="1" w:after="100" w:afterAutospacing="1" w:line="240" w:lineRule="auto"/>
      <w:ind w:firstLine="100" w:firstLineChars="100"/>
      <w:jc w:val="left"/>
    </w:pPr>
    <w:rPr>
      <w:rFonts w:ascii="仿宋" w:hAnsi="仿宋" w:eastAsia="仿宋" w:cs="宋体"/>
      <w:color w:val="000000"/>
      <w:sz w:val="20"/>
      <w:szCs w:val="20"/>
    </w:rPr>
  </w:style>
  <w:style w:type="paragraph" w:customStyle="1" w:styleId="2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仿宋" w:hAnsi="仿宋" w:eastAsia="仿宋" w:cs="宋体"/>
      <w:color w:val="000000"/>
      <w:sz w:val="20"/>
      <w:szCs w:val="20"/>
    </w:rPr>
  </w:style>
  <w:style w:type="paragraph" w:customStyle="1" w:styleId="2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000000"/>
      <w:sz w:val="18"/>
      <w:szCs w:val="18"/>
    </w:rPr>
  </w:style>
  <w:style w:type="paragraph" w:customStyle="1" w:styleId="2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000000"/>
      <w:sz w:val="16"/>
      <w:szCs w:val="16"/>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13813</Words>
  <Characters>78740</Characters>
  <Lines>656</Lines>
  <Paragraphs>184</Paragraphs>
  <TotalTime>36</TotalTime>
  <ScaleCrop>false</ScaleCrop>
  <LinksUpToDate>false</LinksUpToDate>
  <CharactersWithSpaces>92369</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2021-12-08T00:47:00Z</dcterms:created>
  <dc:creator>admin</dc:creator>
  <cp:lastModifiedBy>il雅琼</cp:lastModifiedBy>
  <dcterms:modified xsi:type="dcterms:W3CDTF">2021-12-13T03:34:13Z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619B7F95A9114B3EAD8DAB05661B1CCA</vt:lpwstr>
  </property>
</Properties>
</file>