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60288"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w:t>
      </w:r>
      <w:bookmarkEnd w:id="0"/>
      <w:r>
        <w:rPr>
          <w:rFonts w:hint="eastAsia" w:ascii="仿宋" w:hAnsi="仿宋" w:eastAsia="仿宋"/>
          <w:b/>
          <w:sz w:val="32"/>
          <w:szCs w:val="32"/>
        </w:rPr>
        <w:t>智能扩声系统设备采购项目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项目编号：</w:t>
      </w:r>
      <w:bookmarkStart w:id="1" w:name="_Toc160880118"/>
      <w:bookmarkStart w:id="2" w:name="_Toc169332792"/>
      <w:bookmarkStart w:id="3" w:name="_Toc160880485"/>
      <w:r>
        <w:rPr>
          <w:rFonts w:hint="eastAsia" w:ascii="仿宋" w:hAnsi="仿宋" w:eastAsia="仿宋"/>
          <w:b/>
          <w:sz w:val="30"/>
          <w:szCs w:val="30"/>
        </w:rPr>
        <w:t>JK202</w:t>
      </w:r>
      <w:r>
        <w:rPr>
          <w:rFonts w:ascii="仿宋" w:hAnsi="仿宋" w:eastAsia="仿宋"/>
          <w:b/>
          <w:sz w:val="30"/>
          <w:szCs w:val="30"/>
        </w:rPr>
        <w:t>11130001</w:t>
      </w:r>
    </w:p>
    <w:p>
      <w:pPr>
        <w:spacing w:line="500" w:lineRule="exact"/>
        <w:ind w:firstLine="1943" w:firstLineChars="645"/>
        <w:rPr>
          <w:rFonts w:ascii="仿宋" w:hAnsi="仿宋" w:eastAsia="仿宋"/>
          <w:b/>
          <w:sz w:val="32"/>
          <w:szCs w:val="32"/>
        </w:rPr>
      </w:pPr>
      <w:r>
        <w:rPr>
          <w:rFonts w:hint="eastAsia" w:ascii="仿宋" w:hAnsi="仿宋" w:eastAsia="仿宋"/>
          <w:b/>
          <w:sz w:val="30"/>
          <w:szCs w:val="30"/>
        </w:rPr>
        <w:t>项目名称</w:t>
      </w:r>
      <w:bookmarkEnd w:id="1"/>
      <w:bookmarkEnd w:id="2"/>
      <w:bookmarkEnd w:id="3"/>
      <w:r>
        <w:rPr>
          <w:rFonts w:hint="eastAsia" w:ascii="仿宋" w:hAnsi="仿宋" w:eastAsia="仿宋"/>
          <w:b/>
          <w:sz w:val="30"/>
          <w:szCs w:val="30"/>
        </w:rPr>
        <w:t>：</w:t>
      </w:r>
      <w:bookmarkStart w:id="4" w:name="_Toc267059161"/>
      <w:bookmarkStart w:id="5" w:name="_Toc219800200"/>
      <w:bookmarkStart w:id="6" w:name="_Toc267059519"/>
      <w:bookmarkStart w:id="7" w:name="_Toc235438227"/>
      <w:bookmarkStart w:id="8" w:name="_Toc212530253"/>
      <w:bookmarkStart w:id="9" w:name="_Toc267059786"/>
      <w:bookmarkStart w:id="10" w:name="_Toc258401210"/>
      <w:bookmarkStart w:id="11" w:name="_Toc259692600"/>
      <w:bookmarkStart w:id="12" w:name="_Toc170798743"/>
      <w:bookmarkStart w:id="13" w:name="_Toc249325665"/>
      <w:bookmarkStart w:id="14" w:name="_Toc266870861"/>
      <w:bookmarkStart w:id="15" w:name="_Toc266870386"/>
      <w:bookmarkStart w:id="16" w:name="_Toc212456146"/>
      <w:bookmarkStart w:id="17" w:name="_Toc169332794"/>
      <w:bookmarkStart w:id="18" w:name="_Toc267059010"/>
      <w:bookmarkStart w:id="19" w:name="_Toc217891359"/>
      <w:bookmarkStart w:id="20" w:name="_Toc267059899"/>
      <w:bookmarkStart w:id="21" w:name="_Toc255974963"/>
      <w:bookmarkStart w:id="22" w:name="_Toc267059633"/>
      <w:bookmarkStart w:id="23" w:name="_Toc225669277"/>
      <w:bookmarkStart w:id="24" w:name="_Toc267060162"/>
      <w:bookmarkStart w:id="25" w:name="_Toc259520819"/>
      <w:bookmarkStart w:id="26" w:name="_Toc267060022"/>
      <w:bookmarkStart w:id="27" w:name="_Toc223146565"/>
      <w:bookmarkStart w:id="28" w:name="_Toc169332904"/>
      <w:bookmarkStart w:id="29" w:name="_Toc235437942"/>
      <w:bookmarkStart w:id="30" w:name="_Toc235438297"/>
      <w:bookmarkStart w:id="31" w:name="_Toc227058483"/>
      <w:bookmarkStart w:id="32" w:name="_Toc266868924"/>
      <w:bookmarkStart w:id="33" w:name="_Toc216241307"/>
      <w:bookmarkStart w:id="34" w:name="_Toc160880487"/>
      <w:bookmarkStart w:id="35" w:name="_Toc212526081"/>
      <w:bookmarkStart w:id="36" w:name="_Toc254790852"/>
      <w:bookmarkStart w:id="37" w:name="_Toc253066567"/>
      <w:bookmarkStart w:id="38" w:name="_Toc212454753"/>
      <w:bookmarkStart w:id="39" w:name="_Toc273178686"/>
      <w:bookmarkStart w:id="40" w:name="_Toc251613780"/>
      <w:bookmarkStart w:id="41" w:name="_Toc266868624"/>
      <w:bookmarkStart w:id="42" w:name="_Toc207014580"/>
      <w:bookmarkStart w:id="43" w:name="_Toc236021402"/>
      <w:bookmarkStart w:id="44" w:name="_Toc177985424"/>
      <w:bookmarkStart w:id="45" w:name="_Toc211937196"/>
      <w:bookmarkStart w:id="46" w:name="_Toc267060407"/>
      <w:bookmarkStart w:id="47" w:name="_Toc259692693"/>
      <w:bookmarkStart w:id="48" w:name="_Toc251586187"/>
      <w:r>
        <w:rPr>
          <w:rFonts w:hint="eastAsia" w:ascii="仿宋" w:hAnsi="仿宋" w:eastAsia="仿宋"/>
          <w:b/>
          <w:sz w:val="32"/>
          <w:szCs w:val="32"/>
        </w:rPr>
        <w:t>智能扩声系统设备采购项目</w:t>
      </w:r>
    </w:p>
    <w:p>
      <w:pPr>
        <w:spacing w:line="500" w:lineRule="exact"/>
        <w:ind w:firstLine="1943" w:firstLineChars="645"/>
        <w:rPr>
          <w:rFonts w:ascii="仿宋" w:hAnsi="仿宋" w:eastAsia="仿宋"/>
          <w:b/>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680"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bookmarkStart w:id="49" w:name="_Hlk10840310"/>
      <w:r>
        <w:rPr>
          <w:rFonts w:hint="eastAsia" w:ascii="仿宋" w:hAnsi="仿宋" w:eastAsia="仿宋"/>
          <w:sz w:val="28"/>
          <w:szCs w:val="28"/>
        </w:rPr>
        <w:t>按照公开、公平、公正的原则，经学校研究决定，将江西科技学院智能扩声系统设备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项目编号：JK202</w:t>
      </w:r>
      <w:r>
        <w:rPr>
          <w:rFonts w:ascii="仿宋" w:hAnsi="仿宋" w:eastAsia="仿宋"/>
          <w:sz w:val="28"/>
          <w:szCs w:val="28"/>
        </w:rPr>
        <w:t>11130001</w:t>
      </w:r>
    </w:p>
    <w:p>
      <w:pPr>
        <w:widowControl w:val="0"/>
        <w:spacing w:after="0" w:line="500" w:lineRule="exact"/>
        <w:ind w:left="839"/>
        <w:rPr>
          <w:rFonts w:ascii="仿宋" w:hAnsi="仿宋" w:eastAsia="仿宋"/>
          <w:sz w:val="28"/>
          <w:szCs w:val="28"/>
        </w:rPr>
      </w:pPr>
      <w:r>
        <w:rPr>
          <w:rFonts w:hint="eastAsia" w:ascii="仿宋" w:hAnsi="仿宋" w:eastAsia="仿宋"/>
          <w:sz w:val="28"/>
          <w:szCs w:val="28"/>
        </w:rPr>
        <w:t>项目名称：江西科技学院智能扩声系统设备采购项目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w:t>
      </w:r>
      <w:r>
        <w:rPr>
          <w:rFonts w:hint="eastAsia" w:ascii="仿宋" w:hAnsi="仿宋" w:eastAsia="仿宋"/>
          <w:color w:val="0C0C0C"/>
          <w:sz w:val="28"/>
          <w:szCs w:val="28"/>
        </w:rPr>
        <w:t>，</w:t>
      </w:r>
      <w:r>
        <w:rPr>
          <w:rFonts w:hint="eastAsia" w:ascii="仿宋" w:hAnsi="仿宋" w:eastAsia="仿宋"/>
          <w:sz w:val="28"/>
          <w:szCs w:val="28"/>
        </w:rPr>
        <w:t>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有提</w:t>
      </w:r>
      <w:r>
        <w:rPr>
          <w:rFonts w:hint="eastAsia" w:ascii="仿宋" w:hAnsi="仿宋" w:eastAsia="仿宋"/>
          <w:sz w:val="28"/>
          <w:szCs w:val="28"/>
        </w:rPr>
        <w:t>供音响设备和</w:t>
      </w:r>
      <w:r>
        <w:rPr>
          <w:rFonts w:ascii="仿宋" w:hAnsi="仿宋" w:eastAsia="仿宋"/>
          <w:color w:val="000000"/>
          <w:sz w:val="28"/>
          <w:szCs w:val="28"/>
        </w:rPr>
        <w:t>服务的资格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sz w:val="28"/>
          <w:szCs w:val="28"/>
        </w:rPr>
        <w:t>。在南昌市范围有固定服务机构。</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（4）参与人具有相关音响设备项目和良好的售后服务应用成功案例,近三年未发生重大安全或质量事故。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w:t>
      </w:r>
      <w:r>
        <w:rPr>
          <w:rFonts w:ascii="仿宋" w:hAnsi="仿宋" w:eastAsia="仿宋"/>
          <w:sz w:val="28"/>
          <w:szCs w:val="28"/>
          <w:shd w:val="clear" w:color="auto" w:fill="FFFFFF"/>
        </w:rPr>
        <w:t>12月</w:t>
      </w:r>
      <w:r>
        <w:rPr>
          <w:rFonts w:hint="eastAsia" w:ascii="仿宋" w:hAnsi="仿宋" w:eastAsia="仿宋"/>
          <w:sz w:val="28"/>
          <w:szCs w:val="28"/>
          <w:shd w:val="clear" w:color="auto" w:fill="FFFFFF"/>
          <w:lang w:val="en-US" w:eastAsia="zh-CN"/>
        </w:rPr>
        <w:t>22</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下午16:00前。</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报价响应文件递交地点：</w:t>
      </w:r>
    </w:p>
    <w:p>
      <w:pPr>
        <w:spacing w:after="0" w:line="500" w:lineRule="exact"/>
        <w:ind w:firstLine="840" w:firstLineChars="300"/>
        <w:rPr>
          <w:rFonts w:ascii="仿宋" w:hAnsi="仿宋" w:eastAsia="仿宋"/>
          <w:sz w:val="28"/>
          <w:szCs w:val="28"/>
        </w:rPr>
      </w:pPr>
      <w:r>
        <w:rPr>
          <w:rFonts w:hint="eastAsia" w:ascii="仿宋" w:hAnsi="仿宋" w:eastAsia="仿宋"/>
          <w:sz w:val="28"/>
          <w:szCs w:val="28"/>
        </w:rPr>
        <w:t>地点：后勤中心30</w:t>
      </w:r>
      <w:r>
        <w:rPr>
          <w:rFonts w:ascii="仿宋" w:hAnsi="仿宋" w:eastAsia="仿宋"/>
          <w:sz w:val="28"/>
          <w:szCs w:val="28"/>
        </w:rPr>
        <w:t>6</w:t>
      </w:r>
    </w:p>
    <w:p>
      <w:pPr>
        <w:spacing w:after="0" w:line="500" w:lineRule="exact"/>
        <w:ind w:left="839"/>
        <w:rPr>
          <w:rFonts w:ascii="仿宋" w:hAnsi="仿宋" w:eastAsia="仿宋"/>
          <w:sz w:val="28"/>
          <w:szCs w:val="28"/>
        </w:rPr>
      </w:pPr>
      <w:r>
        <w:rPr>
          <w:rFonts w:hint="eastAsia" w:ascii="仿宋" w:hAnsi="仿宋" w:eastAsia="仿宋"/>
          <w:sz w:val="28"/>
          <w:szCs w:val="28"/>
        </w:rPr>
        <w:t>联系人：吴震林  联系电话：88139699</w:t>
      </w:r>
    </w:p>
    <w:p>
      <w:pPr>
        <w:spacing w:after="0" w:line="500" w:lineRule="exact"/>
        <w:ind w:left="839"/>
        <w:rPr>
          <w:rFonts w:ascii="仿宋" w:hAnsi="仿宋" w:eastAsia="仿宋"/>
          <w:sz w:val="28"/>
          <w:szCs w:val="28"/>
        </w:rPr>
      </w:pPr>
      <w:r>
        <w:rPr>
          <w:rFonts w:hint="eastAsia" w:ascii="仿宋" w:hAnsi="仿宋" w:eastAsia="仿宋"/>
          <w:sz w:val="28"/>
          <w:szCs w:val="28"/>
        </w:rPr>
        <w:t>项目现场踏勘答疑人：陈辉</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15079005225</w:t>
      </w:r>
      <w:bookmarkStart w:id="325" w:name="_GoBack"/>
      <w:bookmarkEnd w:id="325"/>
    </w:p>
    <w:p>
      <w:pPr>
        <w:spacing w:after="0" w:line="500" w:lineRule="exact"/>
        <w:ind w:left="849" w:leftChars="385" w:hanging="2"/>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500" w:lineRule="exact"/>
        <w:ind w:left="851" w:leftChars="386" w:hanging="2"/>
        <w:rPr>
          <w:rFonts w:ascii="仿宋" w:hAnsi="仿宋" w:eastAsia="仿宋"/>
          <w:b/>
          <w:bCs/>
          <w:sz w:val="28"/>
          <w:szCs w:val="28"/>
        </w:rPr>
      </w:pPr>
      <w:r>
        <w:rPr>
          <w:rFonts w:hint="eastAsia" w:ascii="仿宋" w:hAnsi="仿宋" w:eastAsia="仿宋"/>
          <w:b/>
          <w:bCs/>
          <w:sz w:val="28"/>
          <w:szCs w:val="28"/>
        </w:rPr>
        <w:t>投诉邮箱：</w:t>
      </w:r>
      <w:r>
        <w:fldChar w:fldCharType="begin"/>
      </w:r>
      <w:r>
        <w:instrText xml:space="preserve"> HYPERLINK "mailto:Neikongbu@educationgroup.cn" </w:instrText>
      </w:r>
      <w:r>
        <w:fldChar w:fldCharType="separate"/>
      </w:r>
      <w:r>
        <w:rPr>
          <w:rStyle w:val="29"/>
          <w:rFonts w:hint="eastAsia" w:ascii="仿宋" w:hAnsi="仿宋" w:eastAsia="仿宋"/>
          <w:b/>
          <w:bCs/>
          <w:sz w:val="28"/>
          <w:szCs w:val="28"/>
        </w:rPr>
        <w:t>Neikongbu@educationgroup.cn</w:t>
      </w:r>
      <w:r>
        <w:rPr>
          <w:rStyle w:val="29"/>
          <w:rFonts w:hint="eastAsia" w:ascii="仿宋" w:hAnsi="仿宋" w:eastAsia="仿宋"/>
          <w:b/>
          <w:bCs/>
          <w:sz w:val="28"/>
          <w:szCs w:val="28"/>
        </w:rPr>
        <w:fldChar w:fldCharType="end"/>
      </w:r>
    </w:p>
    <w:p>
      <w:pPr>
        <w:spacing w:after="0" w:line="500" w:lineRule="exact"/>
        <w:ind w:firstLine="427" w:firstLineChars="152"/>
        <w:jc w:val="left"/>
        <w:rPr>
          <w:rStyle w:val="29"/>
          <w:rFonts w:ascii="仿宋" w:hAnsi="仿宋" w:eastAsia="仿宋" w:cs="仿宋"/>
          <w:color w:val="000000"/>
          <w:sz w:val="28"/>
          <w:szCs w:val="28"/>
        </w:rPr>
      </w:pPr>
      <w:bookmarkStart w:id="50" w:name="_Hlk60233196"/>
      <w:r>
        <w:rPr>
          <w:rStyle w:val="27"/>
          <w:rFonts w:ascii="仿宋" w:hAnsi="仿宋" w:eastAsia="仿宋" w:cs="仿宋"/>
          <w:color w:val="000000"/>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29"/>
          <w:rFonts w:hint="eastAsia" w:ascii="仿宋" w:hAnsi="仿宋" w:eastAsia="仿宋" w:cs="仿宋"/>
          <w:color w:val="000000"/>
          <w:sz w:val="28"/>
          <w:szCs w:val="28"/>
        </w:rPr>
        <w:t>www.ceghqxz.com</w:t>
      </w:r>
      <w:r>
        <w:rPr>
          <w:rStyle w:val="29"/>
          <w:rFonts w:hint="eastAsia" w:ascii="仿宋" w:hAnsi="仿宋" w:eastAsia="仿宋" w:cs="仿宋"/>
          <w:color w:val="000000"/>
          <w:sz w:val="28"/>
          <w:szCs w:val="28"/>
        </w:rPr>
        <w:fldChar w:fldCharType="end"/>
      </w:r>
      <w:bookmarkEnd w:id="50"/>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三、售后服务要求（根据项目情况可自行修改）</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3.培训计划及人员安排；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4.维修地点、地址、联系电话及联系人员；</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5.维修服务收费标准；</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6.主要零配件及易耗品价格；</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7.制造商的技术支持；</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rPr>
          <w:rFonts w:ascii="仿宋" w:hAnsi="仿宋" w:eastAsia="仿宋"/>
          <w:sz w:val="28"/>
          <w:szCs w:val="28"/>
        </w:rPr>
      </w:pPr>
      <w:r>
        <w:rPr>
          <w:rFonts w:ascii="仿宋" w:hAnsi="仿宋" w:eastAsia="仿宋"/>
          <w:sz w:val="28"/>
          <w:szCs w:val="28"/>
        </w:rPr>
        <w:br w:type="page"/>
      </w: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二、公开询价项目介绍</w:t>
      </w:r>
      <w:bookmarkEnd w:id="49"/>
    </w:p>
    <w:p>
      <w:pPr>
        <w:spacing w:line="360" w:lineRule="auto"/>
        <w:rPr>
          <w:rFonts w:ascii="宋体" w:hAnsi="宋体" w:eastAsia="宋体"/>
        </w:rPr>
      </w:pPr>
      <w:r>
        <w:rPr>
          <w:rFonts w:hint="eastAsia" w:ascii="宋体" w:hAnsi="宋体" w:eastAsia="宋体"/>
        </w:rPr>
        <w:t>总体要求：</w:t>
      </w:r>
    </w:p>
    <w:p>
      <w:pPr>
        <w:spacing w:line="360" w:lineRule="auto"/>
        <w:ind w:firstLine="420" w:firstLineChars="200"/>
        <w:rPr>
          <w:rFonts w:ascii="仿宋" w:hAnsi="仿宋" w:eastAsia="仿宋"/>
          <w:sz w:val="21"/>
          <w:szCs w:val="21"/>
        </w:rPr>
      </w:pPr>
      <w:r>
        <w:rPr>
          <w:rFonts w:hint="eastAsia" w:ascii="仿宋" w:hAnsi="仿宋" w:eastAsia="仿宋"/>
          <w:sz w:val="21"/>
          <w:szCs w:val="21"/>
        </w:rPr>
        <w:t>教师在教室任意走动授课，智能扩声系统都能为呈现完美优质的音频效果和足够的扩声音量,距离麦克风8米远都能还原出来并清晰清楚。需通过低延时和高保真语音处理，在教室的任何角度，都能听到放大的声音，无明显音量扩音的效果，扩声的声音清晰自然。不会引起音响系统任何啸叫。</w:t>
      </w:r>
    </w:p>
    <w:tbl>
      <w:tblPr>
        <w:tblStyle w:val="24"/>
        <w:tblW w:w="10363" w:type="dxa"/>
        <w:jc w:val="center"/>
        <w:tblLayout w:type="fixed"/>
        <w:tblCellMar>
          <w:top w:w="0" w:type="dxa"/>
          <w:left w:w="0" w:type="dxa"/>
          <w:bottom w:w="0" w:type="dxa"/>
          <w:right w:w="0" w:type="dxa"/>
        </w:tblCellMar>
      </w:tblPr>
      <w:tblGrid>
        <w:gridCol w:w="606"/>
        <w:gridCol w:w="1134"/>
        <w:gridCol w:w="5182"/>
        <w:gridCol w:w="709"/>
        <w:gridCol w:w="650"/>
        <w:gridCol w:w="567"/>
        <w:gridCol w:w="587"/>
        <w:gridCol w:w="928"/>
      </w:tblGrid>
      <w:tr>
        <w:tblPrEx>
          <w:tblCellMar>
            <w:top w:w="0" w:type="dxa"/>
            <w:left w:w="0" w:type="dxa"/>
            <w:bottom w:w="0" w:type="dxa"/>
            <w:right w:w="0" w:type="dxa"/>
          </w:tblCellMar>
        </w:tblPrEx>
        <w:trPr>
          <w:trHeight w:val="66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物品名称</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数量</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单位</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单价</w:t>
            </w: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textAlignment w:val="center"/>
              <w:rPr>
                <w:rFonts w:ascii="仿宋" w:hAnsi="仿宋" w:eastAsia="仿宋" w:cs="仿宋"/>
                <w:color w:val="000000"/>
              </w:rPr>
            </w:pPr>
            <w:r>
              <w:rPr>
                <w:rFonts w:hint="eastAsia" w:ascii="仿宋" w:hAnsi="仿宋" w:eastAsia="仿宋" w:cs="仿宋"/>
                <w:color w:val="000000"/>
              </w:rPr>
              <w:t>总价</w:t>
            </w:r>
          </w:p>
        </w:tc>
        <w:tc>
          <w:tcPr>
            <w:tcW w:w="928"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仿宋" w:hAnsi="仿宋" w:eastAsia="仿宋" w:cs="仿宋"/>
                <w:color w:val="000000"/>
              </w:rPr>
            </w:pPr>
            <w:r>
              <w:rPr>
                <w:rFonts w:hint="eastAsia" w:ascii="仿宋" w:hAnsi="仿宋" w:eastAsia="仿宋" w:cs="仿宋"/>
                <w:color w:val="000000"/>
              </w:rPr>
              <w:t>备注</w:t>
            </w:r>
          </w:p>
        </w:tc>
      </w:tr>
      <w:tr>
        <w:tblPrEx>
          <w:tblCellMar>
            <w:top w:w="0" w:type="dxa"/>
            <w:left w:w="0" w:type="dxa"/>
            <w:bottom w:w="0" w:type="dxa"/>
            <w:right w:w="0" w:type="dxa"/>
          </w:tblCellMar>
        </w:tblPrEx>
        <w:trPr>
          <w:trHeight w:val="4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sz w:val="24"/>
                <w:szCs w:val="24"/>
              </w:rPr>
              <w:t>智能扩声主机</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val="0"/>
              <w:spacing w:after="0" w:line="500" w:lineRule="exact"/>
              <w:ind w:left="426"/>
              <w:jc w:val="left"/>
              <w:rPr>
                <w:rFonts w:ascii="仿宋" w:hAnsi="仿宋" w:eastAsia="仿宋"/>
                <w:sz w:val="21"/>
                <w:szCs w:val="21"/>
              </w:rPr>
            </w:pPr>
            <w:r>
              <w:rPr>
                <w:rFonts w:hint="eastAsia" w:ascii="仿宋" w:hAnsi="仿宋" w:eastAsia="仿宋"/>
                <w:sz w:val="21"/>
                <w:szCs w:val="21"/>
              </w:rPr>
              <w:t>1、可同时支持吊麦、无线麦克风、桌面麦和课件的扩声，全输入录音，扩声不啸叫，录音高保真。</w:t>
            </w:r>
            <w:r>
              <w:rPr>
                <w:rFonts w:ascii="仿宋" w:hAnsi="仿宋" w:eastAsia="仿宋"/>
                <w:sz w:val="21"/>
                <w:szCs w:val="21"/>
              </w:rPr>
              <w:t xml:space="preserve"> </w:t>
            </w:r>
          </w:p>
          <w:p>
            <w:pPr>
              <w:widowControl w:val="0"/>
              <w:spacing w:after="0" w:line="500" w:lineRule="exact"/>
              <w:ind w:left="426"/>
              <w:jc w:val="left"/>
              <w:rPr>
                <w:rFonts w:ascii="仿宋" w:hAnsi="仿宋" w:eastAsia="仿宋"/>
                <w:sz w:val="21"/>
                <w:szCs w:val="21"/>
              </w:rPr>
            </w:pPr>
            <w:r>
              <w:rPr>
                <w:rFonts w:hint="eastAsia" w:ascii="仿宋" w:hAnsi="仿宋" w:eastAsia="仿宋"/>
                <w:sz w:val="21"/>
                <w:szCs w:val="21"/>
              </w:rPr>
              <w:t>2、抗混响功能：无线麦和吊麦自动切换。</w:t>
            </w:r>
          </w:p>
          <w:p>
            <w:pPr>
              <w:widowControl w:val="0"/>
              <w:spacing w:after="0" w:line="500" w:lineRule="exact"/>
              <w:ind w:left="426"/>
              <w:jc w:val="left"/>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、具有有效过滤教室内的空调、电风扇等发出的燥音干扰功能，过滤噪声不影响扩声效果；</w:t>
            </w:r>
          </w:p>
          <w:p>
            <w:pPr>
              <w:widowControl w:val="0"/>
              <w:spacing w:after="0" w:line="500" w:lineRule="exact"/>
              <w:ind w:left="426"/>
              <w:jc w:val="left"/>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、具备反馈抑制；</w:t>
            </w:r>
          </w:p>
          <w:p>
            <w:pPr>
              <w:widowControl w:val="0"/>
              <w:spacing w:after="0" w:line="500" w:lineRule="exact"/>
              <w:ind w:left="426"/>
              <w:jc w:val="left"/>
              <w:rPr>
                <w:rFonts w:ascii="仿宋" w:hAnsi="仿宋" w:eastAsia="仿宋"/>
                <w:sz w:val="21"/>
                <w:szCs w:val="21"/>
              </w:rPr>
            </w:pPr>
            <w:r>
              <w:rPr>
                <w:rFonts w:hint="eastAsia" w:ascii="仿宋" w:hAnsi="仿宋" w:eastAsia="仿宋"/>
                <w:sz w:val="21"/>
                <w:szCs w:val="21"/>
              </w:rPr>
              <w:t>5、输入接口≥4路，输出接口≥4路（含功放）</w:t>
            </w:r>
          </w:p>
          <w:p>
            <w:pPr>
              <w:widowControl w:val="0"/>
              <w:spacing w:after="0" w:line="500" w:lineRule="exact"/>
              <w:ind w:left="426"/>
              <w:jc w:val="left"/>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、降噪能力≥26dB；信噪比提升≥18dB；</w:t>
            </w:r>
          </w:p>
          <w:p>
            <w:pPr>
              <w:widowControl w:val="0"/>
              <w:spacing w:after="0" w:line="500" w:lineRule="exact"/>
              <w:ind w:left="426"/>
              <w:jc w:val="left"/>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、可视化数字音频主机</w:t>
            </w:r>
            <w:r>
              <w:rPr>
                <w:rFonts w:ascii="仿宋" w:hAnsi="仿宋" w:eastAsia="仿宋"/>
                <w:sz w:val="21"/>
                <w:szCs w:val="21"/>
              </w:rPr>
              <w:t xml:space="preserve"> </w:t>
            </w:r>
            <w:r>
              <w:rPr>
                <w:rFonts w:hint="eastAsia" w:ascii="仿宋" w:hAnsi="仿宋" w:eastAsia="仿宋"/>
                <w:sz w:val="21"/>
                <w:szCs w:val="21"/>
              </w:rPr>
              <w:t>，具有调试辅助语音功能。</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ascii="仿宋" w:hAnsi="仿宋" w:eastAsia="仿宋" w:cs="仿宋"/>
                <w:color w:val="000000"/>
                <w:sz w:val="24"/>
                <w:szCs w:val="24"/>
              </w:rPr>
              <w:t>20</w:t>
            </w:r>
            <w:r>
              <w:rPr>
                <w:rFonts w:hint="eastAsia" w:ascii="仿宋" w:hAnsi="仿宋" w:eastAsia="仿宋" w:cs="仿宋"/>
                <w:color w:val="000000"/>
                <w:sz w:val="24"/>
                <w:szCs w:val="24"/>
              </w:rPr>
              <w:t>*</w:t>
            </w:r>
            <w:r>
              <w:rPr>
                <w:rFonts w:ascii="仿宋" w:hAnsi="仿宋" w:eastAsia="仿宋" w:cs="仿宋"/>
                <w:color w:val="000000"/>
                <w:sz w:val="24"/>
                <w:szCs w:val="24"/>
              </w:rPr>
              <w:t>1</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rPr>
            </w:pP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color w:val="000000"/>
              </w:rPr>
            </w:pPr>
          </w:p>
        </w:tc>
        <w:tc>
          <w:tcPr>
            <w:tcW w:w="928"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rPr>
            </w:pPr>
          </w:p>
        </w:tc>
      </w:tr>
      <w:tr>
        <w:tblPrEx>
          <w:tblCellMar>
            <w:top w:w="0" w:type="dxa"/>
            <w:left w:w="0" w:type="dxa"/>
            <w:bottom w:w="0" w:type="dxa"/>
            <w:right w:w="0" w:type="dxa"/>
          </w:tblCellMar>
        </w:tblPrEx>
        <w:trPr>
          <w:trHeight w:val="4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等线" w:hAnsi="等线" w:eastAsia="等线"/>
                <w:b/>
                <w:bCs/>
                <w:color w:val="000000" w:themeColor="text1"/>
                <w:sz w:val="20"/>
              </w:rPr>
            </w:pPr>
            <w:r>
              <w:rPr>
                <w:rFonts w:hint="eastAsia" w:ascii="等线" w:hAnsi="等线" w:eastAsia="等线"/>
                <w:b/>
                <w:bCs/>
                <w:color w:val="000000" w:themeColor="text1"/>
                <w:sz w:val="20"/>
              </w:rPr>
              <w:t>指向性吊麦（含吊杆）</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val="0"/>
              <w:spacing w:after="0" w:line="500" w:lineRule="exact"/>
              <w:ind w:left="426"/>
              <w:jc w:val="left"/>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、灵敏度≥ -32dB±3dB</w:t>
            </w:r>
          </w:p>
          <w:p>
            <w:pPr>
              <w:widowControl w:val="0"/>
              <w:spacing w:after="0" w:line="500" w:lineRule="exact"/>
              <w:ind w:left="426"/>
              <w:jc w:val="left"/>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、指向特性：心型.</w:t>
            </w:r>
          </w:p>
          <w:p>
            <w:pPr>
              <w:widowControl w:val="0"/>
              <w:spacing w:after="0" w:line="500" w:lineRule="exact"/>
              <w:ind w:left="426"/>
              <w:jc w:val="left"/>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、拾音角度： ≤130°</w:t>
            </w:r>
          </w:p>
          <w:p>
            <w:pPr>
              <w:widowControl w:val="0"/>
              <w:spacing w:after="0" w:line="500" w:lineRule="exact"/>
              <w:ind w:left="426"/>
              <w:jc w:val="left"/>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、信噪比≥</w:t>
            </w:r>
            <w:r>
              <w:rPr>
                <w:rFonts w:ascii="仿宋" w:hAnsi="仿宋" w:eastAsia="仿宋"/>
                <w:sz w:val="21"/>
                <w:szCs w:val="21"/>
              </w:rPr>
              <w:t>80</w:t>
            </w:r>
            <w:r>
              <w:rPr>
                <w:rFonts w:hint="eastAsia" w:ascii="仿宋" w:hAnsi="仿宋" w:eastAsia="仿宋"/>
                <w:sz w:val="21"/>
                <w:szCs w:val="21"/>
              </w:rPr>
              <w:t>dB</w:t>
            </w:r>
          </w:p>
          <w:p>
            <w:pPr>
              <w:widowControl w:val="0"/>
              <w:spacing w:after="0" w:line="500" w:lineRule="exact"/>
              <w:ind w:left="426"/>
              <w:jc w:val="left"/>
              <w:rPr>
                <w:rFonts w:ascii="仿宋" w:hAnsi="仿宋" w:eastAsia="仿宋"/>
                <w:sz w:val="21"/>
                <w:szCs w:val="21"/>
              </w:rPr>
            </w:pPr>
            <w:r>
              <w:rPr>
                <w:rFonts w:hint="eastAsia" w:ascii="仿宋" w:hAnsi="仿宋" w:eastAsia="仿宋"/>
                <w:sz w:val="21"/>
                <w:szCs w:val="21"/>
              </w:rPr>
              <w:t>5、单麦拾音范围5-8米，语音智能跟踪，做到讲台区域全覆盖</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ascii="仿宋" w:hAnsi="仿宋" w:eastAsia="仿宋" w:cs="仿宋"/>
                <w:color w:val="000000"/>
                <w:sz w:val="24"/>
                <w:szCs w:val="24"/>
              </w:rPr>
              <w:t>20*2</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支</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rPr>
            </w:pP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color w:val="000000"/>
              </w:rPr>
            </w:pPr>
          </w:p>
        </w:tc>
        <w:tc>
          <w:tcPr>
            <w:tcW w:w="928"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rPr>
            </w:pPr>
          </w:p>
        </w:tc>
      </w:tr>
      <w:tr>
        <w:tblPrEx>
          <w:tblCellMar>
            <w:top w:w="0" w:type="dxa"/>
            <w:left w:w="0" w:type="dxa"/>
            <w:bottom w:w="0" w:type="dxa"/>
            <w:right w:w="0" w:type="dxa"/>
          </w:tblCellMar>
        </w:tblPrEx>
        <w:trPr>
          <w:trHeight w:val="4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等线" w:hAnsi="等线" w:eastAsia="等线"/>
                <w:b/>
                <w:bCs/>
                <w:color w:val="000000" w:themeColor="text1"/>
                <w:sz w:val="20"/>
              </w:rPr>
            </w:pPr>
            <w:r>
              <w:rPr>
                <w:rFonts w:hint="eastAsia" w:ascii="等线" w:hAnsi="等线" w:eastAsia="等线"/>
                <w:b/>
                <w:bCs/>
                <w:color w:val="000000" w:themeColor="text1"/>
                <w:sz w:val="20"/>
              </w:rPr>
              <w:t>教学音箱</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pStyle w:val="56"/>
              <w:widowControl w:val="0"/>
              <w:numPr>
                <w:ilvl w:val="0"/>
                <w:numId w:val="2"/>
              </w:numPr>
              <w:spacing w:after="0" w:line="500" w:lineRule="exact"/>
              <w:ind w:firstLineChars="0"/>
              <w:jc w:val="left"/>
              <w:rPr>
                <w:rFonts w:ascii="仿宋" w:hAnsi="仿宋" w:eastAsia="仿宋"/>
                <w:sz w:val="21"/>
                <w:szCs w:val="21"/>
              </w:rPr>
            </w:pPr>
            <w:r>
              <w:rPr>
                <w:rFonts w:hint="eastAsia" w:ascii="仿宋" w:hAnsi="仿宋" w:eastAsia="仿宋"/>
                <w:sz w:val="21"/>
                <w:szCs w:val="21"/>
              </w:rPr>
              <w:t xml:space="preserve">额定功率： </w:t>
            </w:r>
            <w:r>
              <w:rPr>
                <w:rFonts w:ascii="仿宋" w:hAnsi="仿宋" w:eastAsia="仿宋"/>
                <w:sz w:val="21"/>
                <w:szCs w:val="21"/>
              </w:rPr>
              <w:t>65</w:t>
            </w:r>
            <w:r>
              <w:rPr>
                <w:rFonts w:hint="eastAsia" w:ascii="仿宋" w:hAnsi="仿宋" w:eastAsia="仿宋"/>
                <w:sz w:val="21"/>
                <w:szCs w:val="21"/>
              </w:rPr>
              <w:t>W-</w:t>
            </w:r>
            <w:r>
              <w:rPr>
                <w:rFonts w:ascii="仿宋" w:hAnsi="仿宋" w:eastAsia="仿宋"/>
                <w:sz w:val="21"/>
                <w:szCs w:val="21"/>
              </w:rPr>
              <w:t>13</w:t>
            </w:r>
            <w:r>
              <w:rPr>
                <w:rFonts w:hint="eastAsia" w:ascii="仿宋" w:hAnsi="仿宋" w:eastAsia="仿宋"/>
                <w:sz w:val="21"/>
                <w:szCs w:val="21"/>
              </w:rPr>
              <w:t>0W</w:t>
            </w:r>
          </w:p>
          <w:p>
            <w:pPr>
              <w:pStyle w:val="56"/>
              <w:widowControl w:val="0"/>
              <w:numPr>
                <w:ilvl w:val="0"/>
                <w:numId w:val="2"/>
              </w:numPr>
              <w:spacing w:after="0" w:line="500" w:lineRule="exact"/>
              <w:ind w:firstLineChars="0"/>
              <w:jc w:val="left"/>
              <w:rPr>
                <w:rFonts w:ascii="仿宋" w:hAnsi="仿宋" w:eastAsia="仿宋"/>
                <w:sz w:val="21"/>
                <w:szCs w:val="21"/>
              </w:rPr>
            </w:pPr>
            <w:r>
              <w:rPr>
                <w:rFonts w:hint="eastAsia" w:ascii="仿宋" w:hAnsi="仿宋" w:eastAsia="仿宋"/>
                <w:sz w:val="21"/>
                <w:szCs w:val="21"/>
              </w:rPr>
              <w:t>无源音响，木质，超薄，</w:t>
            </w:r>
          </w:p>
          <w:p>
            <w:pPr>
              <w:widowControl w:val="0"/>
              <w:spacing w:after="0" w:line="500" w:lineRule="exact"/>
              <w:ind w:left="426"/>
              <w:jc w:val="left"/>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 xml:space="preserve">、灵敏度≥ </w:t>
            </w:r>
            <w:r>
              <w:rPr>
                <w:rFonts w:ascii="仿宋" w:hAnsi="仿宋" w:eastAsia="仿宋"/>
                <w:sz w:val="21"/>
                <w:szCs w:val="21"/>
              </w:rPr>
              <w:t>80</w:t>
            </w:r>
            <w:r>
              <w:rPr>
                <w:rFonts w:hint="eastAsia" w:ascii="仿宋" w:hAnsi="仿宋" w:eastAsia="仿宋"/>
                <w:sz w:val="21"/>
                <w:szCs w:val="21"/>
              </w:rPr>
              <w:t>dB</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ascii="仿宋" w:hAnsi="仿宋" w:eastAsia="仿宋" w:cs="仿宋"/>
                <w:color w:val="000000"/>
                <w:sz w:val="24"/>
                <w:szCs w:val="24"/>
              </w:rPr>
              <w:t>20*4</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rPr>
            </w:pP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color w:val="000000"/>
              </w:rPr>
            </w:pPr>
          </w:p>
        </w:tc>
        <w:tc>
          <w:tcPr>
            <w:tcW w:w="928"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rPr>
            </w:pPr>
          </w:p>
        </w:tc>
      </w:tr>
      <w:tr>
        <w:tblPrEx>
          <w:tblCellMar>
            <w:top w:w="0" w:type="dxa"/>
            <w:left w:w="0" w:type="dxa"/>
            <w:bottom w:w="0" w:type="dxa"/>
            <w:right w:w="0" w:type="dxa"/>
          </w:tblCellMar>
        </w:tblPrEx>
        <w:trPr>
          <w:trHeight w:val="4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等线" w:hAnsi="等线" w:eastAsia="等线"/>
                <w:b/>
                <w:bCs/>
                <w:color w:val="000000" w:themeColor="text1"/>
                <w:sz w:val="20"/>
              </w:rPr>
            </w:pPr>
            <w:r>
              <w:rPr>
                <w:rFonts w:hint="eastAsia" w:ascii="等线" w:hAnsi="等线" w:eastAsia="等线"/>
                <w:b/>
                <w:bCs/>
                <w:color w:val="000000" w:themeColor="text1"/>
                <w:sz w:val="20"/>
              </w:rPr>
              <w:t>系统配件</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tabs>
                <w:tab w:val="left" w:pos="420"/>
              </w:tabs>
              <w:spacing w:after="0" w:line="240" w:lineRule="auto"/>
              <w:rPr>
                <w:rFonts w:ascii="等线" w:hAnsi="等线" w:eastAsia="等线"/>
                <w:b/>
                <w:bCs/>
                <w:color w:val="000000" w:themeColor="text1"/>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ascii="仿宋" w:hAnsi="仿宋" w:eastAsia="仿宋" w:cs="仿宋"/>
                <w:color w:val="000000"/>
                <w:sz w:val="24"/>
                <w:szCs w:val="24"/>
              </w:rPr>
              <w:t>1</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批</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rPr>
            </w:pPr>
          </w:p>
        </w:tc>
        <w:tc>
          <w:tcPr>
            <w:tcW w:w="58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color w:val="000000"/>
              </w:rPr>
            </w:pPr>
          </w:p>
        </w:tc>
        <w:tc>
          <w:tcPr>
            <w:tcW w:w="928"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rPr>
            </w:pPr>
          </w:p>
        </w:tc>
      </w:tr>
    </w:tbl>
    <w:p>
      <w:pPr>
        <w:spacing w:after="0" w:line="500" w:lineRule="exact"/>
        <w:ind w:firstLine="560" w:firstLineChars="200"/>
        <w:rPr>
          <w:rFonts w:ascii="仿宋" w:hAnsi="仿宋" w:eastAsia="仿宋"/>
          <w:b/>
          <w:sz w:val="28"/>
          <w:szCs w:val="28"/>
        </w:rPr>
        <w:sectPr>
          <w:headerReference r:id="rId12" w:type="first"/>
          <w:headerReference r:id="rId11" w:type="default"/>
          <w:pgSz w:w="11906" w:h="16838"/>
          <w:pgMar w:top="1440" w:right="1416" w:bottom="1440" w:left="1134" w:header="851" w:footer="680" w:gutter="0"/>
          <w:cols w:space="425" w:num="1"/>
          <w:titlePg/>
          <w:docGrid w:type="lines" w:linePitch="312" w:charSpace="0"/>
        </w:sectPr>
      </w:pPr>
      <w:r>
        <w:rPr>
          <w:rFonts w:hint="eastAsia" w:ascii="仿宋" w:hAnsi="仿宋" w:eastAsia="仿宋"/>
          <w:sz w:val="28"/>
          <w:szCs w:val="28"/>
        </w:rPr>
        <w:t>本项目为“交钥匙工程”含设备运输、安装、调试和税等所有项目。设备部署更简洁，更美观，更高效，将作为考评参数。参与人报价时硬件设备需提供品牌，产品参数、图片信息及质保期，需注明功能等，如未提供以上信息，将视为无效报价最终数量以实际验收为准，确保设备为原厂正品并按原厂提供质保，。</w:t>
      </w:r>
      <w:r>
        <w:rPr>
          <w:rFonts w:ascii="仿宋" w:hAnsi="仿宋" w:eastAsia="仿宋"/>
          <w:b/>
          <w:sz w:val="28"/>
          <w:szCs w:val="28"/>
        </w:rPr>
        <w:br w:type="page"/>
      </w:r>
    </w:p>
    <w:p>
      <w:pPr>
        <w:spacing w:line="1000" w:lineRule="exact"/>
        <w:jc w:val="center"/>
        <w:rPr>
          <w:rFonts w:ascii="仿宋" w:hAnsi="仿宋" w:eastAsia="仿宋"/>
          <w:b/>
          <w:sz w:val="72"/>
          <w:szCs w:val="72"/>
        </w:rPr>
      </w:pPr>
      <w:r>
        <w:rPr>
          <w:rFonts w:ascii="仿宋" w:hAnsi="仿宋" w:eastAsia="仿宋"/>
          <w:b/>
          <w:sz w:val="72"/>
          <w:szCs w:val="72"/>
        </w:rPr>
        <w:drawing>
          <wp:anchor distT="0" distB="0" distL="114300" distR="114300" simplePos="0" relativeHeight="251661312"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江西科技学院关于智能扩声系统设备采购项目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r>
        <w:rPr>
          <w:rFonts w:ascii="仿宋" w:hAnsi="仿宋" w:eastAsia="仿宋"/>
          <w:b/>
          <w:sz w:val="30"/>
          <w:szCs w:val="30"/>
        </w:rPr>
        <w:t>XXXX</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参与人授权代表：X</w:t>
      </w:r>
      <w:r>
        <w:rPr>
          <w:rFonts w:ascii="仿宋" w:hAnsi="仿宋" w:eastAsia="仿宋"/>
          <w:b/>
          <w:sz w:val="30"/>
          <w:szCs w:val="30"/>
        </w:rPr>
        <w:t>XXX</w:t>
      </w:r>
    </w:p>
    <w:p>
      <w:pPr>
        <w:jc w:val="center"/>
        <w:rPr>
          <w:rFonts w:ascii="仿宋" w:hAnsi="仿宋" w:eastAsia="仿宋"/>
          <w:b/>
          <w:sz w:val="36"/>
          <w:szCs w:val="36"/>
        </w:rPr>
      </w:pPr>
    </w:p>
    <w:p>
      <w:pPr>
        <w:jc w:val="center"/>
        <w:rPr>
          <w:rFonts w:ascii="仿宋" w:hAnsi="仿宋" w:eastAsia="仿宋"/>
          <w:b/>
          <w:bCs/>
          <w:sz w:val="30"/>
          <w:szCs w:val="30"/>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4" w:type="first"/>
          <w:headerReference r:id="rId13"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ascii="仿宋" w:hAnsi="仿宋" w:eastAsia="仿宋"/>
          <w:b/>
          <w:bCs/>
          <w:sz w:val="28"/>
          <w:szCs w:val="28"/>
        </w:rPr>
      </w:pPr>
      <w:bookmarkStart w:id="51" w:name="_Toc235437991"/>
      <w:bookmarkStart w:id="52" w:name="_Toc219800243"/>
      <w:bookmarkStart w:id="53" w:name="_Toc213755995"/>
      <w:bookmarkStart w:id="54" w:name="_Toc203355733"/>
      <w:bookmarkStart w:id="55" w:name="_Toc177985469"/>
      <w:bookmarkStart w:id="56" w:name="_Toc230071147"/>
      <w:bookmarkStart w:id="57" w:name="_Toc192996338"/>
      <w:bookmarkStart w:id="58" w:name="_Toc180302913"/>
      <w:bookmarkStart w:id="59" w:name="_Toc191783222"/>
      <w:bookmarkStart w:id="60" w:name="_Toc169332838"/>
      <w:bookmarkStart w:id="61" w:name="_Toc235438274"/>
      <w:bookmarkStart w:id="62" w:name="_Toc213755939"/>
      <w:bookmarkStart w:id="63" w:name="_Toc266870907"/>
      <w:bookmarkStart w:id="64" w:name="_Toc267060068"/>
      <w:bookmarkStart w:id="65" w:name="_Toc193160448"/>
      <w:bookmarkStart w:id="66" w:name="_Toc192664153"/>
      <w:bookmarkStart w:id="67" w:name="_Toc267059806"/>
      <w:bookmarkStart w:id="68" w:name="_Toc267060321"/>
      <w:bookmarkStart w:id="69" w:name="_Toc227058530"/>
      <w:bookmarkStart w:id="70" w:name="_Toc266870432"/>
      <w:bookmarkStart w:id="71" w:name="_Toc225669322"/>
      <w:bookmarkStart w:id="72" w:name="_Toc266870833"/>
      <w:bookmarkStart w:id="73" w:name="_Toc232302115"/>
      <w:bookmarkStart w:id="74" w:name="_Toc267060453"/>
      <w:bookmarkStart w:id="75" w:name="_Toc191803626"/>
      <w:bookmarkStart w:id="76" w:name="_Toc213208766"/>
      <w:bookmarkStart w:id="77" w:name="_Toc213756051"/>
      <w:bookmarkStart w:id="78" w:name="_Toc160880529"/>
      <w:bookmarkStart w:id="79" w:name="_Toc267059653"/>
      <w:bookmarkStart w:id="80" w:name="_Toc249325711"/>
      <w:bookmarkStart w:id="81" w:name="_Toc267060208"/>
      <w:bookmarkStart w:id="82" w:name="_Toc211917116"/>
      <w:bookmarkStart w:id="83" w:name="_Toc192996446"/>
      <w:bookmarkStart w:id="84" w:name="_Toc253066614"/>
      <w:bookmarkStart w:id="85" w:name="_Toc254790899"/>
      <w:bookmarkStart w:id="86" w:name="_Toc259520865"/>
      <w:bookmarkStart w:id="87" w:name="_Toc251586231"/>
      <w:bookmarkStart w:id="88" w:name="_Toc217891402"/>
      <w:bookmarkStart w:id="89" w:name="_Toc259692647"/>
      <w:bookmarkStart w:id="90" w:name="_Toc266868937"/>
      <w:bookmarkStart w:id="91" w:name="_Toc160880160"/>
      <w:bookmarkStart w:id="92" w:name="_Toc193165734"/>
      <w:bookmarkStart w:id="93" w:name="_Toc266868670"/>
      <w:bookmarkStart w:id="94" w:name="_Toc223146608"/>
      <w:bookmarkStart w:id="95" w:name="_Toc169332949"/>
      <w:bookmarkStart w:id="96" w:name="_Toc235438344"/>
      <w:bookmarkStart w:id="97" w:name="_Toc191789329"/>
      <w:bookmarkStart w:id="98" w:name="_Toc191802690"/>
      <w:bookmarkStart w:id="99" w:name="_Toc192663686"/>
      <w:bookmarkStart w:id="100" w:name="_Toc267059030"/>
      <w:bookmarkStart w:id="101" w:name="_Toc258401256"/>
      <w:bookmarkStart w:id="102" w:name="_Toc267059919"/>
      <w:bookmarkStart w:id="103" w:name="_Toc255975007"/>
      <w:bookmarkStart w:id="104" w:name="_Toc273178698"/>
      <w:bookmarkStart w:id="105" w:name="_Toc251613829"/>
      <w:bookmarkStart w:id="106" w:name="_Toc182805217"/>
      <w:bookmarkStart w:id="107" w:name="_Toc267059181"/>
      <w:bookmarkStart w:id="108" w:name="_Toc259692740"/>
      <w:bookmarkStart w:id="109" w:name="_Toc236021449"/>
      <w:bookmarkStart w:id="110" w:name="_Toc267059539"/>
      <w:bookmarkStart w:id="111" w:name="_Toc181436565"/>
      <w:bookmarkStart w:id="112" w:name="_Toc213755858"/>
      <w:bookmarkStart w:id="113" w:name="_Toc182372782"/>
      <w:bookmarkStart w:id="114" w:name="_Toc181436461"/>
      <w:bookmarkStart w:id="115" w:name="_Toc192663835"/>
      <w:bookmarkStart w:id="116" w:name="_Toc170798793"/>
    </w:p>
    <w:p>
      <w:pPr>
        <w:jc w:val="center"/>
        <w:outlineLvl w:val="1"/>
        <w:rPr>
          <w:rFonts w:ascii="仿宋" w:hAnsi="仿宋" w:eastAsia="仿宋"/>
          <w:b/>
          <w:bCs/>
          <w:sz w:val="28"/>
          <w:szCs w:val="28"/>
        </w:rPr>
      </w:pPr>
      <w:r>
        <w:rPr>
          <w:rFonts w:hint="eastAsia" w:ascii="仿宋" w:hAnsi="仿宋" w:eastAsia="仿宋"/>
          <w:b/>
          <w:bCs/>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致：江西科技学院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 </w:t>
      </w:r>
      <w:r>
        <w:rPr>
          <w:rFonts w:ascii="仿宋" w:hAnsi="仿宋" w:eastAsia="仿宋"/>
          <w:sz w:val="28"/>
          <w:szCs w:val="28"/>
        </w:rPr>
        <w:t xml:space="preserve">      </w:t>
      </w:r>
      <w:r>
        <w:rPr>
          <w:rFonts w:hint="eastAsia" w:ascii="仿宋" w:hAnsi="仿宋" w:eastAsia="仿宋"/>
          <w:sz w:val="28"/>
          <w:szCs w:val="28"/>
        </w:rPr>
        <w:t xml:space="preserve">人民币，即（中文表述） </w:t>
      </w:r>
      <w:r>
        <w:rPr>
          <w:rFonts w:ascii="仿宋" w:hAnsi="仿宋" w:eastAsia="仿宋"/>
          <w:sz w:val="28"/>
          <w:szCs w:val="28"/>
        </w:rPr>
        <w:t xml:space="preserve">       </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、工程量清单</w:t>
      </w:r>
    </w:p>
    <w:p>
      <w:pPr>
        <w:jc w:val="center"/>
        <w:outlineLvl w:val="1"/>
        <w:rPr>
          <w:rFonts w:ascii="仿宋" w:hAnsi="仿宋" w:eastAsia="仿宋"/>
          <w:b/>
          <w:bCs/>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7" w:name="_Toc267059658"/>
      <w:bookmarkStart w:id="118" w:name="_Toc249325720"/>
      <w:bookmarkStart w:id="119" w:name="_Toc267060076"/>
      <w:bookmarkStart w:id="120" w:name="_Toc258401265"/>
      <w:bookmarkStart w:id="121" w:name="_Toc225669328"/>
      <w:bookmarkStart w:id="122" w:name="_Toc255975016"/>
      <w:bookmarkStart w:id="123" w:name="_Toc192664158"/>
      <w:bookmarkStart w:id="124" w:name="_Toc192663691"/>
      <w:bookmarkStart w:id="125" w:name="_Toc177985474"/>
      <w:bookmarkStart w:id="126" w:name="_Toc193160453"/>
      <w:bookmarkStart w:id="127" w:name="_Toc266870839"/>
      <w:bookmarkStart w:id="128" w:name="_Toc213756001"/>
      <w:bookmarkStart w:id="129" w:name="_Toc192996343"/>
      <w:bookmarkStart w:id="130" w:name="_Toc181436570"/>
      <w:bookmarkStart w:id="131" w:name="_Toc191803631"/>
      <w:bookmarkStart w:id="132" w:name="_Toc193165739"/>
      <w:bookmarkStart w:id="133" w:name="_Toc160880534"/>
      <w:bookmarkStart w:id="134" w:name="_Toc182805222"/>
      <w:bookmarkStart w:id="135" w:name="_Toc203355738"/>
      <w:bookmarkStart w:id="136" w:name="_Toc169332843"/>
      <w:bookmarkStart w:id="137" w:name="_Toc169332954"/>
      <w:bookmarkStart w:id="138" w:name="_Toc253066624"/>
      <w:bookmarkStart w:id="139" w:name="_Toc180302918"/>
      <w:bookmarkStart w:id="140" w:name="_Toc266868943"/>
      <w:bookmarkStart w:id="141" w:name="_Toc266870441"/>
      <w:bookmarkStart w:id="142" w:name="_Toc259692749"/>
      <w:bookmarkStart w:id="143" w:name="_Toc213756057"/>
      <w:bookmarkStart w:id="144" w:name="_Toc192996451"/>
      <w:bookmarkStart w:id="145" w:name="_Toc235438281"/>
      <w:bookmarkStart w:id="146" w:name="_Toc192663840"/>
      <w:bookmarkStart w:id="147" w:name="_Toc232302122"/>
      <w:bookmarkStart w:id="148" w:name="_Toc191802695"/>
      <w:bookmarkStart w:id="149" w:name="_Toc181436466"/>
      <w:bookmarkStart w:id="150" w:name="_Toc191783227"/>
      <w:bookmarkStart w:id="151" w:name="_Toc191789334"/>
      <w:bookmarkStart w:id="152" w:name="_Toc267059811"/>
      <w:bookmarkStart w:id="153" w:name="_Toc219800249"/>
      <w:bookmarkStart w:id="154" w:name="_Toc259520874"/>
      <w:bookmarkStart w:id="155" w:name="_Toc254790909"/>
      <w:bookmarkStart w:id="156" w:name="_Toc266870916"/>
      <w:bookmarkStart w:id="157" w:name="_Toc267059924"/>
      <w:bookmarkStart w:id="158" w:name="_Toc236021457"/>
      <w:bookmarkStart w:id="159" w:name="_Toc273178703"/>
      <w:bookmarkStart w:id="160" w:name="_Toc217891408"/>
      <w:bookmarkStart w:id="161" w:name="_Toc267060216"/>
      <w:bookmarkStart w:id="162" w:name="_Toc267059544"/>
      <w:bookmarkStart w:id="163" w:name="_Toc230071153"/>
      <w:bookmarkStart w:id="164" w:name="_Toc259692656"/>
      <w:bookmarkStart w:id="165" w:name="_Toc267060326"/>
      <w:bookmarkStart w:id="166" w:name="_Toc223146614"/>
      <w:bookmarkStart w:id="167" w:name="_Toc213208771"/>
      <w:bookmarkStart w:id="168" w:name="_Toc213755945"/>
      <w:bookmarkStart w:id="169" w:name="_Toc251586241"/>
      <w:bookmarkStart w:id="170" w:name="_Toc211917121"/>
      <w:bookmarkStart w:id="171" w:name="_Toc267059186"/>
      <w:bookmarkStart w:id="172" w:name="_Toc170798798"/>
      <w:bookmarkStart w:id="173" w:name="_Toc160880165"/>
      <w:bookmarkStart w:id="174" w:name="_Toc266868679"/>
      <w:bookmarkStart w:id="175" w:name="_Toc267060461"/>
      <w:bookmarkStart w:id="176" w:name="_Toc182372787"/>
      <w:bookmarkStart w:id="177" w:name="_Toc267059035"/>
      <w:bookmarkStart w:id="178" w:name="_Toc251613839"/>
      <w:bookmarkStart w:id="179" w:name="_Toc235437998"/>
      <w:bookmarkStart w:id="180" w:name="_Toc213755864"/>
      <w:bookmarkStart w:id="181" w:name="_Toc235438352"/>
      <w:bookmarkStart w:id="182" w:name="_Toc227058536"/>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3" w:name="_Toc235438282"/>
      <w:bookmarkStart w:id="184" w:name="_Toc230071154"/>
      <w:bookmarkStart w:id="185" w:name="_Toc235438353"/>
      <w:bookmarkStart w:id="186" w:name="_Toc236021458"/>
      <w:bookmarkStart w:id="187" w:name="_Toc253066625"/>
      <w:bookmarkStart w:id="188" w:name="_Toc225669329"/>
      <w:bookmarkStart w:id="189" w:name="_Toc251586242"/>
      <w:bookmarkStart w:id="190" w:name="_Toc223146615"/>
      <w:bookmarkStart w:id="191" w:name="_Toc267060217"/>
      <w:bookmarkStart w:id="192" w:name="_Toc258401266"/>
      <w:bookmarkStart w:id="193" w:name="_Toc259692750"/>
      <w:bookmarkStart w:id="194" w:name="_Toc219800250"/>
      <w:bookmarkStart w:id="195" w:name="_Toc213756058"/>
      <w:bookmarkStart w:id="196" w:name="_Toc254790910"/>
      <w:bookmarkStart w:id="197" w:name="_Toc232302123"/>
      <w:bookmarkStart w:id="198" w:name="_Toc259520875"/>
      <w:bookmarkStart w:id="199" w:name="_Toc249325721"/>
      <w:bookmarkStart w:id="200" w:name="_Toc266870442"/>
      <w:bookmarkStart w:id="201" w:name="_Toc217891409"/>
      <w:bookmarkStart w:id="202" w:name="_Toc259692657"/>
      <w:bookmarkStart w:id="203" w:name="_Toc227058537"/>
      <w:bookmarkStart w:id="204" w:name="_Toc267060077"/>
      <w:bookmarkStart w:id="205" w:name="_Toc255975017"/>
      <w:bookmarkStart w:id="206" w:name="_Toc266870917"/>
      <w:bookmarkStart w:id="207" w:name="_Toc251613840"/>
      <w:bookmarkStart w:id="208" w:name="_Toc235437999"/>
      <w:bookmarkStart w:id="209" w:name="_Toc267060462"/>
      <w:bookmarkStart w:id="210" w:name="_Toc266868680"/>
      <w:r>
        <w:rPr>
          <w:rFonts w:ascii="仿宋" w:hAnsi="仿宋" w:eastAsia="仿宋"/>
          <w:b/>
          <w:sz w:val="28"/>
          <w:szCs w:val="28"/>
        </w:rPr>
        <w:t>3</w:t>
      </w:r>
      <w:r>
        <w:rPr>
          <w:rFonts w:hint="eastAsia" w:ascii="仿宋" w:hAnsi="仿宋" w:eastAsia="仿宋"/>
          <w:b/>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sz w:val="28"/>
          <w:szCs w:val="28"/>
        </w:rPr>
        <w:cr/>
      </w:r>
    </w:p>
    <w:p>
      <w:pPr>
        <w:spacing w:after="0" w:line="500" w:lineRule="exact"/>
        <w:rPr>
          <w:rFonts w:ascii="仿宋" w:hAnsi="仿宋" w:eastAsia="仿宋"/>
          <w:sz w:val="28"/>
          <w:szCs w:val="28"/>
        </w:rPr>
      </w:pPr>
      <w:bookmarkStart w:id="211" w:name="_Hlk511663739"/>
      <w:r>
        <w:rPr>
          <w:rFonts w:hint="eastAsia" w:ascii="仿宋" w:hAnsi="仿宋" w:eastAsia="仿宋"/>
          <w:sz w:val="28"/>
          <w:szCs w:val="28"/>
        </w:rPr>
        <w:t>江西科技学院：</w:t>
      </w:r>
      <w:bookmarkEnd w:id="211"/>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     年   月   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2" w:name="_Toc266870443"/>
      <w:bookmarkStart w:id="213" w:name="_Toc232302124"/>
      <w:bookmarkStart w:id="214" w:name="_Toc213756059"/>
      <w:bookmarkStart w:id="215" w:name="_Toc227058538"/>
      <w:bookmarkStart w:id="216" w:name="_Toc258401267"/>
      <w:bookmarkStart w:id="217" w:name="_Toc259692751"/>
      <w:bookmarkStart w:id="218" w:name="_Toc249325722"/>
      <w:bookmarkStart w:id="219" w:name="_Toc259692658"/>
      <w:bookmarkStart w:id="220" w:name="_Toc225669330"/>
      <w:bookmarkStart w:id="221" w:name="_Toc253066626"/>
      <w:bookmarkStart w:id="222" w:name="_Toc255975018"/>
      <w:bookmarkStart w:id="223" w:name="_Toc217891410"/>
      <w:bookmarkStart w:id="224" w:name="_Toc219800251"/>
      <w:bookmarkStart w:id="225" w:name="_Toc230071155"/>
      <w:bookmarkStart w:id="226" w:name="_Toc266870918"/>
      <w:bookmarkStart w:id="227" w:name="_Toc251613841"/>
      <w:bookmarkStart w:id="228" w:name="_Toc235438283"/>
      <w:bookmarkStart w:id="229" w:name="_Toc251586243"/>
      <w:bookmarkStart w:id="230" w:name="_Toc236021459"/>
      <w:bookmarkStart w:id="231" w:name="_Toc235438354"/>
      <w:bookmarkStart w:id="232" w:name="_Toc235438000"/>
      <w:bookmarkStart w:id="233" w:name="_Toc223146616"/>
      <w:bookmarkStart w:id="234" w:name="_Toc259520876"/>
      <w:bookmarkStart w:id="235" w:name="_Toc266868681"/>
      <w:bookmarkStart w:id="236" w:name="_Toc254790911"/>
    </w:p>
    <w:p>
      <w:pPr>
        <w:jc w:val="center"/>
        <w:outlineLvl w:val="1"/>
        <w:rPr>
          <w:rFonts w:ascii="仿宋" w:hAnsi="仿宋" w:eastAsia="仿宋"/>
          <w:b/>
          <w:sz w:val="28"/>
          <w:szCs w:val="28"/>
        </w:rPr>
      </w:pPr>
      <w:r>
        <w:rPr>
          <w:rFonts w:ascii="仿宋" w:hAnsi="仿宋" w:eastAsia="仿宋"/>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江西科技学院：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7" w:name="_Toc232302127"/>
      <w:bookmarkStart w:id="238" w:name="_Toc191783230"/>
      <w:bookmarkStart w:id="239" w:name="_Toc259692661"/>
      <w:bookmarkStart w:id="240" w:name="_Toc251586246"/>
      <w:bookmarkStart w:id="241" w:name="_Toc259520879"/>
      <w:bookmarkStart w:id="242" w:name="_Toc267060465"/>
      <w:bookmarkStart w:id="243" w:name="_Toc267060466"/>
      <w:bookmarkStart w:id="244" w:name="_Toc181436573"/>
      <w:bookmarkStart w:id="245" w:name="_Toc160880537"/>
      <w:bookmarkStart w:id="246" w:name="_Toc192996454"/>
      <w:bookmarkStart w:id="247" w:name="_Toc249325725"/>
      <w:bookmarkStart w:id="248" w:name="_Toc160880168"/>
      <w:bookmarkStart w:id="249" w:name="_Toc169332846"/>
      <w:bookmarkStart w:id="250" w:name="_Toc170798801"/>
      <w:bookmarkStart w:id="251" w:name="_Toc180302921"/>
      <w:bookmarkStart w:id="252" w:name="_Toc235438286"/>
      <w:bookmarkStart w:id="253" w:name="_Toc203355741"/>
      <w:bookmarkStart w:id="254" w:name="_Toc235438003"/>
      <w:bookmarkStart w:id="255" w:name="_Toc182372790"/>
      <w:bookmarkStart w:id="256" w:name="_Toc192996346"/>
      <w:bookmarkStart w:id="257" w:name="_Toc182805225"/>
      <w:bookmarkStart w:id="258" w:name="_Toc211917124"/>
      <w:bookmarkStart w:id="259" w:name="_Toc191789337"/>
      <w:bookmarkStart w:id="260" w:name="_Toc192663843"/>
      <w:bookmarkStart w:id="261" w:name="_Toc191802698"/>
      <w:bookmarkStart w:id="262" w:name="_Toc235438357"/>
      <w:bookmarkStart w:id="263" w:name="_Toc181436469"/>
      <w:bookmarkStart w:id="264" w:name="_Toc192663694"/>
      <w:bookmarkStart w:id="265" w:name="_Toc251613844"/>
      <w:bookmarkStart w:id="266" w:name="_Toc267060221"/>
      <w:bookmarkStart w:id="267" w:name="_Toc177985477"/>
      <w:bookmarkStart w:id="268" w:name="_Toc266870447"/>
      <w:bookmarkStart w:id="269" w:name="_Toc236021462"/>
      <w:bookmarkStart w:id="270" w:name="_Toc255975023"/>
      <w:bookmarkStart w:id="271" w:name="_Toc169332957"/>
      <w:bookmarkStart w:id="272" w:name="_Toc266870922"/>
      <w:bookmarkStart w:id="273" w:name="_Toc259520881"/>
      <w:bookmarkStart w:id="274" w:name="_Toc259692756"/>
      <w:bookmarkStart w:id="275" w:name="_Toc258401270"/>
      <w:bookmarkStart w:id="276" w:name="_Toc193160456"/>
      <w:bookmarkStart w:id="277" w:name="_Toc254790916"/>
      <w:bookmarkStart w:id="278" w:name="_Toc193165742"/>
      <w:bookmarkStart w:id="279" w:name="_Toc254790914"/>
      <w:bookmarkStart w:id="280" w:name="_Toc192664161"/>
      <w:bookmarkStart w:id="281" w:name="_Toc253066629"/>
      <w:bookmarkStart w:id="282" w:name="_Toc266868686"/>
      <w:bookmarkStart w:id="283" w:name="_Toc267060081"/>
      <w:bookmarkStart w:id="284" w:name="_Toc258401272"/>
      <w:bookmarkStart w:id="285" w:name="_Toc266868684"/>
      <w:bookmarkStart w:id="286" w:name="_Toc255975021"/>
      <w:bookmarkStart w:id="287" w:name="_Toc259692754"/>
      <w:bookmarkStart w:id="288" w:name="_Toc267060220"/>
      <w:bookmarkStart w:id="289" w:name="_Toc259692663"/>
      <w:bookmarkStart w:id="290" w:name="_Toc267060080"/>
      <w:bookmarkStart w:id="291" w:name="_Toc266870446"/>
      <w:bookmarkStart w:id="292" w:name="_Toc266870921"/>
      <w:bookmarkStart w:id="293" w:name="_Toc191803634"/>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sz w:val="28"/>
          <w:szCs w:val="28"/>
        </w:rPr>
      </w:pPr>
      <w:bookmarkStart w:id="294" w:name="_Toc267059812"/>
      <w:bookmarkStart w:id="295" w:name="_Toc259520882"/>
      <w:bookmarkStart w:id="296" w:name="_Toc267059187"/>
      <w:bookmarkStart w:id="297" w:name="_Toc266870448"/>
      <w:bookmarkStart w:id="298" w:name="_Toc267059036"/>
      <w:bookmarkStart w:id="299" w:name="_Toc267060082"/>
      <w:bookmarkStart w:id="300" w:name="_Toc236021463"/>
      <w:bookmarkStart w:id="301" w:name="_Toc235438004"/>
      <w:bookmarkStart w:id="302" w:name="_Toc259692664"/>
      <w:bookmarkStart w:id="303" w:name="_Toc266870840"/>
      <w:bookmarkStart w:id="304" w:name="_Toc259692757"/>
      <w:bookmarkStart w:id="305" w:name="_Toc267059659"/>
      <w:bookmarkStart w:id="306" w:name="_Toc251613845"/>
      <w:bookmarkStart w:id="307" w:name="_Toc235438358"/>
      <w:bookmarkStart w:id="308" w:name="_Toc266868687"/>
      <w:bookmarkStart w:id="309" w:name="_Toc255975024"/>
      <w:bookmarkStart w:id="310" w:name="_Toc232302128"/>
      <w:bookmarkStart w:id="311" w:name="_Toc254790917"/>
      <w:bookmarkStart w:id="312" w:name="_Toc249325726"/>
      <w:bookmarkStart w:id="313" w:name="_Toc267060467"/>
      <w:bookmarkStart w:id="314" w:name="_Toc235438287"/>
      <w:bookmarkStart w:id="315" w:name="_Toc266870923"/>
      <w:bookmarkStart w:id="316" w:name="_Toc253066630"/>
      <w:bookmarkStart w:id="317" w:name="_Toc267060222"/>
      <w:bookmarkStart w:id="318" w:name="_Toc273178704"/>
      <w:bookmarkStart w:id="319" w:name="_Toc266868944"/>
      <w:bookmarkStart w:id="320" w:name="_Toc258401273"/>
      <w:bookmarkStart w:id="321" w:name="_Toc251586247"/>
      <w:bookmarkStart w:id="322" w:name="_Toc267059925"/>
      <w:bookmarkStart w:id="323" w:name="_Toc267059545"/>
      <w:bookmarkStart w:id="324" w:name="_Toc267060327"/>
      <w:r>
        <w:rPr>
          <w:rFonts w:ascii="仿宋" w:hAnsi="仿宋" w:eastAsia="仿宋"/>
          <w:b/>
          <w:bCs/>
          <w:sz w:val="28"/>
          <w:szCs w:val="28"/>
        </w:rPr>
        <w:t>4.</w:t>
      </w:r>
      <w:r>
        <w:rPr>
          <w:rFonts w:hint="eastAsia" w:ascii="仿宋" w:hAnsi="仿宋" w:eastAsia="仿宋"/>
          <w:b/>
          <w:bCs/>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sectPr>
      <w:headerReference r:id="rId15" w:type="firs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F825078"/>
    <w:multiLevelType w:val="multilevel"/>
    <w:tmpl w:val="5F825078"/>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0F09"/>
    <w:rsid w:val="000044AD"/>
    <w:rsid w:val="0000490C"/>
    <w:rsid w:val="00004A19"/>
    <w:rsid w:val="00031D61"/>
    <w:rsid w:val="00041909"/>
    <w:rsid w:val="000569E1"/>
    <w:rsid w:val="00064E4D"/>
    <w:rsid w:val="00070A6D"/>
    <w:rsid w:val="0007244C"/>
    <w:rsid w:val="00074B20"/>
    <w:rsid w:val="00082572"/>
    <w:rsid w:val="00092390"/>
    <w:rsid w:val="000934D4"/>
    <w:rsid w:val="000A06E4"/>
    <w:rsid w:val="000A18C2"/>
    <w:rsid w:val="000C09AE"/>
    <w:rsid w:val="000D4D71"/>
    <w:rsid w:val="000D4FB9"/>
    <w:rsid w:val="000F4F45"/>
    <w:rsid w:val="00112269"/>
    <w:rsid w:val="0012724D"/>
    <w:rsid w:val="0013118F"/>
    <w:rsid w:val="00147E05"/>
    <w:rsid w:val="001561E9"/>
    <w:rsid w:val="0016249C"/>
    <w:rsid w:val="00163B53"/>
    <w:rsid w:val="00176CD4"/>
    <w:rsid w:val="00182C6E"/>
    <w:rsid w:val="00191234"/>
    <w:rsid w:val="001A06A4"/>
    <w:rsid w:val="001A5B43"/>
    <w:rsid w:val="001B2557"/>
    <w:rsid w:val="001B719E"/>
    <w:rsid w:val="001C0845"/>
    <w:rsid w:val="001C6943"/>
    <w:rsid w:val="001D1081"/>
    <w:rsid w:val="001E44E4"/>
    <w:rsid w:val="001E7B35"/>
    <w:rsid w:val="001F3952"/>
    <w:rsid w:val="00215A21"/>
    <w:rsid w:val="00231B1F"/>
    <w:rsid w:val="00235942"/>
    <w:rsid w:val="00235C32"/>
    <w:rsid w:val="00237309"/>
    <w:rsid w:val="00241EA7"/>
    <w:rsid w:val="00244E90"/>
    <w:rsid w:val="002476C4"/>
    <w:rsid w:val="002772BB"/>
    <w:rsid w:val="00282FFD"/>
    <w:rsid w:val="002936CA"/>
    <w:rsid w:val="00295514"/>
    <w:rsid w:val="002A1975"/>
    <w:rsid w:val="002C2C3D"/>
    <w:rsid w:val="002C4297"/>
    <w:rsid w:val="002C533C"/>
    <w:rsid w:val="002C558F"/>
    <w:rsid w:val="002E2902"/>
    <w:rsid w:val="002F3F54"/>
    <w:rsid w:val="002F61BF"/>
    <w:rsid w:val="00315D0D"/>
    <w:rsid w:val="0031762B"/>
    <w:rsid w:val="003222F2"/>
    <w:rsid w:val="00334E6F"/>
    <w:rsid w:val="0033686F"/>
    <w:rsid w:val="0034695A"/>
    <w:rsid w:val="00350AF8"/>
    <w:rsid w:val="003570A0"/>
    <w:rsid w:val="00370098"/>
    <w:rsid w:val="003716A7"/>
    <w:rsid w:val="003716F7"/>
    <w:rsid w:val="00383EA0"/>
    <w:rsid w:val="003845F2"/>
    <w:rsid w:val="003924B5"/>
    <w:rsid w:val="003C0028"/>
    <w:rsid w:val="003C0E1A"/>
    <w:rsid w:val="003C406B"/>
    <w:rsid w:val="003C60EF"/>
    <w:rsid w:val="003D02FC"/>
    <w:rsid w:val="003D55C2"/>
    <w:rsid w:val="003E6439"/>
    <w:rsid w:val="003F20A6"/>
    <w:rsid w:val="003F36CB"/>
    <w:rsid w:val="003F4827"/>
    <w:rsid w:val="003F4C2C"/>
    <w:rsid w:val="003F6D67"/>
    <w:rsid w:val="00403AD6"/>
    <w:rsid w:val="00404FA2"/>
    <w:rsid w:val="00416AB1"/>
    <w:rsid w:val="004242F4"/>
    <w:rsid w:val="00424AA3"/>
    <w:rsid w:val="0043243C"/>
    <w:rsid w:val="00436823"/>
    <w:rsid w:val="00441955"/>
    <w:rsid w:val="00453BDA"/>
    <w:rsid w:val="0045488D"/>
    <w:rsid w:val="00464CB2"/>
    <w:rsid w:val="00477053"/>
    <w:rsid w:val="00482E03"/>
    <w:rsid w:val="00486EEF"/>
    <w:rsid w:val="00490E29"/>
    <w:rsid w:val="00494088"/>
    <w:rsid w:val="00495025"/>
    <w:rsid w:val="004956C0"/>
    <w:rsid w:val="004B4E97"/>
    <w:rsid w:val="004B66B1"/>
    <w:rsid w:val="004E0DBF"/>
    <w:rsid w:val="004E24DE"/>
    <w:rsid w:val="004E3E6F"/>
    <w:rsid w:val="004F3FCE"/>
    <w:rsid w:val="00500FB5"/>
    <w:rsid w:val="00502F52"/>
    <w:rsid w:val="00517197"/>
    <w:rsid w:val="00527BFC"/>
    <w:rsid w:val="00543220"/>
    <w:rsid w:val="00553238"/>
    <w:rsid w:val="005553AB"/>
    <w:rsid w:val="00561EC1"/>
    <w:rsid w:val="00562F2E"/>
    <w:rsid w:val="0057646C"/>
    <w:rsid w:val="00582530"/>
    <w:rsid w:val="00590957"/>
    <w:rsid w:val="0059251D"/>
    <w:rsid w:val="005A5A4D"/>
    <w:rsid w:val="005C2170"/>
    <w:rsid w:val="005C6E27"/>
    <w:rsid w:val="005F1FC8"/>
    <w:rsid w:val="00607B2B"/>
    <w:rsid w:val="006230ED"/>
    <w:rsid w:val="00630374"/>
    <w:rsid w:val="006375CF"/>
    <w:rsid w:val="00645EFA"/>
    <w:rsid w:val="0064713E"/>
    <w:rsid w:val="0064793B"/>
    <w:rsid w:val="0066427F"/>
    <w:rsid w:val="006651E0"/>
    <w:rsid w:val="006652BF"/>
    <w:rsid w:val="00665A94"/>
    <w:rsid w:val="00691E02"/>
    <w:rsid w:val="006A084D"/>
    <w:rsid w:val="006B6F8C"/>
    <w:rsid w:val="006C2D5E"/>
    <w:rsid w:val="006D02DB"/>
    <w:rsid w:val="006D27DD"/>
    <w:rsid w:val="006D53F9"/>
    <w:rsid w:val="006D6492"/>
    <w:rsid w:val="006D65D2"/>
    <w:rsid w:val="006F3C71"/>
    <w:rsid w:val="006F5FBA"/>
    <w:rsid w:val="00703879"/>
    <w:rsid w:val="00723B1F"/>
    <w:rsid w:val="00735819"/>
    <w:rsid w:val="00737694"/>
    <w:rsid w:val="00742D2F"/>
    <w:rsid w:val="00745DF4"/>
    <w:rsid w:val="007550F2"/>
    <w:rsid w:val="00790192"/>
    <w:rsid w:val="0079407E"/>
    <w:rsid w:val="007B0F09"/>
    <w:rsid w:val="007B2319"/>
    <w:rsid w:val="007B5846"/>
    <w:rsid w:val="007B5C67"/>
    <w:rsid w:val="007C719E"/>
    <w:rsid w:val="007D5A32"/>
    <w:rsid w:val="007E12A9"/>
    <w:rsid w:val="007E4679"/>
    <w:rsid w:val="00820F76"/>
    <w:rsid w:val="00821371"/>
    <w:rsid w:val="00832069"/>
    <w:rsid w:val="00844ABD"/>
    <w:rsid w:val="0085479C"/>
    <w:rsid w:val="00865B30"/>
    <w:rsid w:val="00867893"/>
    <w:rsid w:val="008733EA"/>
    <w:rsid w:val="00874219"/>
    <w:rsid w:val="00876AB6"/>
    <w:rsid w:val="008843FB"/>
    <w:rsid w:val="008902DC"/>
    <w:rsid w:val="008A7DBB"/>
    <w:rsid w:val="008B31EE"/>
    <w:rsid w:val="008B4FB6"/>
    <w:rsid w:val="008C2433"/>
    <w:rsid w:val="008D2D55"/>
    <w:rsid w:val="008D5688"/>
    <w:rsid w:val="008E5F9A"/>
    <w:rsid w:val="008F1544"/>
    <w:rsid w:val="00906C23"/>
    <w:rsid w:val="00916532"/>
    <w:rsid w:val="009206ED"/>
    <w:rsid w:val="00923C7E"/>
    <w:rsid w:val="00936704"/>
    <w:rsid w:val="00941CEB"/>
    <w:rsid w:val="00945B37"/>
    <w:rsid w:val="009548E4"/>
    <w:rsid w:val="009606BC"/>
    <w:rsid w:val="009622D2"/>
    <w:rsid w:val="00964CEA"/>
    <w:rsid w:val="00967E57"/>
    <w:rsid w:val="00970E44"/>
    <w:rsid w:val="00974742"/>
    <w:rsid w:val="00977EF1"/>
    <w:rsid w:val="00985FC2"/>
    <w:rsid w:val="00994E59"/>
    <w:rsid w:val="009A19FA"/>
    <w:rsid w:val="009A635D"/>
    <w:rsid w:val="009A6925"/>
    <w:rsid w:val="009B035D"/>
    <w:rsid w:val="009B38B3"/>
    <w:rsid w:val="009B5A7A"/>
    <w:rsid w:val="009B75DB"/>
    <w:rsid w:val="009C0273"/>
    <w:rsid w:val="009C3D80"/>
    <w:rsid w:val="009C7584"/>
    <w:rsid w:val="009C77D4"/>
    <w:rsid w:val="009D75D8"/>
    <w:rsid w:val="009E759F"/>
    <w:rsid w:val="00A04519"/>
    <w:rsid w:val="00A10022"/>
    <w:rsid w:val="00A148CE"/>
    <w:rsid w:val="00A24465"/>
    <w:rsid w:val="00A40610"/>
    <w:rsid w:val="00A4220E"/>
    <w:rsid w:val="00A44A63"/>
    <w:rsid w:val="00A625F7"/>
    <w:rsid w:val="00A64A5B"/>
    <w:rsid w:val="00A73E47"/>
    <w:rsid w:val="00AA5A63"/>
    <w:rsid w:val="00AC50D8"/>
    <w:rsid w:val="00AD29A3"/>
    <w:rsid w:val="00AE4A31"/>
    <w:rsid w:val="00AF1CE1"/>
    <w:rsid w:val="00AF3C2A"/>
    <w:rsid w:val="00B14C37"/>
    <w:rsid w:val="00B35205"/>
    <w:rsid w:val="00B430EE"/>
    <w:rsid w:val="00B53F63"/>
    <w:rsid w:val="00B54440"/>
    <w:rsid w:val="00B554E7"/>
    <w:rsid w:val="00B60843"/>
    <w:rsid w:val="00B613BB"/>
    <w:rsid w:val="00B61E3B"/>
    <w:rsid w:val="00B9025C"/>
    <w:rsid w:val="00BA1DC6"/>
    <w:rsid w:val="00BA4686"/>
    <w:rsid w:val="00BA7AF2"/>
    <w:rsid w:val="00BB038D"/>
    <w:rsid w:val="00BD49FB"/>
    <w:rsid w:val="00BD7232"/>
    <w:rsid w:val="00BE1921"/>
    <w:rsid w:val="00BE3AA2"/>
    <w:rsid w:val="00C019D8"/>
    <w:rsid w:val="00C035B5"/>
    <w:rsid w:val="00C03BFF"/>
    <w:rsid w:val="00C35176"/>
    <w:rsid w:val="00C4469C"/>
    <w:rsid w:val="00C46CBE"/>
    <w:rsid w:val="00C53205"/>
    <w:rsid w:val="00C53790"/>
    <w:rsid w:val="00C55D10"/>
    <w:rsid w:val="00C66E1E"/>
    <w:rsid w:val="00C676BA"/>
    <w:rsid w:val="00C81AB4"/>
    <w:rsid w:val="00C857BF"/>
    <w:rsid w:val="00C872BA"/>
    <w:rsid w:val="00C97CD5"/>
    <w:rsid w:val="00CA48A5"/>
    <w:rsid w:val="00CB5A61"/>
    <w:rsid w:val="00D2102C"/>
    <w:rsid w:val="00D23E6F"/>
    <w:rsid w:val="00D2428C"/>
    <w:rsid w:val="00D268B8"/>
    <w:rsid w:val="00D31624"/>
    <w:rsid w:val="00D36D52"/>
    <w:rsid w:val="00D56DEA"/>
    <w:rsid w:val="00D63CE3"/>
    <w:rsid w:val="00D710EA"/>
    <w:rsid w:val="00D81172"/>
    <w:rsid w:val="00D92ED7"/>
    <w:rsid w:val="00DA0D64"/>
    <w:rsid w:val="00DA5179"/>
    <w:rsid w:val="00DB059A"/>
    <w:rsid w:val="00DC2A3E"/>
    <w:rsid w:val="00DC2C74"/>
    <w:rsid w:val="00DC7C62"/>
    <w:rsid w:val="00DE4C02"/>
    <w:rsid w:val="00DF4B52"/>
    <w:rsid w:val="00E04A37"/>
    <w:rsid w:val="00E06CBF"/>
    <w:rsid w:val="00E11567"/>
    <w:rsid w:val="00E2321D"/>
    <w:rsid w:val="00E30C8F"/>
    <w:rsid w:val="00E3310A"/>
    <w:rsid w:val="00E33B9E"/>
    <w:rsid w:val="00E33C1C"/>
    <w:rsid w:val="00E67206"/>
    <w:rsid w:val="00E737BC"/>
    <w:rsid w:val="00E83F69"/>
    <w:rsid w:val="00E84BB5"/>
    <w:rsid w:val="00E85E7E"/>
    <w:rsid w:val="00E9406E"/>
    <w:rsid w:val="00E95973"/>
    <w:rsid w:val="00EA31FE"/>
    <w:rsid w:val="00EA320E"/>
    <w:rsid w:val="00EA340A"/>
    <w:rsid w:val="00EB0368"/>
    <w:rsid w:val="00EB1B4B"/>
    <w:rsid w:val="00EC2D26"/>
    <w:rsid w:val="00ED2437"/>
    <w:rsid w:val="00EE02A8"/>
    <w:rsid w:val="00EE3803"/>
    <w:rsid w:val="00F0149B"/>
    <w:rsid w:val="00F030C2"/>
    <w:rsid w:val="00F07716"/>
    <w:rsid w:val="00F1721B"/>
    <w:rsid w:val="00F172D8"/>
    <w:rsid w:val="00F23FCB"/>
    <w:rsid w:val="00F66190"/>
    <w:rsid w:val="00F81C66"/>
    <w:rsid w:val="00F823F4"/>
    <w:rsid w:val="00F8646A"/>
    <w:rsid w:val="00F876DE"/>
    <w:rsid w:val="00F9131A"/>
    <w:rsid w:val="00F915AB"/>
    <w:rsid w:val="00F97E22"/>
    <w:rsid w:val="00FA1749"/>
    <w:rsid w:val="00FA4236"/>
    <w:rsid w:val="00FA5070"/>
    <w:rsid w:val="00FB2DCF"/>
    <w:rsid w:val="00FB7688"/>
    <w:rsid w:val="00FC4A83"/>
    <w:rsid w:val="00FD2343"/>
    <w:rsid w:val="00FE2A00"/>
    <w:rsid w:val="00FF1750"/>
    <w:rsid w:val="1BEC742C"/>
    <w:rsid w:val="2A7C013C"/>
    <w:rsid w:val="2DD131C6"/>
    <w:rsid w:val="2E9278E2"/>
    <w:rsid w:val="3F7B1C31"/>
    <w:rsid w:val="411E5593"/>
    <w:rsid w:val="4BAD18DA"/>
    <w:rsid w:val="4EFC0DA6"/>
    <w:rsid w:val="57CC0FC7"/>
    <w:rsid w:val="65225B79"/>
    <w:rsid w:val="6A923527"/>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uiPriority w:val="0"/>
    <w:rPr>
      <w:rFonts w:hAnsi="Courier New" w:cs="Courier New" w:asciiTheme="minorEastAsia"/>
    </w:rPr>
  </w:style>
  <w:style w:type="paragraph" w:styleId="16">
    <w:name w:val="Balloon Text"/>
    <w:basedOn w:val="1"/>
    <w:link w:val="64"/>
    <w:semiHidden/>
    <w:unhideWhenUsed/>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unhideWhenUsed/>
    <w:qFormat/>
    <w:uiPriority w:val="99"/>
    <w:rPr>
      <w:color w:val="F49100"/>
      <w:u w:val="single"/>
    </w:rPr>
  </w:style>
  <w:style w:type="character" w:customStyle="1" w:styleId="30">
    <w:name w:val="标题 1 字符"/>
    <w:basedOn w:val="26"/>
    <w:link w:val="2"/>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uiPriority w:val="99"/>
    <w:rPr>
      <w:sz w:val="18"/>
      <w:szCs w:val="18"/>
    </w:rPr>
  </w:style>
  <w:style w:type="character" w:customStyle="1" w:styleId="55">
    <w:name w:val="页脚 字符"/>
    <w:basedOn w:val="26"/>
    <w:link w:val="17"/>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uiPriority w:val="99"/>
  </w:style>
  <w:style w:type="character" w:customStyle="1" w:styleId="61">
    <w:name w:val="纯文本 Char"/>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微软雅黑" w:hAnsi="微软雅黑" w:eastAsia="微软雅黑" w:cs="微软雅黑"/>
      <w:color w:val="000000"/>
      <w:sz w:val="16"/>
      <w:szCs w:val="16"/>
      <w:u w:val="none"/>
    </w:rPr>
  </w:style>
  <w:style w:type="character" w:customStyle="1" w:styleId="63">
    <w:name w:val="font01"/>
    <w:basedOn w:val="26"/>
    <w:qFormat/>
    <w:uiPriority w:val="0"/>
    <w:rPr>
      <w:rFonts w:hint="eastAsia" w:ascii="微软雅黑" w:hAnsi="微软雅黑" w:eastAsia="微软雅黑" w:cs="微软雅黑"/>
      <w:color w:val="FF0000"/>
      <w:sz w:val="16"/>
      <w:szCs w:val="16"/>
      <w:u w:val="none"/>
    </w:rPr>
  </w:style>
  <w:style w:type="character" w:customStyle="1" w:styleId="64">
    <w:name w:val="批注框文本 字符"/>
    <w:basedOn w:val="26"/>
    <w:link w:val="16"/>
    <w:semiHidden/>
    <w:uiPriority w:val="99"/>
    <w:rPr>
      <w:sz w:val="18"/>
      <w:szCs w:val="18"/>
    </w:rPr>
  </w:style>
  <w:style w:type="paragraph" w:customStyle="1" w:styleId="65">
    <w:name w:val="中等深浅网格 1 - 强调文字颜色 21"/>
    <w:basedOn w:val="1"/>
    <w:uiPriority w:val="0"/>
    <w:pPr>
      <w:widowControl w:val="0"/>
      <w:spacing w:after="0" w:line="240" w:lineRule="auto"/>
      <w:ind w:firstLine="420" w:firstLineChars="200"/>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89A1F-9FCC-4ED2-AC30-C834AF3BBE85}">
  <ds:schemaRefs/>
</ds:datastoreItem>
</file>

<file path=docProps/app.xml><?xml version="1.0" encoding="utf-8"?>
<Properties xmlns="http://schemas.openxmlformats.org/officeDocument/2006/extended-properties" xmlns:vt="http://schemas.openxmlformats.org/officeDocument/2006/docPropsVTypes">
  <Template>Normal</Template>
  <Pages>11</Pages>
  <Words>507</Words>
  <Characters>2893</Characters>
  <Lines>24</Lines>
  <Paragraphs>6</Paragraphs>
  <TotalTime>209</TotalTime>
  <ScaleCrop>false</ScaleCrop>
  <LinksUpToDate>false</LinksUpToDate>
  <CharactersWithSpaces>3394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 </cp:lastModifiedBy>
  <dcterms:modified xsi:type="dcterms:W3CDTF">2021-12-15T09:27:12Z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3F4DA1E702AD4742B41151F442FF59BD</vt:lpwstr>
  </property>
</Properties>
</file>