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仿宋" w:hAnsi="仿宋" w:eastAsia="仿宋"/>
          <w:b/>
          <w:color w:val="000000" w:themeColor="text1"/>
          <w:sz w:val="44"/>
          <w:szCs w:val="44"/>
          <w14:textFill>
            <w14:solidFill>
              <w14:schemeClr w14:val="tx1"/>
            </w14:solidFill>
          </w14:textFill>
        </w:rPr>
      </w:pPr>
      <w:bookmarkStart w:id="0" w:name="_Hlk38472698"/>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-5715</wp:posOffset>
            </wp:positionH>
            <wp:positionV relativeFrom="paragraph">
              <wp:posOffset>200025</wp:posOffset>
            </wp:positionV>
            <wp:extent cx="5743575" cy="128016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bookmarkStart w:id="1" w:name="_Hlk46844340"/>
      <w:r>
        <w:rPr>
          <w:rFonts w:hint="eastAsia" w:ascii="仿宋" w:hAnsi="仿宋" w:eastAsia="仿宋"/>
          <w:b/>
          <w:color w:val="000000" w:themeColor="text1"/>
          <w:sz w:val="44"/>
          <w:szCs w:val="44"/>
          <w14:textFill>
            <w14:solidFill>
              <w14:schemeClr w14:val="tx1"/>
            </w14:solidFill>
          </w14:textFill>
        </w:rPr>
        <w:t>重庆外语外事学院渝北校区校园围墙整修项目</w:t>
      </w:r>
      <w:bookmarkEnd w:id="1"/>
    </w:p>
    <w:bookmarkEnd w:id="0"/>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bookmarkStart w:id="331" w:name="_GoBack"/>
      <w:bookmarkEnd w:id="331"/>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after="0" w:line="1000" w:lineRule="exact"/>
        <w:jc w:val="left"/>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项目编号：</w:t>
      </w:r>
      <w:bookmarkStart w:id="2" w:name="_Toc169332792"/>
      <w:bookmarkStart w:id="3" w:name="_Toc160880485"/>
      <w:bookmarkStart w:id="4" w:name="_Toc160880118"/>
      <w:r>
        <w:rPr>
          <w:rFonts w:ascii="仿宋" w:hAnsi="仿宋" w:eastAsia="仿宋"/>
          <w:b/>
          <w:color w:val="000000" w:themeColor="text1"/>
          <w:sz w:val="36"/>
          <w:szCs w:val="36"/>
          <w14:textFill>
            <w14:solidFill>
              <w14:schemeClr w14:val="tx1"/>
            </w14:solidFill>
          </w14:textFill>
        </w:rPr>
        <w:t>ZWC-2021064</w:t>
      </w:r>
    </w:p>
    <w:p>
      <w:pPr>
        <w:spacing w:after="0" w:line="500" w:lineRule="exact"/>
        <w:ind w:left="1807" w:hanging="1807" w:hangingChars="500"/>
        <w:jc w:val="left"/>
        <w:rPr>
          <w:rFonts w:ascii="仿宋" w:hAnsi="仿宋" w:eastAsia="仿宋"/>
          <w:b/>
          <w:color w:val="000000" w:themeColor="text1"/>
          <w:sz w:val="36"/>
          <w:szCs w:val="36"/>
          <w14:textFill>
            <w14:solidFill>
              <w14:schemeClr w14:val="tx1"/>
            </w14:solidFill>
          </w14:textFill>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r>
        <w:rPr>
          <w:rFonts w:hint="eastAsia" w:ascii="仿宋" w:hAnsi="仿宋" w:eastAsia="仿宋"/>
          <w:b/>
          <w:color w:val="000000" w:themeColor="text1"/>
          <w:sz w:val="36"/>
          <w:szCs w:val="36"/>
          <w14:textFill>
            <w14:solidFill>
              <w14:schemeClr w14:val="tx1"/>
            </w14:solidFill>
          </w14:textFill>
        </w:rPr>
        <w:t>项目名称</w:t>
      </w:r>
      <w:bookmarkEnd w:id="2"/>
      <w:bookmarkEnd w:id="3"/>
      <w:bookmarkEnd w:id="4"/>
      <w:r>
        <w:rPr>
          <w:rFonts w:hint="eastAsia" w:ascii="仿宋" w:hAnsi="仿宋" w:eastAsia="仿宋"/>
          <w:b/>
          <w:color w:val="000000" w:themeColor="text1"/>
          <w:sz w:val="36"/>
          <w:szCs w:val="36"/>
          <w14:textFill>
            <w14:solidFill>
              <w14:schemeClr w14:val="tx1"/>
            </w14:solidFill>
          </w14:textFill>
        </w:rPr>
        <w:t>：</w:t>
      </w:r>
      <w:bookmarkStart w:id="5" w:name="_Toc258401210"/>
      <w:bookmarkStart w:id="6" w:name="_Toc267059786"/>
      <w:bookmarkStart w:id="7" w:name="_Toc169332904"/>
      <w:bookmarkStart w:id="8" w:name="_Toc251586187"/>
      <w:bookmarkStart w:id="9" w:name="_Toc267059010"/>
      <w:bookmarkStart w:id="10" w:name="_Toc207014580"/>
      <w:bookmarkStart w:id="11" w:name="_Toc266870861"/>
      <w:bookmarkStart w:id="12" w:name="_Toc212456146"/>
      <w:bookmarkStart w:id="13" w:name="_Toc251613780"/>
      <w:bookmarkStart w:id="14" w:name="_Toc266870386"/>
      <w:bookmarkStart w:id="15" w:name="_Toc254790852"/>
      <w:bookmarkStart w:id="16" w:name="_Toc267059899"/>
      <w:bookmarkStart w:id="17" w:name="_Toc211937196"/>
      <w:bookmarkStart w:id="18" w:name="_Toc235438227"/>
      <w:bookmarkStart w:id="19" w:name="_Toc267060162"/>
      <w:bookmarkStart w:id="20" w:name="_Toc267059519"/>
      <w:bookmarkStart w:id="21" w:name="_Toc253066567"/>
      <w:bookmarkStart w:id="22" w:name="_Toc267060407"/>
      <w:bookmarkStart w:id="23" w:name="_Toc212454753"/>
      <w:bookmarkStart w:id="24" w:name="_Toc255974963"/>
      <w:bookmarkStart w:id="25" w:name="_Toc223146565"/>
      <w:bookmarkStart w:id="26" w:name="_Toc212530253"/>
      <w:bookmarkStart w:id="27" w:name="_Toc259692600"/>
      <w:bookmarkStart w:id="28" w:name="_Toc227058483"/>
      <w:bookmarkStart w:id="29" w:name="_Toc212526081"/>
      <w:bookmarkStart w:id="30" w:name="_Toc249325665"/>
      <w:bookmarkStart w:id="31" w:name="_Toc219800200"/>
      <w:bookmarkStart w:id="32" w:name="_Toc235438297"/>
      <w:bookmarkStart w:id="33" w:name="_Toc217891359"/>
      <w:bookmarkStart w:id="34" w:name="_Toc267059161"/>
      <w:bookmarkStart w:id="35" w:name="_Toc236021402"/>
      <w:bookmarkStart w:id="36" w:name="_Toc266868924"/>
      <w:bookmarkStart w:id="37" w:name="_Toc259520819"/>
      <w:bookmarkStart w:id="38" w:name="_Toc216241307"/>
      <w:bookmarkStart w:id="39" w:name="_Toc266868624"/>
      <w:bookmarkStart w:id="40" w:name="_Toc267060022"/>
      <w:bookmarkStart w:id="41" w:name="_Toc160880487"/>
      <w:bookmarkStart w:id="42" w:name="_Toc177985424"/>
      <w:bookmarkStart w:id="43" w:name="_Toc225669277"/>
      <w:bookmarkStart w:id="44" w:name="_Toc259692693"/>
      <w:bookmarkStart w:id="45" w:name="_Toc235437942"/>
      <w:bookmarkStart w:id="46" w:name="_Toc169332794"/>
      <w:bookmarkStart w:id="47" w:name="_Toc273178686"/>
      <w:bookmarkStart w:id="48" w:name="_Toc267059633"/>
      <w:bookmarkStart w:id="49" w:name="_Toc170798743"/>
      <w:r>
        <w:rPr>
          <w:rFonts w:hint="eastAsia" w:ascii="仿宋" w:hAnsi="仿宋" w:eastAsia="仿宋"/>
          <w:b/>
          <w:color w:val="000000" w:themeColor="text1"/>
          <w:sz w:val="36"/>
          <w:szCs w:val="36"/>
          <w14:textFill>
            <w14:solidFill>
              <w14:schemeClr w14:val="tx1"/>
            </w14:solidFill>
          </w14:textFill>
        </w:rPr>
        <w:t>渝北校区校园围墙整修项目</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500" w:lineRule="exact"/>
        <w:ind w:firstLine="2849" w:firstLineChars="645"/>
        <w:rPr>
          <w:rFonts w:ascii="仿宋" w:hAnsi="仿宋" w:eastAsia="仿宋"/>
          <w:b/>
          <w:color w:val="000000" w:themeColor="text1"/>
          <w:sz w:val="44"/>
          <w:szCs w:val="44"/>
          <w14:textFill>
            <w14:solidFill>
              <w14:schemeClr w14:val="tx1"/>
            </w14:solidFill>
          </w14:textFill>
        </w:rPr>
      </w:pPr>
      <w:bookmarkStart w:id="50" w:name="_Hlk67754059"/>
      <w:r>
        <w:rPr>
          <w:rFonts w:hint="eastAsia" w:ascii="仿宋" w:hAnsi="仿宋" w:eastAsia="仿宋"/>
          <w:b/>
          <w:color w:val="000000" w:themeColor="text1"/>
          <w:sz w:val="44"/>
          <w:szCs w:val="44"/>
          <w14:textFill>
            <w14:solidFill>
              <w14:schemeClr w14:val="tx1"/>
            </w14:solidFill>
          </w14:textFill>
        </w:rPr>
        <w:t>一、询价邀请函</w:t>
      </w:r>
    </w:p>
    <w:bookmarkEnd w:id="50"/>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bookmarkStart w:id="51" w:name="_Hlk10840310"/>
      <w:r>
        <w:rPr>
          <w:rFonts w:hint="eastAsia" w:ascii="仿宋" w:hAnsi="仿宋" w:eastAsia="仿宋"/>
          <w:color w:val="000000" w:themeColor="text1"/>
          <w:sz w:val="28"/>
          <w:szCs w:val="28"/>
          <w14:textFill>
            <w14:solidFill>
              <w14:schemeClr w14:val="tx1"/>
            </w14:solidFill>
          </w14:textFill>
        </w:rPr>
        <w:t>重庆外语外事学院始建于2001年，是纳入国家普通高等教育招生计划、具有学士学位授予权的全日制普通本科高等学校。学校占地面积1572亩，学生规模约1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8万人。根据需要，对重庆外语外事学院渝北校区校园围墙维修工程采购项目进行公开询价，欢迎国内合格参与人参与。</w:t>
      </w:r>
    </w:p>
    <w:p>
      <w:pPr>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项目编号：</w:t>
      </w:r>
      <w:r>
        <w:rPr>
          <w:rFonts w:ascii="仿宋" w:hAnsi="仿宋" w:eastAsia="仿宋"/>
          <w:color w:val="000000" w:themeColor="text1"/>
          <w:sz w:val="28"/>
          <w:szCs w:val="28"/>
          <w14:textFill>
            <w14:solidFill>
              <w14:schemeClr w14:val="tx1"/>
            </w14:solidFill>
          </w14:textFill>
        </w:rPr>
        <w:t>ZWC-2021064</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项目名称：渝北校区校园围墙整修项目</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数量及主要技术要求:详见《公开询价一览表》</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000000" w:themeColor="text1"/>
          <w:sz w:val="28"/>
          <w:szCs w:val="28"/>
          <w14:textFill>
            <w14:solidFill>
              <w14:schemeClr w14:val="tx1"/>
            </w14:solidFill>
          </w14:textFill>
        </w:rPr>
        <w:t xml:space="preserve"> </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（1）参与人应具有独立法人资格，具有相关工程施工、维修经营范围。</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（2）参与人应在重庆市范围有固定售后服务机构，具备相应的服务能力。</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4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widowControl w:val="0"/>
        <w:tabs>
          <w:tab w:val="left" w:pos="839"/>
          <w:tab w:val="left" w:pos="1469"/>
        </w:tabs>
        <w:spacing w:after="0" w:line="4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（6）参与人有依法缴纳税金的良好记录。</w:t>
      </w:r>
    </w:p>
    <w:p>
      <w:pPr>
        <w:pStyle w:val="60"/>
        <w:spacing w:after="0" w:line="440" w:lineRule="exact"/>
        <w:ind w:left="709" w:hanging="709"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（7）参与人应提供下列资格证明文件，否则其响应文件将被拒绝：</w:t>
      </w:r>
    </w:p>
    <w:p>
      <w:pPr>
        <w:spacing w:after="0" w:line="440" w:lineRule="exact"/>
        <w:ind w:left="708" w:leftChars="322" w:firstLine="1"/>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）营业执照副本、税务登记证副本、组织机构代码证副本</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三证合一的只需提供带有社会信用代码的营业执照</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spacing w:after="0" w:line="440" w:lineRule="exact"/>
        <w:ind w:left="708" w:leftChars="32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2）授权代理商需提供厂家授权证明；</w:t>
      </w:r>
    </w:p>
    <w:p>
      <w:pPr>
        <w:spacing w:after="0" w:line="440" w:lineRule="exact"/>
        <w:ind w:left="708" w:leftChars="322" w:firstLine="44" w:firstLineChars="16"/>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）法人授权委托书、授权代表身份证明（身份证）或法人身份证明（身份证）；</w:t>
      </w:r>
    </w:p>
    <w:p>
      <w:pPr>
        <w:spacing w:after="0" w:line="440" w:lineRule="exact"/>
        <w:ind w:left="708" w:leftChars="32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2018</w:t>
      </w:r>
      <w:r>
        <w:rPr>
          <w:rFonts w:hint="eastAsia" w:ascii="仿宋" w:hAnsi="仿宋" w:eastAsia="仿宋"/>
          <w:color w:val="000000" w:themeColor="text1"/>
          <w:sz w:val="28"/>
          <w:szCs w:val="28"/>
          <w14:textFill>
            <w14:solidFill>
              <w14:schemeClr w14:val="tx1"/>
            </w14:solidFill>
          </w14:textFill>
        </w:rPr>
        <w:t>年-</w:t>
      </w:r>
      <w:r>
        <w:rPr>
          <w:rFonts w:ascii="仿宋" w:hAnsi="仿宋" w:eastAsia="仿宋"/>
          <w:color w:val="000000" w:themeColor="text1"/>
          <w:sz w:val="28"/>
          <w:szCs w:val="28"/>
          <w14:textFill>
            <w14:solidFill>
              <w14:schemeClr w14:val="tx1"/>
            </w14:solidFill>
          </w14:textFill>
        </w:rPr>
        <w:t>202</w:t>
      </w:r>
      <w:r>
        <w:rPr>
          <w:rFonts w:hint="eastAsia" w:ascii="仿宋" w:hAnsi="仿宋" w:eastAsia="仿宋"/>
          <w:color w:val="000000" w:themeColor="text1"/>
          <w:sz w:val="28"/>
          <w:szCs w:val="28"/>
          <w14:textFill>
            <w14:solidFill>
              <w14:schemeClr w14:val="tx1"/>
            </w14:solidFill>
          </w14:textFill>
        </w:rPr>
        <w:t>1年以来施工、维修工程合同及发票复印件3份以上（含3份）。</w:t>
      </w:r>
    </w:p>
    <w:p>
      <w:pPr>
        <w:spacing w:after="0" w:line="4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注：</w:t>
      </w:r>
      <w:r>
        <w:rPr>
          <w:rFonts w:hint="eastAsia" w:ascii="仿宋" w:hAnsi="仿宋" w:eastAsia="仿宋"/>
          <w:color w:val="000000" w:themeColor="text1"/>
          <w:sz w:val="28"/>
          <w:szCs w:val="28"/>
          <w14:textFill>
            <w14:solidFill>
              <w14:schemeClr w14:val="tx1"/>
            </w14:solidFill>
          </w14:textFill>
        </w:rPr>
        <w:t>参与人提交的以上要求的文件或证明的复印件应是最新（有效）、清晰，注明“与原件一致”并加盖参与人公章，并有原件备查。</w:t>
      </w:r>
    </w:p>
    <w:p>
      <w:pPr>
        <w:widowControl w:val="0"/>
        <w:tabs>
          <w:tab w:val="left" w:pos="839"/>
          <w:tab w:val="left" w:pos="1469"/>
        </w:tabs>
        <w:spacing w:after="0" w:line="44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报价响应文件递交方式：</w:t>
      </w:r>
      <w:bookmarkStart w:id="52" w:name="_Hlk67753571"/>
      <w:r>
        <w:rPr>
          <w:rFonts w:hint="eastAsia" w:ascii="仿宋" w:hAnsi="仿宋" w:eastAsia="仿宋"/>
          <w:b/>
          <w:bCs/>
          <w:color w:val="000000" w:themeColor="text1"/>
          <w:sz w:val="28"/>
          <w:szCs w:val="28"/>
          <w14:textFill>
            <w14:solidFill>
              <w14:schemeClr w14:val="tx1"/>
            </w14:solidFill>
          </w14:textFill>
        </w:rPr>
        <w:t>密封报价并使用现场报送或邮寄报送</w:t>
      </w:r>
      <w:r>
        <w:rPr>
          <w:rFonts w:hint="eastAsia" w:ascii="仿宋" w:hAnsi="仿宋" w:eastAsia="仿宋"/>
          <w:color w:val="000000" w:themeColor="text1"/>
          <w:sz w:val="28"/>
          <w:szCs w:val="28"/>
          <w14:textFill>
            <w14:solidFill>
              <w14:schemeClr w14:val="tx1"/>
            </w14:solidFill>
          </w14:textFill>
        </w:rPr>
        <w:t>。</w:t>
      </w:r>
    </w:p>
    <w:p>
      <w:pPr>
        <w:widowControl w:val="0"/>
        <w:tabs>
          <w:tab w:val="left" w:pos="839"/>
          <w:tab w:val="left" w:pos="1469"/>
        </w:tabs>
        <w:spacing w:after="0" w:line="44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：2022年1</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19</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上午11:3</w:t>
      </w:r>
      <w:r>
        <w:rPr>
          <w:rFonts w:ascii="仿宋" w:hAnsi="仿宋" w:eastAsia="仿宋"/>
          <w:color w:val="000000" w:themeColor="text1"/>
          <w:sz w:val="28"/>
          <w:szCs w:val="28"/>
          <w:shd w:val="clear" w:color="auto" w:fill="FFFFFF"/>
          <w14:textFill>
            <w14:solidFill>
              <w14:schemeClr w14:val="tx1"/>
            </w14:solidFill>
          </w14:textFill>
        </w:rPr>
        <w:t>0</w:t>
      </w:r>
      <w:r>
        <w:rPr>
          <w:rFonts w:hint="eastAsia" w:ascii="仿宋" w:hAnsi="仿宋" w:eastAsia="仿宋"/>
          <w:color w:val="000000" w:themeColor="text1"/>
          <w:sz w:val="28"/>
          <w:szCs w:val="28"/>
          <w:shd w:val="clear" w:color="auto" w:fill="FFFFFF"/>
          <w14:textFill>
            <w14:solidFill>
              <w14:schemeClr w14:val="tx1"/>
            </w14:solidFill>
          </w14:textFill>
        </w:rPr>
        <w:t>前（以参与人快递寄出时间为准）。</w:t>
      </w:r>
    </w:p>
    <w:p>
      <w:pPr>
        <w:spacing w:after="0" w:line="44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报价响应文件递交地点：重庆市渝北区回兴龙石路18号办公楼五楼510室。</w:t>
      </w:r>
    </w:p>
    <w:bookmarkEnd w:id="52"/>
    <w:p>
      <w:pPr>
        <w:spacing w:after="0" w:line="440" w:lineRule="exact"/>
        <w:ind w:left="839"/>
        <w:rPr>
          <w:rFonts w:ascii="仿宋" w:hAnsi="仿宋" w:eastAsia="仿宋"/>
          <w:b/>
          <w:bCs/>
          <w:color w:val="000000" w:themeColor="text1"/>
          <w:sz w:val="28"/>
          <w:szCs w:val="28"/>
          <w14:textFill>
            <w14:solidFill>
              <w14:schemeClr w14:val="tx1"/>
            </w14:solidFill>
          </w14:textFill>
        </w:rPr>
      </w:pPr>
      <w:bookmarkStart w:id="53" w:name="_Hlk67753493"/>
      <w:r>
        <w:rPr>
          <w:rFonts w:hint="eastAsia" w:ascii="仿宋" w:hAnsi="仿宋" w:eastAsia="仿宋"/>
          <w:b/>
          <w:bCs/>
          <w:color w:val="000000" w:themeColor="text1"/>
          <w:sz w:val="28"/>
          <w:szCs w:val="28"/>
          <w14:textFill>
            <w14:solidFill>
              <w14:schemeClr w14:val="tx1"/>
            </w14:solidFill>
          </w14:textFill>
        </w:rPr>
        <w:t xml:space="preserve">联系人：马跃 </w:t>
      </w:r>
      <w:r>
        <w:rPr>
          <w:rFonts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联系电话：15170245690</w:t>
      </w:r>
    </w:p>
    <w:p>
      <w:pPr>
        <w:spacing w:after="0" w:line="440" w:lineRule="exact"/>
        <w:ind w:left="839"/>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项目答疑人：蔡妙</w:t>
      </w:r>
      <w:r>
        <w:rPr>
          <w:rFonts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 xml:space="preserve"> 联系电话：13389623761</w:t>
      </w:r>
    </w:p>
    <w:p>
      <w:pPr>
        <w:spacing w:after="0" w:line="440" w:lineRule="exact"/>
        <w:ind w:left="839"/>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注：响应文件按以上地址送达</w:t>
      </w:r>
    </w:p>
    <w:bookmarkEnd w:id="53"/>
    <w:p>
      <w:pPr>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1.所有货物及施工改造服务等均以人民币报价；</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三、质保和后期服务要求</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1.免费保修期，壹年；</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2.应急保修时间安排，报修后2天内完成；</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3.请提供报修联系电话及联系人员；</w:t>
      </w:r>
    </w:p>
    <w:p>
      <w:pPr>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widowControl w:val="0"/>
        <w:spacing w:after="0" w:line="44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所投材料及设备符合采购需求、质量和服务要求,经过磋商所报价格为合理价格的参与人为成交参与人，最低报价不作为成交的保证。</w:t>
      </w:r>
    </w:p>
    <w:p>
      <w:pPr>
        <w:spacing w:after="0" w:line="44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本项目监督投诉部门：中教集团内控部；投诉电话： 0791-88102608；</w:t>
      </w:r>
    </w:p>
    <w:p>
      <w:pPr>
        <w:spacing w:after="0" w:line="44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投诉邮箱：Neikongbu@educationgroup.cn</w:t>
      </w:r>
    </w:p>
    <w:p>
      <w:pPr>
        <w:spacing w:after="0" w:line="44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本项目最终成交结果会在中教集团后勤贤知平台“中标信息公示”板块公示，网址：www.ceghqxz.com</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p>
    <w:p>
      <w:pPr>
        <w:widowControl w:val="0"/>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sectPr>
          <w:headerReference r:id="rId7"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000000" w:themeColor="text1"/>
          <w:sz w:val="44"/>
          <w:szCs w:val="44"/>
          <w14:textFill>
            <w14:solidFill>
              <w14:schemeClr w14:val="tx1"/>
            </w14:solidFill>
          </w14:textFill>
        </w:rPr>
      </w:pPr>
      <w:bookmarkStart w:id="54" w:name="_Hlk61444720"/>
      <w:r>
        <w:rPr>
          <w:rFonts w:hint="eastAsia" w:ascii="仿宋" w:hAnsi="仿宋" w:eastAsia="仿宋"/>
          <w:b/>
          <w:color w:val="000000" w:themeColor="text1"/>
          <w:sz w:val="44"/>
          <w:szCs w:val="44"/>
          <w14:textFill>
            <w14:solidFill>
              <w14:schemeClr w14:val="tx1"/>
            </w14:solidFill>
          </w14:textFill>
        </w:rPr>
        <w:t>二、公开询价</w:t>
      </w:r>
      <w:bookmarkEnd w:id="51"/>
      <w:r>
        <w:rPr>
          <w:rFonts w:hint="eastAsia" w:ascii="仿宋" w:hAnsi="仿宋" w:eastAsia="仿宋"/>
          <w:b/>
          <w:color w:val="000000" w:themeColor="text1"/>
          <w:sz w:val="44"/>
          <w:szCs w:val="44"/>
          <w14:textFill>
            <w14:solidFill>
              <w14:schemeClr w14:val="tx1"/>
            </w14:solidFill>
          </w14:textFill>
        </w:rPr>
        <w:t>项目介绍</w:t>
      </w:r>
    </w:p>
    <w:bookmarkEnd w:id="54"/>
    <w:p>
      <w:pPr>
        <w:spacing w:after="0" w:line="500" w:lineRule="exact"/>
        <w:ind w:left="1968" w:hanging="1968" w:hangingChars="700"/>
        <w:rPr>
          <w:rFonts w:ascii="仿宋" w:hAnsi="仿宋" w:eastAsia="仿宋"/>
          <w:bCs/>
          <w:color w:val="000000" w:themeColor="text1"/>
          <w:sz w:val="28"/>
          <w:szCs w:val="28"/>
          <w14:textFill>
            <w14:solidFill>
              <w14:schemeClr w14:val="tx1"/>
            </w14:solidFill>
          </w14:textFill>
        </w:rPr>
      </w:pPr>
      <w:bookmarkStart w:id="55" w:name="_Hlk46845989"/>
      <w:r>
        <w:rPr>
          <w:rFonts w:hint="eastAsia" w:ascii="仿宋" w:hAnsi="仿宋" w:eastAsia="仿宋"/>
          <w:b/>
          <w:color w:val="000000" w:themeColor="text1"/>
          <w:sz w:val="28"/>
          <w:szCs w:val="28"/>
          <w14:textFill>
            <w14:solidFill>
              <w14:schemeClr w14:val="tx1"/>
            </w14:solidFill>
          </w14:textFill>
        </w:rPr>
        <w:t>一、项目名称：</w:t>
      </w:r>
      <w:r>
        <w:rPr>
          <w:rFonts w:hint="eastAsia" w:ascii="仿宋" w:hAnsi="仿宋" w:eastAsia="仿宋"/>
          <w:color w:val="000000" w:themeColor="text1"/>
          <w:sz w:val="28"/>
          <w:szCs w:val="28"/>
          <w14:textFill>
            <w14:solidFill>
              <w14:schemeClr w14:val="tx1"/>
            </w14:solidFill>
          </w14:textFill>
        </w:rPr>
        <w:t>重庆外语外事学院渝北校区校园围墙整修项目</w:t>
      </w:r>
    </w:p>
    <w:p>
      <w:pPr>
        <w:widowControl w:val="0"/>
        <w:tabs>
          <w:tab w:val="left" w:pos="83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二、项目地点：</w:t>
      </w:r>
      <w:r>
        <w:rPr>
          <w:rFonts w:hint="eastAsia" w:ascii="仿宋" w:hAnsi="仿宋" w:eastAsia="仿宋"/>
          <w:color w:val="000000" w:themeColor="text1"/>
          <w:sz w:val="28"/>
          <w:szCs w:val="28"/>
          <w14:textFill>
            <w14:solidFill>
              <w14:schemeClr w14:val="tx1"/>
            </w14:solidFill>
          </w14:textFill>
        </w:rPr>
        <w:t>重庆市渝北区回兴街道龙石路18号</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三、项目概况：</w:t>
      </w:r>
    </w:p>
    <w:p>
      <w:pPr>
        <w:spacing w:after="0"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重庆外语外事学院对渝北校区校园围墙整修项目实施公开询价，欢迎符合要求的参与单位参与。</w:t>
      </w:r>
    </w:p>
    <w:p>
      <w:pPr>
        <w:spacing w:after="0" w:line="44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1．货物名称、数量、要求详见《公开询价货物一览表》。</w:t>
      </w:r>
    </w:p>
    <w:p>
      <w:pPr>
        <w:spacing w:after="0" w:line="44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2．参与人对本次公开询价提供的货物必须为全新的原装正品。</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四、技术服务要求</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1．按国家或行业或地方标准验收。产品质量应达到设计要求，应能通过质检等部门的检验。</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五、评审标准和方法：</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（一）资格性审查：按参与人资格标准的各项要求逐项审查。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注：资格性审查有其中一项不符合者不进入下一程序。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（二）符合性审查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2、服务要求：参与人必须逐项承诺</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（1）交货时间：2022年2月26日前，具体以学校通知为准。</w:t>
      </w:r>
    </w:p>
    <w:p>
      <w:pPr>
        <w:widowControl w:val="0"/>
        <w:tabs>
          <w:tab w:val="left" w:pos="839"/>
        </w:tabs>
        <w:spacing w:after="0" w:line="460" w:lineRule="exact"/>
        <w:ind w:firstLine="56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（2）交货地点：</w:t>
      </w:r>
      <w:r>
        <w:rPr>
          <w:rFonts w:hint="eastAsia" w:ascii="仿宋" w:hAnsi="仿宋" w:eastAsia="仿宋"/>
          <w:color w:val="000000" w:themeColor="text1"/>
          <w:sz w:val="28"/>
          <w:szCs w:val="28"/>
          <w14:textFill>
            <w14:solidFill>
              <w14:schemeClr w14:val="tx1"/>
            </w14:solidFill>
          </w14:textFill>
        </w:rPr>
        <w:t>重庆市渝北区回兴街道龙石路18号</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（3）到货率：根据交货时间到货率达到100%。</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（4）付款方式：施工完成验收合格付95%，一年质保期满无重大质量问题付5%。</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（5）验收承诺：详见第四条技术服务要求。</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（6）售后服务承诺：详见第六条售后服务要求。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本公开询价采购的评审方法采用综合评估法确定成交参与人。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六、售后服务要求</w:t>
      </w:r>
    </w:p>
    <w:p>
      <w:pPr>
        <w:spacing w:after="0" w:line="44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项目整体质保期壹年，从验收合格之日起算。在保质期内，乙方应对非人为因素损坏的物品负责包换。</w:t>
      </w:r>
    </w:p>
    <w:p>
      <w:pPr>
        <w:spacing w:after="0" w:line="440" w:lineRule="exact"/>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七、本技术规格及要求中所发生的费用全部包含在响应报价中，如本部分的要求与货物的具体要求和采购合同有冲突处，则以货物的具体要求和采购合同为准。</w:t>
      </w:r>
    </w:p>
    <w:bookmarkEnd w:id="55"/>
    <w:p>
      <w:pPr>
        <w:rPr>
          <w:rFonts w:ascii="仿宋" w:hAnsi="仿宋" w:eastAsia="仿宋"/>
          <w:b/>
          <w:color w:val="000000" w:themeColor="text1"/>
          <w:sz w:val="36"/>
          <w:szCs w:val="36"/>
          <w14:textFill>
            <w14:solidFill>
              <w14:schemeClr w14:val="tx1"/>
            </w14:solidFill>
          </w14:textFill>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color w:val="000000" w:themeColor="text1"/>
          <w:sz w:val="44"/>
          <w:szCs w:val="44"/>
          <w14:textFill>
            <w14:solidFill>
              <w14:schemeClr w14:val="tx1"/>
            </w14:solidFill>
          </w14:textFill>
        </w:rPr>
      </w:pPr>
      <w:r>
        <w:rPr>
          <w:rFonts w:hint="eastAsia" w:ascii="仿宋" w:hAnsi="仿宋" w:eastAsia="仿宋"/>
          <w:color w:val="000000" w:themeColor="text1"/>
          <w:sz w:val="44"/>
          <w:szCs w:val="44"/>
          <w14:textFill>
            <w14:solidFill>
              <w14:schemeClr w14:val="tx1"/>
            </w14:solidFill>
          </w14:textFill>
        </w:rPr>
        <w:t>公开询价货物一览表</w:t>
      </w:r>
    </w:p>
    <w:tbl>
      <w:tblPr>
        <w:tblStyle w:val="25"/>
        <w:tblW w:w="14740" w:type="dxa"/>
        <w:tblInd w:w="91" w:type="dxa"/>
        <w:tblLayout w:type="fixed"/>
        <w:tblCellMar>
          <w:top w:w="0" w:type="dxa"/>
          <w:left w:w="108" w:type="dxa"/>
          <w:bottom w:w="0" w:type="dxa"/>
          <w:right w:w="108" w:type="dxa"/>
        </w:tblCellMar>
      </w:tblPr>
      <w:tblGrid>
        <w:gridCol w:w="616"/>
        <w:gridCol w:w="1386"/>
        <w:gridCol w:w="4505"/>
        <w:gridCol w:w="740"/>
        <w:gridCol w:w="992"/>
        <w:gridCol w:w="850"/>
        <w:gridCol w:w="879"/>
        <w:gridCol w:w="1098"/>
        <w:gridCol w:w="3674"/>
      </w:tblGrid>
      <w:tr>
        <w:tblPrEx>
          <w:tblCellMar>
            <w:top w:w="0" w:type="dxa"/>
            <w:left w:w="108" w:type="dxa"/>
            <w:bottom w:w="0" w:type="dxa"/>
            <w:right w:w="108" w:type="dxa"/>
          </w:tblCellMar>
        </w:tblPrEx>
        <w:trPr>
          <w:trHeight w:val="391" w:hRule="atLeast"/>
        </w:trPr>
        <w:tc>
          <w:tcPr>
            <w:tcW w:w="6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序号</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分部分项工程</w:t>
            </w:r>
          </w:p>
        </w:tc>
        <w:tc>
          <w:tcPr>
            <w:tcW w:w="45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项目特征</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计量</w:t>
            </w:r>
            <w:r>
              <w:rPr>
                <w:rFonts w:hint="eastAsia" w:ascii="仿宋" w:hAnsi="仿宋" w:eastAsia="仿宋" w:cs="宋体"/>
                <w:b/>
                <w:bCs/>
                <w:color w:val="000000" w:themeColor="text1"/>
                <w:spacing w:val="-10"/>
                <w:sz w:val="20"/>
                <w:szCs w:val="20"/>
                <w14:textFill>
                  <w14:solidFill>
                    <w14:schemeClr w14:val="tx1"/>
                  </w14:solidFill>
                </w14:textFill>
              </w:rPr>
              <w:br w:type="textWrapping"/>
            </w:r>
            <w:r>
              <w:rPr>
                <w:rFonts w:hint="eastAsia" w:ascii="仿宋" w:hAnsi="仿宋" w:eastAsia="仿宋" w:cs="宋体"/>
                <w:b/>
                <w:bCs/>
                <w:color w:val="000000" w:themeColor="text1"/>
                <w:spacing w:val="-10"/>
                <w:sz w:val="20"/>
                <w:szCs w:val="20"/>
                <w14:textFill>
                  <w14:solidFill>
                    <w14:schemeClr w14:val="tx1"/>
                  </w14:solidFill>
                </w14:textFill>
              </w:rPr>
              <w:t>单位</w:t>
            </w:r>
          </w:p>
        </w:tc>
        <w:tc>
          <w:tcPr>
            <w:tcW w:w="992" w:type="dxa"/>
            <w:vMerge w:val="restart"/>
            <w:tcBorders>
              <w:top w:val="single" w:color="auto" w:sz="4" w:space="0"/>
              <w:left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工程量</w:t>
            </w:r>
          </w:p>
        </w:tc>
        <w:tc>
          <w:tcPr>
            <w:tcW w:w="850"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ascii="仿宋" w:hAnsi="仿宋" w:eastAsia="仿宋" w:cs="宋体"/>
                <w:b/>
                <w:bCs/>
                <w:color w:val="000000" w:themeColor="text1"/>
                <w:spacing w:val="-10"/>
                <w:sz w:val="20"/>
                <w:szCs w:val="20"/>
                <w14:textFill>
                  <w14:solidFill>
                    <w14:schemeClr w14:val="tx1"/>
                  </w14:solidFill>
                </w14:textFill>
              </w:rPr>
              <w:t>品牌</w:t>
            </w:r>
          </w:p>
        </w:tc>
        <w:tc>
          <w:tcPr>
            <w:tcW w:w="1977"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金额</w:t>
            </w:r>
          </w:p>
        </w:tc>
        <w:tc>
          <w:tcPr>
            <w:tcW w:w="36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备注</w:t>
            </w:r>
          </w:p>
        </w:tc>
      </w:tr>
      <w:tr>
        <w:tblPrEx>
          <w:tblCellMar>
            <w:top w:w="0" w:type="dxa"/>
            <w:left w:w="108" w:type="dxa"/>
            <w:bottom w:w="0" w:type="dxa"/>
            <w:right w:w="108" w:type="dxa"/>
          </w:tblCellMar>
        </w:tblPrEx>
        <w:trPr>
          <w:trHeight w:val="302" w:hRule="atLeast"/>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4505"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992" w:type="dxa"/>
            <w:vMerge w:val="continue"/>
            <w:tcBorders>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p>
        </w:tc>
        <w:tc>
          <w:tcPr>
            <w:tcW w:w="850" w:type="dxa"/>
            <w:vMerge w:val="continue"/>
            <w:tcBorders>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单价</w:t>
            </w: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合价</w:t>
            </w:r>
          </w:p>
        </w:tc>
        <w:tc>
          <w:tcPr>
            <w:tcW w:w="367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323"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新建栏杆</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[部位]</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pacing w:val="-10"/>
                <w:sz w:val="20"/>
                <w:szCs w:val="20"/>
                <w14:textFill>
                  <w14:solidFill>
                    <w14:schemeClr w14:val="tx1"/>
                  </w14:solidFill>
                </w14:textFill>
              </w:rPr>
              <w:t>1号大门伸缩闸门两侧</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[项目特征]新建不锈钢栏杆</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[工作内容]</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高度1500mm不锈钢栏杆，采用304不锈钢，壁厚1.2mm</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43</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277"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2</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新建钢制围网</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[部位]</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pacing w:val="-10"/>
                <w:sz w:val="20"/>
                <w:szCs w:val="20"/>
                <w14:textFill>
                  <w14:solidFill>
                    <w14:schemeClr w14:val="tx1"/>
                  </w14:solidFill>
                </w14:textFill>
              </w:rPr>
              <w:t>9号楼报警亭-9号楼电房160M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[项目特征]墙体上方新建浸塑钢制隔离网</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[工作内容]</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1.立柱：高度1500mm，35mm方形钢管，厚度2mm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2.丝围网：6mm钢丝围网，长方形孔距50×100mm</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160</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159"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3</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新建钢制围网</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[部位]</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1.陶艺实验室堡坎至电教楼东侧7m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2.电教楼西侧至垃圾转运站门口65m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3.</w:t>
            </w:r>
            <w:r>
              <w:rPr>
                <w:rFonts w:hint="eastAsia"/>
                <w:color w:val="000000" w:themeColor="text1"/>
                <w14:textFill>
                  <w14:solidFill>
                    <w14:schemeClr w14:val="tx1"/>
                  </w14:solidFill>
                </w14:textFill>
              </w:rPr>
              <w:t xml:space="preserve"> </w:t>
            </w:r>
            <w:r>
              <w:rPr>
                <w:rFonts w:hint="eastAsia" w:ascii="仿宋" w:hAnsi="仿宋" w:eastAsia="仿宋" w:cs="宋体"/>
                <w:color w:val="000000" w:themeColor="text1"/>
                <w:spacing w:val="-10"/>
                <w:sz w:val="20"/>
                <w:szCs w:val="20"/>
                <w14:textFill>
                  <w14:solidFill>
                    <w14:schemeClr w14:val="tx1"/>
                  </w14:solidFill>
                </w14:textFill>
              </w:rPr>
              <w:t>5号门至山坡坡面12m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[项目特征]新建浸塑钢制围网</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[工作内容]</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1.立柱：高度2200mm，35mm方形钢管，厚度2mm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2.钢丝围网：6mm钢丝围网，长方形孔距50×100mm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3.原有矩形镀锌管拆除1200mm</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84</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032"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4</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新建铁艺围墙</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[部位]</w:t>
            </w:r>
            <w:r>
              <w:rPr>
                <w:rFonts w:hint="eastAsia"/>
                <w:color w:val="000000" w:themeColor="text1"/>
                <w14:textFill>
                  <w14:solidFill>
                    <w14:schemeClr w14:val="tx1"/>
                  </w14:solidFill>
                </w14:textFill>
              </w:rPr>
              <w:t xml:space="preserve"> </w:t>
            </w:r>
            <w:r>
              <w:rPr>
                <w:rFonts w:hint="eastAsia" w:ascii="仿宋" w:hAnsi="仿宋" w:eastAsia="仿宋" w:cs="宋体"/>
                <w:color w:val="000000" w:themeColor="text1"/>
                <w:spacing w:val="-10"/>
                <w:sz w:val="20"/>
                <w:szCs w:val="20"/>
                <w14:textFill>
                  <w14:solidFill>
                    <w14:schemeClr w14:val="tx1"/>
                  </w14:solidFill>
                </w14:textFill>
              </w:rPr>
              <w:t>商业街一食堂侧墙-原3号门</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[项目特征]新建铁艺围墙，高度2200</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[工作内容]</w:t>
            </w:r>
            <w:r>
              <w:rPr>
                <w:rFonts w:hint="eastAsia" w:ascii="仿宋" w:hAnsi="仿宋" w:eastAsia="仿宋" w:cs="宋体"/>
                <w:color w:val="000000" w:themeColor="text1"/>
                <w:spacing w:val="-10"/>
                <w:sz w:val="20"/>
                <w:szCs w:val="20"/>
                <w14:textFill>
                  <w14:solidFill>
                    <w14:schemeClr w14:val="tx1"/>
                  </w14:solidFill>
                </w14:textFill>
              </w:rPr>
              <w:br w:type="textWrapping"/>
            </w:r>
            <w:r>
              <w:rPr>
                <w:rFonts w:hint="eastAsia" w:ascii="仿宋" w:hAnsi="仿宋" w:eastAsia="仿宋" w:cs="宋体"/>
                <w:color w:val="000000" w:themeColor="text1"/>
                <w:spacing w:val="-10"/>
                <w:sz w:val="20"/>
                <w:szCs w:val="20"/>
                <w14:textFill>
                  <w14:solidFill>
                    <w14:schemeClr w14:val="tx1"/>
                  </w14:solidFill>
                </w14:textFill>
              </w:rPr>
              <w:t>1.人工开外基础；2.C25混凝土基础；3.M7.5实心砖基础切筑；4.M7.5实心砖围墙及柱切筑；5.C20混凝土压顶；6.人工回填基础；7.墙体、柱抹灰；8.高2200mm铁艺栏杆制作及安装；9.墙、柱面真石漆</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80</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032"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5</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岗亭搬迁</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[项目特征]岗亭搬迁</w:t>
            </w:r>
            <w:r>
              <w:rPr>
                <w:rFonts w:hint="eastAsia" w:ascii="仿宋" w:hAnsi="仿宋" w:eastAsia="仿宋" w:cs="宋体"/>
                <w:color w:val="000000" w:themeColor="text1"/>
                <w:spacing w:val="-10"/>
                <w:sz w:val="20"/>
                <w:szCs w:val="20"/>
                <w14:textFill>
                  <w14:solidFill>
                    <w14:schemeClr w14:val="tx1"/>
                  </w14:solidFill>
                </w14:textFill>
              </w:rPr>
              <w:br w:type="textWrapping"/>
            </w:r>
            <w:r>
              <w:rPr>
                <w:rFonts w:hint="eastAsia" w:ascii="仿宋" w:hAnsi="仿宋" w:eastAsia="仿宋" w:cs="宋体"/>
                <w:color w:val="000000" w:themeColor="text1"/>
                <w:spacing w:val="-10"/>
                <w:sz w:val="20"/>
                <w:szCs w:val="20"/>
                <w14:textFill>
                  <w14:solidFill>
                    <w14:schemeClr w14:val="tx1"/>
                  </w14:solidFill>
                </w14:textFill>
              </w:rPr>
              <w:t>[工作内容]</w:t>
            </w:r>
            <w:r>
              <w:rPr>
                <w:rFonts w:hint="eastAsia" w:ascii="仿宋" w:hAnsi="仿宋" w:eastAsia="仿宋" w:cs="宋体"/>
                <w:color w:val="000000" w:themeColor="text1"/>
                <w:spacing w:val="-10"/>
                <w:sz w:val="20"/>
                <w:szCs w:val="20"/>
                <w14:textFill>
                  <w14:solidFill>
                    <w14:schemeClr w14:val="tx1"/>
                  </w14:solidFill>
                </w14:textFill>
              </w:rPr>
              <w:br w:type="textWrapping"/>
            </w:r>
            <w:r>
              <w:rPr>
                <w:rFonts w:hint="eastAsia" w:ascii="仿宋" w:hAnsi="仿宋" w:eastAsia="仿宋" w:cs="宋体"/>
                <w:color w:val="000000" w:themeColor="text1"/>
                <w:spacing w:val="-10"/>
                <w:sz w:val="20"/>
                <w:szCs w:val="20"/>
                <w14:textFill>
                  <w14:solidFill>
                    <w14:schemeClr w14:val="tx1"/>
                  </w14:solidFill>
                </w14:textFill>
              </w:rPr>
              <w:t>1.3号门保安亭新建基础；c20基础，15×20×2mm,两个；2.保安亭防撞柱安装，u型@50钢管，钻孔两个；3.保安亭强，弱电安装，各20米；4.原保安亭基础拆除；5.4条减速带拆除，安装；6.安装保安亭，安装道闸系统，空调移机；7.原有不锈钢栏杆及围栏查处</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ascii="宋体" w:hAnsi="宋体" w:eastAsia="宋体" w:cs="宋体"/>
                <w:color w:val="000000" w:themeColor="text1"/>
                <w:spacing w:val="-10"/>
                <w:sz w:val="20"/>
                <w:szCs w:val="20"/>
                <w14:textFill>
                  <w14:solidFill>
                    <w14:schemeClr w14:val="tx1"/>
                  </w14:solidFill>
                </w14:textFill>
              </w:rPr>
              <w:t>项</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389"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工程直接费</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themeColor="text1"/>
                <w:spacing w:val="-10"/>
                <w:sz w:val="20"/>
                <w:szCs w:val="20"/>
                <w14:textFill>
                  <w14:solidFill>
                    <w14:schemeClr w14:val="tx1"/>
                  </w14:solidFill>
                </w14:textFill>
              </w:rPr>
            </w:pPr>
            <w:r>
              <w:rPr>
                <w:rFonts w:hint="eastAsia" w:ascii="等线" w:hAnsi="等线" w:eastAsia="等线"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管理费</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themeColor="text1"/>
                <w:spacing w:val="-10"/>
                <w:sz w:val="20"/>
                <w:szCs w:val="20"/>
                <w14:textFill>
                  <w14:solidFill>
                    <w14:schemeClr w14:val="tx1"/>
                  </w14:solidFill>
                </w14:textFill>
              </w:rPr>
            </w:pPr>
            <w:r>
              <w:rPr>
                <w:rFonts w:hint="eastAsia" w:ascii="等线" w:hAnsi="等线" w:eastAsia="等线"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利润</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themeColor="text1"/>
                <w:spacing w:val="-10"/>
                <w:sz w:val="20"/>
                <w:szCs w:val="20"/>
                <w14:textFill>
                  <w14:solidFill>
                    <w14:schemeClr w14:val="tx1"/>
                  </w14:solidFill>
                </w14:textFill>
              </w:rPr>
            </w:pPr>
            <w:r>
              <w:rPr>
                <w:rFonts w:hint="eastAsia" w:ascii="等线" w:hAnsi="等线" w:eastAsia="等线"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税金</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工程造价</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trPr>
        <w:tc>
          <w:tcPr>
            <w:tcW w:w="20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273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xml:space="preserve">合计（含税）：大写人民币 </w:t>
            </w:r>
            <w:r>
              <w:rPr>
                <w:rFonts w:hint="eastAsia" w:ascii="宋体" w:hAnsi="宋体" w:eastAsia="宋体" w:cs="宋体"/>
                <w:color w:val="000000" w:themeColor="text1"/>
                <w:spacing w:val="-10"/>
                <w:sz w:val="20"/>
                <w:szCs w:val="20"/>
                <w14:textFill>
                  <w14:solidFill>
                    <w14:schemeClr w14:val="tx1"/>
                  </w14:solidFill>
                </w14:textFill>
              </w:rPr>
              <w:t>             </w:t>
            </w:r>
            <w:r>
              <w:rPr>
                <w:rFonts w:hint="eastAsia" w:ascii="仿宋" w:hAnsi="仿宋" w:eastAsia="仿宋" w:cs="宋体"/>
                <w:color w:val="000000" w:themeColor="text1"/>
                <w:spacing w:val="-10"/>
                <w:sz w:val="20"/>
                <w:szCs w:val="20"/>
                <w14:textFill>
                  <w14:solidFill>
                    <w14:schemeClr w14:val="tx1"/>
                  </w14:solidFill>
                </w14:textFill>
              </w:rPr>
              <w:t>小写￥</w:t>
            </w:r>
          </w:p>
        </w:tc>
      </w:tr>
    </w:tbl>
    <w:p>
      <w:pPr>
        <w:pStyle w:val="16"/>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color w:val="000000" w:themeColor="text1"/>
          <w:sz w:val="28"/>
          <w:szCs w:val="28"/>
          <w14:textFill>
            <w14:solidFill>
              <w14:schemeClr w14:val="tx1"/>
            </w14:solidFill>
          </w14:textFill>
        </w:rPr>
        <w:sectPr>
          <w:headerReference r:id="rId9" w:type="first"/>
          <w:headerReference r:id="rId8" w:type="default"/>
          <w:pgSz w:w="16840" w:h="11907" w:orient="landscape"/>
          <w:pgMar w:top="1134" w:right="2286" w:bottom="1134" w:left="1134" w:header="283" w:footer="227" w:gutter="0"/>
          <w:cols w:space="425" w:num="1"/>
          <w:titlePg/>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渝北校区校园围墙整修项目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w:t>
      </w: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spacing w:after="0" w:line="240" w:lineRule="auto"/>
        <w:jc w:val="left"/>
        <w:rPr>
          <w:rFonts w:ascii="仿宋" w:hAnsi="仿宋" w:eastAsia="仿宋"/>
          <w:b/>
          <w:bCs/>
          <w:color w:val="000000" w:themeColor="text1"/>
          <w:sz w:val="30"/>
          <w:szCs w:val="30"/>
          <w14:textFill>
            <w14:solidFill>
              <w14:schemeClr w14:val="tx1"/>
            </w14:solidFill>
          </w14:textFill>
        </w:rPr>
      </w:pPr>
      <w:r>
        <w:rPr>
          <w:rFonts w:ascii="仿宋" w:hAnsi="仿宋" w:eastAsia="仿宋"/>
          <w:b/>
          <w:bCs/>
          <w:color w:val="000000" w:themeColor="text1"/>
          <w:sz w:val="30"/>
          <w:szCs w:val="30"/>
          <w14:textFill>
            <w14:solidFill>
              <w14:schemeClr w14:val="tx1"/>
            </w14:solidFill>
          </w14:textFill>
        </w:rPr>
        <w:br w:type="page"/>
      </w:r>
    </w:p>
    <w:p>
      <w:pPr>
        <w:rPr>
          <w:rFonts w:ascii="仿宋" w:hAnsi="仿宋" w:eastAsia="仿宋"/>
          <w:b/>
          <w:bCs/>
          <w:color w:val="000000" w:themeColor="text1"/>
          <w:sz w:val="30"/>
          <w:szCs w:val="30"/>
          <w14:textFill>
            <w14:solidFill>
              <w14:schemeClr w14:val="tx1"/>
            </w14:solidFill>
          </w14:textFill>
        </w:rPr>
        <w:sectPr>
          <w:headerReference r:id="rId10" w:type="first"/>
          <w:pgSz w:w="11906" w:h="16838"/>
          <w:pgMar w:top="1440" w:right="1416" w:bottom="1440" w:left="1134" w:header="851" w:footer="227" w:gutter="0"/>
          <w:cols w:space="425" w:num="1"/>
          <w:titlePg/>
          <w:docGrid w:type="lines" w:linePitch="312" w:charSpace="0"/>
        </w:sectPr>
      </w:pPr>
    </w:p>
    <w:p>
      <w:pPr>
        <w:tabs>
          <w:tab w:val="center" w:pos="4678"/>
          <w:tab w:val="left" w:pos="6930"/>
        </w:tabs>
        <w:jc w:val="left"/>
        <w:outlineLvl w:val="1"/>
        <w:rPr>
          <w:rFonts w:ascii="仿宋" w:hAnsi="仿宋" w:eastAsia="仿宋"/>
          <w:b/>
          <w:bCs/>
          <w:color w:val="000000" w:themeColor="text1"/>
          <w:sz w:val="28"/>
          <w:szCs w:val="28"/>
          <w14:textFill>
            <w14:solidFill>
              <w14:schemeClr w14:val="tx1"/>
            </w14:solidFill>
          </w14:textFill>
        </w:rPr>
      </w:pPr>
      <w:bookmarkStart w:id="56" w:name="_Toc182805217"/>
      <w:bookmarkStart w:id="57" w:name="_Toc192663835"/>
      <w:bookmarkStart w:id="58" w:name="_Toc180302913"/>
      <w:bookmarkStart w:id="59" w:name="_Toc235437991"/>
      <w:bookmarkStart w:id="60" w:name="_Toc236021449"/>
      <w:bookmarkStart w:id="61" w:name="_Toc192664153"/>
      <w:bookmarkStart w:id="62" w:name="_Toc249325711"/>
      <w:bookmarkStart w:id="63" w:name="_Toc251613829"/>
      <w:bookmarkStart w:id="64" w:name="_Toc253066614"/>
      <w:bookmarkStart w:id="65" w:name="_Toc219800243"/>
      <w:bookmarkStart w:id="66" w:name="_Toc232302115"/>
      <w:bookmarkStart w:id="67" w:name="_Toc193160448"/>
      <w:bookmarkStart w:id="68" w:name="_Toc251586231"/>
      <w:bookmarkStart w:id="69" w:name="_Toc213755858"/>
      <w:bookmarkStart w:id="70" w:name="_Toc259692740"/>
      <w:bookmarkStart w:id="71" w:name="_Toc230071147"/>
      <w:bookmarkStart w:id="72" w:name="_Toc181436461"/>
      <w:bookmarkStart w:id="73" w:name="_Toc191783222"/>
      <w:bookmarkStart w:id="74" w:name="_Toc235438274"/>
      <w:bookmarkStart w:id="75" w:name="_Toc266870907"/>
      <w:bookmarkStart w:id="76" w:name="_Toc259520865"/>
      <w:bookmarkStart w:id="77" w:name="_Toc169332949"/>
      <w:bookmarkStart w:id="78" w:name="_Toc266870432"/>
      <w:bookmarkStart w:id="79" w:name="_Toc255975007"/>
      <w:bookmarkStart w:id="80" w:name="_Toc266868670"/>
      <w:bookmarkStart w:id="81" w:name="_Toc192663686"/>
      <w:bookmarkStart w:id="82" w:name="_Toc191789329"/>
      <w:bookmarkStart w:id="83" w:name="_Toc213756051"/>
      <w:bookmarkStart w:id="84" w:name="_Toc267059919"/>
      <w:bookmarkStart w:id="85" w:name="_Toc213208766"/>
      <w:bookmarkStart w:id="86" w:name="_Toc267059806"/>
      <w:bookmarkStart w:id="87" w:name="_Toc267059653"/>
      <w:bookmarkStart w:id="88" w:name="_Toc177985469"/>
      <w:bookmarkStart w:id="89" w:name="_Toc267060321"/>
      <w:bookmarkStart w:id="90" w:name="_Toc267059030"/>
      <w:bookmarkStart w:id="91" w:name="_Toc160880160"/>
      <w:bookmarkStart w:id="92" w:name="_Toc267060208"/>
      <w:bookmarkStart w:id="93" w:name="_Toc170798793"/>
      <w:bookmarkStart w:id="94" w:name="_Toc235438344"/>
      <w:bookmarkStart w:id="95" w:name="_Toc217891402"/>
      <w:bookmarkStart w:id="96" w:name="_Toc254790899"/>
      <w:bookmarkStart w:id="97" w:name="_Toc225669322"/>
      <w:bookmarkStart w:id="98" w:name="_Toc192996446"/>
      <w:bookmarkStart w:id="99" w:name="_Toc266868937"/>
      <w:bookmarkStart w:id="100" w:name="_Toc192996338"/>
      <w:bookmarkStart w:id="101" w:name="_Toc191802690"/>
      <w:bookmarkStart w:id="102" w:name="_Toc213755939"/>
      <w:bookmarkStart w:id="103" w:name="_Toc181436565"/>
      <w:bookmarkStart w:id="104" w:name="_Toc227058530"/>
      <w:bookmarkStart w:id="105" w:name="_Toc267059181"/>
      <w:bookmarkStart w:id="106" w:name="_Toc213755995"/>
      <w:bookmarkStart w:id="107" w:name="_Toc267060068"/>
      <w:bookmarkStart w:id="108" w:name="_Toc191803626"/>
      <w:bookmarkStart w:id="109" w:name="_Toc160880529"/>
      <w:bookmarkStart w:id="110" w:name="_Toc267059539"/>
      <w:bookmarkStart w:id="111" w:name="_Toc211917116"/>
      <w:bookmarkStart w:id="112" w:name="_Toc182372782"/>
      <w:bookmarkStart w:id="113" w:name="_Toc223146608"/>
      <w:bookmarkStart w:id="114" w:name="_Toc259692647"/>
      <w:bookmarkStart w:id="115" w:name="_Toc266870833"/>
      <w:bookmarkStart w:id="116" w:name="_Toc193165734"/>
      <w:bookmarkStart w:id="117" w:name="_Toc169332838"/>
      <w:bookmarkStart w:id="118" w:name="_Toc258401256"/>
      <w:bookmarkStart w:id="119" w:name="_Toc203355733"/>
      <w:bookmarkStart w:id="120" w:name="_Toc267060453"/>
      <w:bookmarkStart w:id="121" w:name="_Toc273178698"/>
      <w:r>
        <w:rPr>
          <w:rFonts w:ascii="仿宋" w:hAnsi="仿宋" w:eastAsia="仿宋"/>
          <w:b/>
          <w:bCs/>
          <w:color w:val="000000" w:themeColor="text1"/>
          <w:sz w:val="28"/>
          <w:szCs w:val="28"/>
          <w14:textFill>
            <w14:solidFill>
              <w14:schemeClr w14:val="tx1"/>
            </w14:solidFill>
          </w14:textFill>
        </w:rPr>
        <w:tab/>
      </w:r>
      <w:r>
        <w:rPr>
          <w:rFonts w:hint="eastAsia" w:ascii="仿宋" w:hAnsi="仿宋" w:eastAsia="仿宋"/>
          <w:b/>
          <w:bCs/>
          <w:color w:val="000000" w:themeColor="text1"/>
          <w:sz w:val="28"/>
          <w:szCs w:val="28"/>
          <w14:textFill>
            <w14:solidFill>
              <w14:schemeClr w14:val="tx1"/>
            </w14:solidFill>
          </w14:textFill>
        </w:rPr>
        <w:t>1、</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Hlk47536799"/>
      <w:r>
        <w:rPr>
          <w:rFonts w:hint="eastAsia" w:ascii="仿宋" w:hAnsi="仿宋" w:eastAsia="仿宋"/>
          <w:b/>
          <w:bCs/>
          <w:color w:val="000000" w:themeColor="text1"/>
          <w:sz w:val="28"/>
          <w:szCs w:val="28"/>
          <w14:textFill>
            <w14:solidFill>
              <w14:schemeClr w14:val="tx1"/>
            </w14:solidFill>
          </w14:textFill>
        </w:rPr>
        <w:t>询价响应函</w:t>
      </w:r>
      <w:r>
        <w:rPr>
          <w:rFonts w:ascii="仿宋" w:hAnsi="仿宋" w:eastAsia="仿宋"/>
          <w:b/>
          <w:bCs/>
          <w:color w:val="000000" w:themeColor="text1"/>
          <w:sz w:val="28"/>
          <w:szCs w:val="28"/>
          <w14:textFill>
            <w14:solidFill>
              <w14:schemeClr w14:val="tx1"/>
            </w14:solidFill>
          </w14:textFill>
        </w:rPr>
        <w:tab/>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致：重庆外语外事学院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根据贵方渝北校区重庆外语外事学院渝北校区校园围墙整修项目的公开询价邀请（编号）:</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提交下述文件正本1份和副本1份。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分项报价表</w:t>
      </w:r>
    </w:p>
    <w:p>
      <w:pPr>
        <w:spacing w:after="0" w:line="480" w:lineRule="exact"/>
        <w:ind w:firstLine="565" w:firstLineChars="20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质保和后期服务承诺书</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，即</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（中文表述）</w:t>
      </w:r>
      <w:r>
        <w:rPr>
          <w:rFonts w:hint="eastAsia" w:ascii="仿宋" w:hAnsi="仿宋" w:eastAsia="仿宋"/>
          <w:color w:val="000000" w:themeColor="text1"/>
          <w:sz w:val="28"/>
          <w:szCs w:val="28"/>
          <w14:textFill>
            <w14:solidFill>
              <w14:schemeClr w14:val="tx1"/>
            </w14:solidFill>
          </w14:textFill>
        </w:rPr>
        <w:t>。</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邮编：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传真：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 </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p>
    <w:p>
      <w:pPr>
        <w:pStyle w:val="61"/>
        <w:spacing w:line="480" w:lineRule="exact"/>
        <w:jc w:val="left"/>
        <w:outlineLvl w:val="9"/>
        <w:rPr>
          <w:rFonts w:ascii="仿宋" w:hAnsi="仿宋" w:eastAsia="仿宋"/>
          <w:color w:val="000000" w:themeColor="text1"/>
          <w:szCs w:val="28"/>
          <w14:textFill>
            <w14:solidFill>
              <w14:schemeClr w14:val="tx1"/>
            </w14:solidFill>
          </w14:textFill>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000000" w:themeColor="text1"/>
          <w:szCs w:val="28"/>
          <w14:textFill>
            <w14:solidFill>
              <w14:schemeClr w14:val="tx1"/>
            </w14:solidFill>
          </w14:textFill>
        </w:rPr>
        <w:t xml:space="preserve">      日  期： </w:t>
      </w:r>
      <w:r>
        <w:rPr>
          <w:rFonts w:ascii="仿宋" w:hAnsi="仿宋" w:eastAsia="仿宋"/>
          <w:color w:val="000000" w:themeColor="text1"/>
          <w:szCs w:val="28"/>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年 </w:t>
      </w:r>
      <w:r>
        <w:rPr>
          <w:rFonts w:ascii="仿宋" w:hAnsi="仿宋" w:eastAsia="仿宋"/>
          <w:color w:val="000000" w:themeColor="text1"/>
          <w:szCs w:val="28"/>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月  日</w:t>
      </w:r>
      <w:bookmarkEnd w:id="122"/>
    </w:p>
    <w:p>
      <w:pPr>
        <w:spacing w:after="0"/>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、货物报价一览表</w:t>
      </w:r>
    </w:p>
    <w:p>
      <w:pPr>
        <w:spacing w:after="161" w:afterLines="50" w:line="400" w:lineRule="exact"/>
        <w:ind w:left="147" w:leftChars="67"/>
        <w:rPr>
          <w:rFonts w:ascii="仿宋" w:hAnsi="仿宋" w:eastAsia="仿宋"/>
          <w:color w:val="000000" w:themeColor="text1"/>
          <w:sz w:val="28"/>
          <w:szCs w:val="28"/>
          <w14:textFill>
            <w14:solidFill>
              <w14:schemeClr w14:val="tx1"/>
            </w14:solidFill>
          </w14:textFill>
        </w:rPr>
      </w:pPr>
      <w:bookmarkStart w:id="123" w:name="_Toc192996451"/>
      <w:bookmarkStart w:id="124" w:name="_Toc170798798"/>
      <w:bookmarkStart w:id="125" w:name="_Toc259520874"/>
      <w:bookmarkStart w:id="126" w:name="_Toc217891408"/>
      <w:bookmarkStart w:id="127" w:name="_Toc191783227"/>
      <w:bookmarkStart w:id="128" w:name="_Toc235438352"/>
      <w:bookmarkStart w:id="129" w:name="_Toc192996343"/>
      <w:bookmarkStart w:id="130" w:name="_Toc249325720"/>
      <w:bookmarkStart w:id="131" w:name="_Toc251613839"/>
      <w:bookmarkStart w:id="132" w:name="_Toc253066624"/>
      <w:bookmarkStart w:id="133" w:name="_Toc267059658"/>
      <w:bookmarkStart w:id="134" w:name="_Toc267059544"/>
      <w:bookmarkStart w:id="135" w:name="_Toc169332954"/>
      <w:bookmarkStart w:id="136" w:name="_Toc192664158"/>
      <w:bookmarkStart w:id="137" w:name="_Toc160880165"/>
      <w:bookmarkStart w:id="138" w:name="_Toc219800249"/>
      <w:bookmarkStart w:id="139" w:name="_Toc181436466"/>
      <w:bookmarkStart w:id="140" w:name="_Toc177985474"/>
      <w:bookmarkStart w:id="141" w:name="_Toc266870916"/>
      <w:bookmarkStart w:id="142" w:name="_Toc236021457"/>
      <w:bookmarkStart w:id="143" w:name="_Toc267059811"/>
      <w:bookmarkStart w:id="144" w:name="_Toc267060326"/>
      <w:bookmarkStart w:id="145" w:name="_Toc213756057"/>
      <w:bookmarkStart w:id="146" w:name="_Toc213755945"/>
      <w:bookmarkStart w:id="147" w:name="_Toc230071153"/>
      <w:bookmarkStart w:id="148" w:name="_Toc266868679"/>
      <w:bookmarkStart w:id="149" w:name="_Toc254790909"/>
      <w:bookmarkStart w:id="150" w:name="_Toc227058536"/>
      <w:bookmarkStart w:id="151" w:name="_Toc235437998"/>
      <w:bookmarkStart w:id="152" w:name="_Toc235438281"/>
      <w:bookmarkStart w:id="153" w:name="_Toc266868943"/>
      <w:bookmarkStart w:id="154" w:name="_Toc267059186"/>
      <w:bookmarkStart w:id="155" w:name="_Toc182372787"/>
      <w:bookmarkStart w:id="156" w:name="_Toc191803631"/>
      <w:bookmarkStart w:id="157" w:name="_Toc259692656"/>
      <w:bookmarkStart w:id="158" w:name="_Toc181436570"/>
      <w:bookmarkStart w:id="159" w:name="_Toc192663840"/>
      <w:bookmarkStart w:id="160" w:name="_Toc193160453"/>
      <w:bookmarkStart w:id="161" w:name="_Toc255975016"/>
      <w:bookmarkStart w:id="162" w:name="_Toc191789334"/>
      <w:bookmarkStart w:id="163" w:name="_Toc267060216"/>
      <w:bookmarkStart w:id="164" w:name="_Toc267060461"/>
      <w:bookmarkStart w:id="165" w:name="_Toc180302918"/>
      <w:bookmarkStart w:id="166" w:name="_Toc211917121"/>
      <w:bookmarkStart w:id="167" w:name="_Toc191802695"/>
      <w:bookmarkStart w:id="168" w:name="_Toc258401265"/>
      <w:bookmarkStart w:id="169" w:name="_Toc225669328"/>
      <w:bookmarkStart w:id="170" w:name="_Toc251586241"/>
      <w:bookmarkStart w:id="171" w:name="_Toc182805222"/>
      <w:bookmarkStart w:id="172" w:name="_Toc267059035"/>
      <w:bookmarkStart w:id="173" w:name="_Toc267060076"/>
      <w:bookmarkStart w:id="174" w:name="_Toc259692749"/>
      <w:bookmarkStart w:id="175" w:name="_Toc267059924"/>
      <w:bookmarkStart w:id="176" w:name="_Toc266870839"/>
      <w:bookmarkStart w:id="177" w:name="_Toc213755864"/>
      <w:bookmarkStart w:id="178" w:name="_Toc203355738"/>
      <w:bookmarkStart w:id="179" w:name="_Toc169332843"/>
      <w:bookmarkStart w:id="180" w:name="_Toc223146614"/>
      <w:bookmarkStart w:id="181" w:name="_Toc160880534"/>
      <w:bookmarkStart w:id="182" w:name="_Toc273178703"/>
      <w:bookmarkStart w:id="183" w:name="_Toc213756001"/>
      <w:bookmarkStart w:id="184" w:name="_Toc213208771"/>
      <w:bookmarkStart w:id="185" w:name="_Toc193165739"/>
      <w:bookmarkStart w:id="186" w:name="_Toc192663691"/>
      <w:bookmarkStart w:id="187" w:name="_Toc232302122"/>
      <w:bookmarkStart w:id="188" w:name="_Toc266870441"/>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（全称并加盖公章）</w:t>
      </w:r>
      <w:r>
        <w:rPr>
          <w:rFonts w:hint="eastAsia" w:ascii="仿宋" w:hAnsi="仿宋" w:eastAsia="仿宋"/>
          <w:color w:val="000000" w:themeColor="text1"/>
          <w:sz w:val="28"/>
          <w:szCs w:val="28"/>
          <w14:textFill>
            <w14:solidFill>
              <w14:schemeClr w14:val="tx1"/>
            </w14:solidFill>
          </w14:textFill>
        </w:rPr>
        <w:t xml:space="preserve">                   磋商编号：</w:t>
      </w:r>
    </w:p>
    <w:p>
      <w:pPr>
        <w:spacing w:after="161" w:afterLines="50" w:line="40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货币单位：</w:t>
      </w:r>
    </w:p>
    <w:tbl>
      <w:tblPr>
        <w:tblStyle w:val="25"/>
        <w:tblW w:w="14740" w:type="dxa"/>
        <w:jc w:val="center"/>
        <w:tblLayout w:type="fixed"/>
        <w:tblCellMar>
          <w:top w:w="0" w:type="dxa"/>
          <w:left w:w="108" w:type="dxa"/>
          <w:bottom w:w="0" w:type="dxa"/>
          <w:right w:w="108" w:type="dxa"/>
        </w:tblCellMar>
      </w:tblPr>
      <w:tblGrid>
        <w:gridCol w:w="616"/>
        <w:gridCol w:w="1386"/>
        <w:gridCol w:w="4505"/>
        <w:gridCol w:w="740"/>
        <w:gridCol w:w="992"/>
        <w:gridCol w:w="850"/>
        <w:gridCol w:w="879"/>
        <w:gridCol w:w="1098"/>
        <w:gridCol w:w="3674"/>
      </w:tblGrid>
      <w:tr>
        <w:tblPrEx>
          <w:tblCellMar>
            <w:top w:w="0" w:type="dxa"/>
            <w:left w:w="108" w:type="dxa"/>
            <w:bottom w:w="0" w:type="dxa"/>
            <w:right w:w="108" w:type="dxa"/>
          </w:tblCellMar>
        </w:tblPrEx>
        <w:trPr>
          <w:trHeight w:val="391" w:hRule="atLeast"/>
          <w:jc w:val="center"/>
        </w:trPr>
        <w:tc>
          <w:tcPr>
            <w:tcW w:w="6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序号</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分部分项工程</w:t>
            </w:r>
          </w:p>
        </w:tc>
        <w:tc>
          <w:tcPr>
            <w:tcW w:w="45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项目特征</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计量</w:t>
            </w:r>
            <w:r>
              <w:rPr>
                <w:rFonts w:hint="eastAsia" w:ascii="仿宋" w:hAnsi="仿宋" w:eastAsia="仿宋" w:cs="宋体"/>
                <w:b/>
                <w:bCs/>
                <w:color w:val="000000" w:themeColor="text1"/>
                <w:spacing w:val="-10"/>
                <w:sz w:val="20"/>
                <w:szCs w:val="20"/>
                <w14:textFill>
                  <w14:solidFill>
                    <w14:schemeClr w14:val="tx1"/>
                  </w14:solidFill>
                </w14:textFill>
              </w:rPr>
              <w:br w:type="textWrapping"/>
            </w:r>
            <w:r>
              <w:rPr>
                <w:rFonts w:hint="eastAsia" w:ascii="仿宋" w:hAnsi="仿宋" w:eastAsia="仿宋" w:cs="宋体"/>
                <w:b/>
                <w:bCs/>
                <w:color w:val="000000" w:themeColor="text1"/>
                <w:spacing w:val="-10"/>
                <w:sz w:val="20"/>
                <w:szCs w:val="20"/>
                <w14:textFill>
                  <w14:solidFill>
                    <w14:schemeClr w14:val="tx1"/>
                  </w14:solidFill>
                </w14:textFill>
              </w:rPr>
              <w:t>单位</w:t>
            </w:r>
          </w:p>
        </w:tc>
        <w:tc>
          <w:tcPr>
            <w:tcW w:w="992" w:type="dxa"/>
            <w:vMerge w:val="restart"/>
            <w:tcBorders>
              <w:top w:val="single" w:color="auto" w:sz="4" w:space="0"/>
              <w:left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工程量</w:t>
            </w:r>
          </w:p>
        </w:tc>
        <w:tc>
          <w:tcPr>
            <w:tcW w:w="850"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ascii="仿宋" w:hAnsi="仿宋" w:eastAsia="仿宋" w:cs="宋体"/>
                <w:b/>
                <w:bCs/>
                <w:color w:val="000000" w:themeColor="text1"/>
                <w:spacing w:val="-10"/>
                <w:sz w:val="20"/>
                <w:szCs w:val="20"/>
                <w14:textFill>
                  <w14:solidFill>
                    <w14:schemeClr w14:val="tx1"/>
                  </w14:solidFill>
                </w14:textFill>
              </w:rPr>
              <w:t>品牌</w:t>
            </w:r>
          </w:p>
        </w:tc>
        <w:tc>
          <w:tcPr>
            <w:tcW w:w="1977"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金额</w:t>
            </w:r>
          </w:p>
        </w:tc>
        <w:tc>
          <w:tcPr>
            <w:tcW w:w="36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备注</w:t>
            </w:r>
          </w:p>
        </w:tc>
      </w:tr>
      <w:tr>
        <w:tblPrEx>
          <w:tblCellMar>
            <w:top w:w="0" w:type="dxa"/>
            <w:left w:w="108" w:type="dxa"/>
            <w:bottom w:w="0" w:type="dxa"/>
            <w:right w:w="108" w:type="dxa"/>
          </w:tblCellMar>
        </w:tblPrEx>
        <w:trPr>
          <w:trHeight w:val="302" w:hRule="atLeast"/>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4505"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c>
          <w:tcPr>
            <w:tcW w:w="992" w:type="dxa"/>
            <w:vMerge w:val="continue"/>
            <w:tcBorders>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p>
        </w:tc>
        <w:tc>
          <w:tcPr>
            <w:tcW w:w="850" w:type="dxa"/>
            <w:vMerge w:val="continue"/>
            <w:tcBorders>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单价</w:t>
            </w: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合价</w:t>
            </w:r>
          </w:p>
        </w:tc>
        <w:tc>
          <w:tcPr>
            <w:tcW w:w="367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323" w:hRule="atLeast"/>
          <w:jc w:val="center"/>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新建栏杆</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[部位]</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pacing w:val="-10"/>
                <w:sz w:val="20"/>
                <w:szCs w:val="20"/>
                <w14:textFill>
                  <w14:solidFill>
                    <w14:schemeClr w14:val="tx1"/>
                  </w14:solidFill>
                </w14:textFill>
              </w:rPr>
              <w:t>1号大门伸缩闸门两侧</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[项目特征]新建不锈钢栏杆</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[工作内容]</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高度1500mm不锈钢栏杆，采用304不锈钢，壁厚1.2mm</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43</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277" w:hRule="atLeast"/>
          <w:jc w:val="center"/>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2</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新建钢制围网</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[部位]</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pacing w:val="-10"/>
                <w:sz w:val="20"/>
                <w:szCs w:val="20"/>
                <w14:textFill>
                  <w14:solidFill>
                    <w14:schemeClr w14:val="tx1"/>
                  </w14:solidFill>
                </w14:textFill>
              </w:rPr>
              <w:t>9号楼报警亭-9号楼电房160M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[项目特征]墙体上方新建浸塑钢制隔离网</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[工作内容]</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1.立柱：高度1500mm，35mm方形钢管，厚度2mm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2.丝围网：6mm钢丝围网，长方形孔距50×100mm</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160</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159" w:hRule="atLeast"/>
          <w:jc w:val="center"/>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3</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新建钢制围网</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[部位]</w:t>
            </w:r>
          </w:p>
          <w:p>
            <w:pPr>
              <w:spacing w:after="0" w:line="240" w:lineRule="auto"/>
              <w:jc w:val="left"/>
              <w:rPr>
                <w:rFonts w:ascii="仿宋" w:hAnsi="仿宋" w:eastAsia="仿宋"/>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1.陶艺实验室堡坎至电教楼东侧7m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2.电教楼西侧至垃圾转运站门口65m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3.</w:t>
            </w:r>
            <w:r>
              <w:rPr>
                <w:rFonts w:hint="eastAsia"/>
                <w:color w:val="000000" w:themeColor="text1"/>
                <w14:textFill>
                  <w14:solidFill>
                    <w14:schemeClr w14:val="tx1"/>
                  </w14:solidFill>
                </w14:textFill>
              </w:rPr>
              <w:t xml:space="preserve"> </w:t>
            </w:r>
            <w:r>
              <w:rPr>
                <w:rFonts w:hint="eastAsia" w:ascii="仿宋" w:hAnsi="仿宋" w:eastAsia="仿宋" w:cs="宋体"/>
                <w:color w:val="000000" w:themeColor="text1"/>
                <w:spacing w:val="-10"/>
                <w:sz w:val="20"/>
                <w:szCs w:val="20"/>
                <w14:textFill>
                  <w14:solidFill>
                    <w14:schemeClr w14:val="tx1"/>
                  </w14:solidFill>
                </w14:textFill>
              </w:rPr>
              <w:t>5号门至山坡坡面12m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[项目特征]新建浸塑钢制围网</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[工作内容]</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1.立柱：高度2200mm，35mm方形钢管，厚度2mm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2.钢丝围网：6mm钢丝围网，长方形孔距50×100mm</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3.原有矩形镀锌管拆除1200mm</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84</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032" w:hRule="atLeast"/>
          <w:jc w:val="center"/>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4</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新建铁艺围墙</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[部位]</w:t>
            </w:r>
            <w:r>
              <w:rPr>
                <w:rFonts w:hint="eastAsia"/>
                <w:color w:val="000000" w:themeColor="text1"/>
                <w14:textFill>
                  <w14:solidFill>
                    <w14:schemeClr w14:val="tx1"/>
                  </w14:solidFill>
                </w14:textFill>
              </w:rPr>
              <w:t xml:space="preserve"> </w:t>
            </w:r>
            <w:r>
              <w:rPr>
                <w:rFonts w:hint="eastAsia" w:ascii="仿宋" w:hAnsi="仿宋" w:eastAsia="仿宋" w:cs="宋体"/>
                <w:color w:val="000000" w:themeColor="text1"/>
                <w:spacing w:val="-10"/>
                <w:sz w:val="20"/>
                <w:szCs w:val="20"/>
                <w14:textFill>
                  <w14:solidFill>
                    <w14:schemeClr w14:val="tx1"/>
                  </w14:solidFill>
                </w14:textFill>
              </w:rPr>
              <w:t>商业街一食堂侧墙-原3号门</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[项目特征]新建铁艺围墙，高度2200</w:t>
            </w:r>
          </w:p>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[工作内容]</w:t>
            </w:r>
            <w:r>
              <w:rPr>
                <w:rFonts w:hint="eastAsia" w:ascii="仿宋" w:hAnsi="仿宋" w:eastAsia="仿宋" w:cs="宋体"/>
                <w:color w:val="000000" w:themeColor="text1"/>
                <w:spacing w:val="-10"/>
                <w:sz w:val="20"/>
                <w:szCs w:val="20"/>
                <w14:textFill>
                  <w14:solidFill>
                    <w14:schemeClr w14:val="tx1"/>
                  </w14:solidFill>
                </w14:textFill>
              </w:rPr>
              <w:br w:type="textWrapping"/>
            </w:r>
            <w:r>
              <w:rPr>
                <w:rFonts w:hint="eastAsia" w:ascii="仿宋" w:hAnsi="仿宋" w:eastAsia="仿宋" w:cs="宋体"/>
                <w:color w:val="000000" w:themeColor="text1"/>
                <w:spacing w:val="-10"/>
                <w:sz w:val="20"/>
                <w:szCs w:val="20"/>
                <w14:textFill>
                  <w14:solidFill>
                    <w14:schemeClr w14:val="tx1"/>
                  </w14:solidFill>
                </w14:textFill>
              </w:rPr>
              <w:t>1.人工开外基础；2.C25混凝土基础；3.M7.5实心砖基础切筑；4.M7.5实心砖围墙及柱切筑；5.C20混凝土压顶；6.人工回填基础；7.墙体、柱抹灰；8.高2200mm铁艺栏杆制作及安装；9.墙、柱面真石漆</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hint="eastAsia" w:ascii="仿宋" w:hAnsi="仿宋" w:eastAsia="仿宋"/>
                <w:color w:val="000000" w:themeColor="text1"/>
                <w:spacing w:val="-10"/>
                <w:sz w:val="20"/>
                <w:szCs w:val="20"/>
                <w14:textFill>
                  <w14:solidFill>
                    <w14:schemeClr w14:val="tx1"/>
                  </w14:solidFill>
                </w14:textFill>
              </w:rPr>
              <w:t>m</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80</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1032" w:hRule="atLeast"/>
          <w:jc w:val="center"/>
        </w:trPr>
        <w:tc>
          <w:tcPr>
            <w:tcW w:w="61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5</w:t>
            </w:r>
          </w:p>
        </w:tc>
        <w:tc>
          <w:tcPr>
            <w:tcW w:w="138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岗亭搬迁</w:t>
            </w:r>
          </w:p>
        </w:tc>
        <w:tc>
          <w:tcPr>
            <w:tcW w:w="450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[项目特征]岗亭搬迁</w:t>
            </w:r>
            <w:r>
              <w:rPr>
                <w:rFonts w:hint="eastAsia" w:ascii="仿宋" w:hAnsi="仿宋" w:eastAsia="仿宋" w:cs="宋体"/>
                <w:color w:val="000000" w:themeColor="text1"/>
                <w:spacing w:val="-10"/>
                <w:sz w:val="20"/>
                <w:szCs w:val="20"/>
                <w14:textFill>
                  <w14:solidFill>
                    <w14:schemeClr w14:val="tx1"/>
                  </w14:solidFill>
                </w14:textFill>
              </w:rPr>
              <w:br w:type="textWrapping"/>
            </w:r>
            <w:r>
              <w:rPr>
                <w:rFonts w:hint="eastAsia" w:ascii="仿宋" w:hAnsi="仿宋" w:eastAsia="仿宋" w:cs="宋体"/>
                <w:color w:val="000000" w:themeColor="text1"/>
                <w:spacing w:val="-10"/>
                <w:sz w:val="20"/>
                <w:szCs w:val="20"/>
                <w14:textFill>
                  <w14:solidFill>
                    <w14:schemeClr w14:val="tx1"/>
                  </w14:solidFill>
                </w14:textFill>
              </w:rPr>
              <w:t>[工作内容]</w:t>
            </w:r>
            <w:r>
              <w:rPr>
                <w:rFonts w:hint="eastAsia" w:ascii="仿宋" w:hAnsi="仿宋" w:eastAsia="仿宋" w:cs="宋体"/>
                <w:color w:val="000000" w:themeColor="text1"/>
                <w:spacing w:val="-10"/>
                <w:sz w:val="20"/>
                <w:szCs w:val="20"/>
                <w14:textFill>
                  <w14:solidFill>
                    <w14:schemeClr w14:val="tx1"/>
                  </w14:solidFill>
                </w14:textFill>
              </w:rPr>
              <w:br w:type="textWrapping"/>
            </w:r>
            <w:r>
              <w:rPr>
                <w:rFonts w:hint="eastAsia" w:ascii="仿宋" w:hAnsi="仿宋" w:eastAsia="仿宋" w:cs="宋体"/>
                <w:color w:val="000000" w:themeColor="text1"/>
                <w:spacing w:val="-10"/>
                <w:sz w:val="20"/>
                <w:szCs w:val="20"/>
                <w14:textFill>
                  <w14:solidFill>
                    <w14:schemeClr w14:val="tx1"/>
                  </w14:solidFill>
                </w14:textFill>
              </w:rPr>
              <w:t>1.3号门保安亭新建基础；c20基础，15×20×2mm,两个；2.保安亭防撞柱安装，u型@50钢管，钻孔两个；3.保安亭强，弱电安装，各20米；4.原保安亭基础拆除；5.4条减速带拆除，安装；6.安装保安亭，安装道闸系统，空调移机；7.原有不锈钢栏杆及围栏查处</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themeColor="text1"/>
                <w:spacing w:val="-10"/>
                <w:sz w:val="20"/>
                <w:szCs w:val="20"/>
                <w14:textFill>
                  <w14:solidFill>
                    <w14:schemeClr w14:val="tx1"/>
                  </w14:solidFill>
                </w14:textFill>
              </w:rPr>
            </w:pPr>
            <w:r>
              <w:rPr>
                <w:rFonts w:ascii="宋体" w:hAnsi="宋体" w:eastAsia="宋体" w:cs="宋体"/>
                <w:color w:val="000000" w:themeColor="text1"/>
                <w:spacing w:val="-10"/>
                <w:sz w:val="20"/>
                <w:szCs w:val="20"/>
                <w14:textFill>
                  <w14:solidFill>
                    <w14:schemeClr w14:val="tx1"/>
                  </w14:solidFill>
                </w14:textFill>
              </w:rPr>
              <w:t>项</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1</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r>
      <w:tr>
        <w:tblPrEx>
          <w:tblCellMar>
            <w:top w:w="0" w:type="dxa"/>
            <w:left w:w="108" w:type="dxa"/>
            <w:bottom w:w="0" w:type="dxa"/>
            <w:right w:w="108" w:type="dxa"/>
          </w:tblCellMar>
        </w:tblPrEx>
        <w:trPr>
          <w:trHeight w:val="389" w:hRule="atLeast"/>
          <w:jc w:val="center"/>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工程直接费</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themeColor="text1"/>
                <w:spacing w:val="-10"/>
                <w:sz w:val="20"/>
                <w:szCs w:val="20"/>
                <w14:textFill>
                  <w14:solidFill>
                    <w14:schemeClr w14:val="tx1"/>
                  </w14:solidFill>
                </w14:textFill>
              </w:rPr>
            </w:pPr>
            <w:r>
              <w:rPr>
                <w:rFonts w:hint="eastAsia" w:ascii="等线" w:hAnsi="等线" w:eastAsia="等线"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jc w:val="center"/>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管理费</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themeColor="text1"/>
                <w:spacing w:val="-10"/>
                <w:sz w:val="20"/>
                <w:szCs w:val="20"/>
                <w14:textFill>
                  <w14:solidFill>
                    <w14:schemeClr w14:val="tx1"/>
                  </w14:solidFill>
                </w14:textFill>
              </w:rPr>
            </w:pPr>
            <w:r>
              <w:rPr>
                <w:rFonts w:hint="eastAsia" w:ascii="等线" w:hAnsi="等线" w:eastAsia="等线"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jc w:val="center"/>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利润</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themeColor="text1"/>
                <w:spacing w:val="-10"/>
                <w:sz w:val="20"/>
                <w:szCs w:val="20"/>
                <w14:textFill>
                  <w14:solidFill>
                    <w14:schemeClr w14:val="tx1"/>
                  </w14:solidFill>
                </w14:textFill>
              </w:rPr>
            </w:pPr>
            <w:r>
              <w:rPr>
                <w:rFonts w:hint="eastAsia" w:ascii="等线" w:hAnsi="等线" w:eastAsia="等线"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jc w:val="center"/>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税金</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jc w:val="center"/>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2"/>
                <w:sz w:val="20"/>
                <w:szCs w:val="20"/>
                <w14:textFill>
                  <w14:solidFill>
                    <w14:schemeClr w14:val="tx1"/>
                  </w14:solidFill>
                </w14:textFill>
              </w:rPr>
            </w:pPr>
            <w:r>
              <w:rPr>
                <w:rFonts w:hint="eastAsia" w:ascii="仿宋" w:hAnsi="仿宋" w:eastAsia="仿宋" w:cs="宋体"/>
                <w:color w:val="000000" w:themeColor="text1"/>
                <w:spacing w:val="-2"/>
                <w:sz w:val="20"/>
                <w:szCs w:val="20"/>
                <w14:textFill>
                  <w14:solidFill>
                    <w14:schemeClr w14:val="tx1"/>
                  </w14:solidFill>
                </w14:textFill>
              </w:rPr>
              <w:t>　</w:t>
            </w:r>
          </w:p>
        </w:tc>
        <w:tc>
          <w:tcPr>
            <w:tcW w:w="138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工程造价</w:t>
            </w:r>
          </w:p>
        </w:tc>
        <w:tc>
          <w:tcPr>
            <w:tcW w:w="450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themeColor="text1"/>
                <w:spacing w:val="-10"/>
                <w:sz w:val="20"/>
                <w:szCs w:val="20"/>
                <w14:textFill>
                  <w14:solidFill>
                    <w14:schemeClr w14:val="tx1"/>
                  </w14:solidFill>
                </w14:textFill>
              </w:rPr>
            </w:pPr>
            <w:r>
              <w:rPr>
                <w:rFonts w:hint="eastAsia" w:ascii="仿宋" w:hAnsi="仿宋" w:eastAsia="仿宋" w:cs="宋体"/>
                <w:b/>
                <w:bCs/>
                <w:color w:val="000000" w:themeColor="text1"/>
                <w:spacing w:val="-10"/>
                <w:sz w:val="20"/>
                <w:szCs w:val="20"/>
                <w14:textFill>
                  <w14:solidFill>
                    <w14:schemeClr w14:val="tx1"/>
                  </w14:solidFill>
                </w14:textFill>
              </w:rPr>
              <w:t>　</w:t>
            </w:r>
          </w:p>
        </w:tc>
        <w:tc>
          <w:tcPr>
            <w:tcW w:w="7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元</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87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0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367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w:t>
            </w:r>
          </w:p>
        </w:tc>
      </w:tr>
      <w:tr>
        <w:tblPrEx>
          <w:tblCellMar>
            <w:top w:w="0" w:type="dxa"/>
            <w:left w:w="108" w:type="dxa"/>
            <w:bottom w:w="0" w:type="dxa"/>
            <w:right w:w="108" w:type="dxa"/>
          </w:tblCellMar>
        </w:tblPrEx>
        <w:trPr>
          <w:trHeight w:val="389" w:hRule="atLeast"/>
          <w:jc w:val="center"/>
        </w:trPr>
        <w:tc>
          <w:tcPr>
            <w:tcW w:w="20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p>
        </w:tc>
        <w:tc>
          <w:tcPr>
            <w:tcW w:w="1273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themeColor="text1"/>
                <w:spacing w:val="-10"/>
                <w:sz w:val="20"/>
                <w:szCs w:val="20"/>
                <w14:textFill>
                  <w14:solidFill>
                    <w14:schemeClr w14:val="tx1"/>
                  </w14:solidFill>
                </w14:textFill>
              </w:rPr>
            </w:pPr>
            <w:r>
              <w:rPr>
                <w:rFonts w:hint="eastAsia" w:ascii="仿宋" w:hAnsi="仿宋" w:eastAsia="仿宋" w:cs="宋体"/>
                <w:color w:val="000000" w:themeColor="text1"/>
                <w:spacing w:val="-10"/>
                <w:sz w:val="20"/>
                <w:szCs w:val="20"/>
                <w14:textFill>
                  <w14:solidFill>
                    <w14:schemeClr w14:val="tx1"/>
                  </w14:solidFill>
                </w14:textFill>
              </w:rPr>
              <w:t xml:space="preserve">合计（含税）：大写人民币 </w:t>
            </w:r>
            <w:r>
              <w:rPr>
                <w:rFonts w:hint="eastAsia" w:ascii="宋体" w:hAnsi="宋体" w:eastAsia="宋体" w:cs="宋体"/>
                <w:color w:val="000000" w:themeColor="text1"/>
                <w:spacing w:val="-10"/>
                <w:sz w:val="20"/>
                <w:szCs w:val="20"/>
                <w14:textFill>
                  <w14:solidFill>
                    <w14:schemeClr w14:val="tx1"/>
                  </w14:solidFill>
                </w14:textFill>
              </w:rPr>
              <w:t>             </w:t>
            </w:r>
            <w:r>
              <w:rPr>
                <w:rFonts w:hint="eastAsia" w:ascii="仿宋" w:hAnsi="仿宋" w:eastAsia="仿宋" w:cs="宋体"/>
                <w:color w:val="000000" w:themeColor="text1"/>
                <w:spacing w:val="-10"/>
                <w:sz w:val="20"/>
                <w:szCs w:val="20"/>
                <w14:textFill>
                  <w14:solidFill>
                    <w14:schemeClr w14:val="tx1"/>
                  </w14:solidFill>
                </w14:textFill>
              </w:rPr>
              <w:t>小写￥</w:t>
            </w:r>
          </w:p>
        </w:tc>
      </w:tr>
    </w:tbl>
    <w:p>
      <w:pPr>
        <w:spacing w:after="0" w:line="360" w:lineRule="exac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zh-CN"/>
          <w14:textFill>
            <w14:solidFill>
              <w14:schemeClr w14:val="tx1"/>
            </w14:solidFill>
          </w14:textFill>
        </w:rPr>
        <w:t>、此表正本与磋商响应文件正、副本一同装在单独的信封内密封。但响应文件正本中仍需提供。</w:t>
      </w:r>
    </w:p>
    <w:p>
      <w:pPr>
        <w:spacing w:after="0" w:line="380" w:lineRule="exact"/>
        <w:ind w:firstLine="8680" w:firstLineChars="3100"/>
        <w:jc w:val="left"/>
        <w:rPr>
          <w:rFonts w:ascii="仿宋" w:hAnsi="仿宋" w:eastAsia="仿宋"/>
          <w:color w:val="000000" w:themeColor="text1"/>
          <w:sz w:val="28"/>
          <w:szCs w:val="28"/>
          <w:u w:val="single"/>
          <w14:textFill>
            <w14:solidFill>
              <w14:schemeClr w14:val="tx1"/>
            </w14:solidFill>
          </w14:textFill>
        </w:rPr>
      </w:pPr>
      <w:r>
        <w:rPr>
          <w:rFonts w:ascii="仿宋" w:hAnsi="仿宋" w:eastAsia="仿宋"/>
          <w:color w:val="000000" w:themeColor="text1"/>
          <w:sz w:val="28"/>
          <w:szCs w:val="28"/>
          <w:lang w:val="zh-CN"/>
          <w14:textFill>
            <w14:solidFill>
              <w14:schemeClr w14:val="tx1"/>
            </w14:solidFill>
          </w14:textFill>
        </w:rPr>
        <w:t>参与人代表签字：</w:t>
      </w:r>
      <w:r>
        <w:rPr>
          <w:rFonts w:ascii="仿宋" w:hAnsi="仿宋" w:eastAsia="仿宋"/>
          <w:color w:val="000000" w:themeColor="text1"/>
          <w:sz w:val="28"/>
          <w:szCs w:val="28"/>
          <w:u w:val="single"/>
          <w14:textFill>
            <w14:solidFill>
              <w14:schemeClr w14:val="tx1"/>
            </w14:solidFill>
          </w14:textFill>
        </w:rPr>
        <w:t xml:space="preserve">             </w:t>
      </w:r>
    </w:p>
    <w:p>
      <w:pPr>
        <w:spacing w:after="0" w:line="380" w:lineRule="exact"/>
        <w:ind w:right="1199" w:rightChars="545" w:firstLine="1439" w:firstLineChars="514"/>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年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月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日</w:t>
      </w:r>
    </w:p>
    <w:p>
      <w:pPr>
        <w:spacing w:after="0" w:line="240" w:lineRule="auto"/>
        <w:jc w:val="left"/>
        <w:rPr>
          <w:rFonts w:ascii="仿宋" w:hAnsi="仿宋" w:eastAsia="仿宋"/>
          <w:b/>
          <w:bCs/>
          <w:color w:val="000000" w:themeColor="text1"/>
          <w:sz w:val="28"/>
          <w:szCs w:val="28"/>
          <w14:textFill>
            <w14:solidFill>
              <w14:schemeClr w14:val="tx1"/>
            </w14:solidFill>
          </w14:textFill>
        </w:rPr>
        <w:sectPr>
          <w:pgSz w:w="16838" w:h="11906" w:orient="landscape"/>
          <w:pgMar w:top="1134" w:right="1418" w:bottom="1134" w:left="1418" w:header="851" w:footer="992" w:gutter="0"/>
          <w:cols w:space="0" w:num="1"/>
          <w:titlePg/>
          <w:docGrid w:type="lines" w:linePitch="322" w:charSpace="0"/>
        </w:sectPr>
      </w:pPr>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、参与人的资格证明文件</w:t>
      </w:r>
    </w:p>
    <w:p>
      <w:pPr>
        <w:pStyle w:val="61"/>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189" w:name="_Toc258401266"/>
      <w:bookmarkStart w:id="190" w:name="_Toc213756058"/>
      <w:bookmarkStart w:id="191" w:name="_Toc266868680"/>
      <w:bookmarkStart w:id="192" w:name="_Toc235437999"/>
      <w:bookmarkStart w:id="193" w:name="_Toc236021458"/>
      <w:bookmarkStart w:id="194" w:name="_Toc249325721"/>
      <w:bookmarkStart w:id="195" w:name="_Toc267060462"/>
      <w:bookmarkStart w:id="196" w:name="_Toc266870917"/>
      <w:bookmarkStart w:id="197" w:name="_Toc253066625"/>
      <w:bookmarkStart w:id="198" w:name="_Toc219800250"/>
      <w:bookmarkStart w:id="199" w:name="_Toc255975017"/>
      <w:bookmarkStart w:id="200" w:name="_Toc259520875"/>
      <w:bookmarkStart w:id="201" w:name="_Toc223146615"/>
      <w:bookmarkStart w:id="202" w:name="_Toc225669329"/>
      <w:bookmarkStart w:id="203" w:name="_Toc217891409"/>
      <w:bookmarkStart w:id="204" w:name="_Toc227058537"/>
      <w:bookmarkStart w:id="205" w:name="_Toc251613840"/>
      <w:bookmarkStart w:id="206" w:name="_Toc232302123"/>
      <w:bookmarkStart w:id="207" w:name="_Toc266870442"/>
      <w:bookmarkStart w:id="208" w:name="_Toc230071154"/>
      <w:bookmarkStart w:id="209" w:name="_Toc251586242"/>
      <w:bookmarkStart w:id="210" w:name="_Toc235438353"/>
      <w:bookmarkStart w:id="211" w:name="_Toc259692657"/>
      <w:bookmarkStart w:id="212" w:name="_Toc254790910"/>
      <w:bookmarkStart w:id="213" w:name="_Toc267060217"/>
      <w:bookmarkStart w:id="214" w:name="_Toc235438282"/>
      <w:bookmarkStart w:id="215" w:name="_Toc259692750"/>
      <w:bookmarkStart w:id="216" w:name="_Toc267060077"/>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-1关于资格的声明函</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217" w:name="_Hlk511663739"/>
      <w:r>
        <w:rPr>
          <w:rFonts w:hint="eastAsia" w:ascii="仿宋" w:hAnsi="仿宋" w:eastAsia="仿宋"/>
          <w:color w:val="000000" w:themeColor="text1"/>
          <w:sz w:val="28"/>
          <w:szCs w:val="28"/>
          <w14:textFill>
            <w14:solidFill>
              <w14:schemeClr w14:val="tx1"/>
            </w14:solidFill>
          </w14:textFill>
        </w:rPr>
        <w:t>重庆外语外事学院：</w:t>
      </w:r>
      <w:bookmarkEnd w:id="217"/>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关于贵方2021年</w:t>
      </w:r>
      <w:r>
        <w:rPr>
          <w:rFonts w:ascii="仿宋" w:hAnsi="仿宋" w:eastAsia="仿宋"/>
          <w:color w:val="000000" w:themeColor="text1"/>
          <w:sz w:val="28"/>
          <w:szCs w:val="28"/>
          <w14:textFill>
            <w14:solidFill>
              <w14:schemeClr w14:val="tx1"/>
            </w14:solidFill>
          </w14:textFill>
        </w:rPr>
        <w:t>XX</w:t>
      </w:r>
      <w:r>
        <w:rPr>
          <w:rFonts w:hint="eastAsia" w:ascii="仿宋" w:hAnsi="仿宋" w:eastAsia="仿宋"/>
          <w:color w:val="000000" w:themeColor="text1"/>
          <w:sz w:val="28"/>
          <w:szCs w:val="28"/>
          <w14:textFill>
            <w14:solidFill>
              <w14:schemeClr w14:val="tx1"/>
            </w14:solidFill>
          </w14:textFill>
        </w:rPr>
        <w:t>月</w:t>
      </w:r>
      <w:r>
        <w:rPr>
          <w:rFonts w:ascii="仿宋" w:hAnsi="仿宋" w:eastAsia="仿宋"/>
          <w:color w:val="000000" w:themeColor="text1"/>
          <w:sz w:val="28"/>
          <w:szCs w:val="28"/>
          <w14:textFill>
            <w14:solidFill>
              <w14:schemeClr w14:val="tx1"/>
            </w14:solidFill>
          </w14:textFill>
        </w:rPr>
        <w:t>XX</w:t>
      </w:r>
      <w:r>
        <w:rPr>
          <w:rFonts w:hint="eastAsia" w:ascii="仿宋" w:hAnsi="仿宋" w:eastAsia="仿宋"/>
          <w:color w:val="000000" w:themeColor="text1"/>
          <w:sz w:val="28"/>
          <w:szCs w:val="28"/>
          <w14:textFill>
            <w14:solidFill>
              <w14:schemeClr w14:val="tx1"/>
            </w14:solidFill>
          </w14:textFill>
        </w:rPr>
        <w:t>日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2．我方的资格声明正本1份，副本1份，随报价响应文件一同递交。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     编：</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电话或传真：</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bookmarkStart w:id="218" w:name="_Toc266870918"/>
      <w:bookmarkStart w:id="219" w:name="_Toc258401267"/>
      <w:bookmarkStart w:id="220" w:name="_Toc249325722"/>
      <w:bookmarkStart w:id="221" w:name="_Toc259692658"/>
      <w:bookmarkStart w:id="222" w:name="_Toc223146616"/>
      <w:bookmarkStart w:id="223" w:name="_Toc217891410"/>
      <w:bookmarkStart w:id="224" w:name="_Toc225669330"/>
      <w:bookmarkStart w:id="225" w:name="_Toc235438354"/>
      <w:bookmarkStart w:id="226" w:name="_Toc254790911"/>
      <w:bookmarkStart w:id="227" w:name="_Toc266868681"/>
      <w:bookmarkStart w:id="228" w:name="_Toc213756059"/>
      <w:bookmarkStart w:id="229" w:name="_Toc235438283"/>
      <w:bookmarkStart w:id="230" w:name="_Toc266870443"/>
      <w:bookmarkStart w:id="231" w:name="_Toc259692751"/>
      <w:bookmarkStart w:id="232" w:name="_Toc255975018"/>
      <w:bookmarkStart w:id="233" w:name="_Toc235438000"/>
      <w:bookmarkStart w:id="234" w:name="_Toc251613841"/>
      <w:bookmarkStart w:id="235" w:name="_Toc227058538"/>
      <w:bookmarkStart w:id="236" w:name="_Toc236021459"/>
      <w:bookmarkStart w:id="237" w:name="_Toc232302124"/>
      <w:bookmarkStart w:id="238" w:name="_Toc230071155"/>
      <w:bookmarkStart w:id="239" w:name="_Toc219800251"/>
      <w:bookmarkStart w:id="240" w:name="_Toc253066626"/>
      <w:bookmarkStart w:id="241" w:name="_Toc251586243"/>
      <w:bookmarkStart w:id="242" w:name="_Toc259520876"/>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人（全称并加盖公章）：</w:t>
      </w:r>
    </w:p>
    <w:p>
      <w:pPr>
        <w:spacing w:line="380" w:lineRule="exact"/>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p>
    <w:p>
      <w:pPr>
        <w:spacing w:line="380" w:lineRule="exact"/>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243" w:name="_Toc192996454"/>
      <w:bookmarkStart w:id="244" w:name="_Toc191783230"/>
      <w:bookmarkStart w:id="245" w:name="_Toc267060081"/>
      <w:bookmarkStart w:id="246" w:name="_Toc193165742"/>
      <w:bookmarkStart w:id="247" w:name="_Toc255975021"/>
      <w:bookmarkStart w:id="248" w:name="_Toc160880537"/>
      <w:bookmarkStart w:id="249" w:name="_Toc160880168"/>
      <w:bookmarkStart w:id="250" w:name="_Toc192996346"/>
      <w:bookmarkStart w:id="251" w:name="_Toc251586246"/>
      <w:bookmarkStart w:id="252" w:name="_Toc259520879"/>
      <w:bookmarkStart w:id="253" w:name="_Toc259692754"/>
      <w:bookmarkStart w:id="254" w:name="_Toc258401270"/>
      <w:bookmarkStart w:id="255" w:name="_Toc182805225"/>
      <w:bookmarkStart w:id="256" w:name="_Toc235438357"/>
      <w:bookmarkStart w:id="257" w:name="_Toc253066629"/>
      <w:bookmarkStart w:id="258" w:name="_Toc254790914"/>
      <w:bookmarkStart w:id="259" w:name="_Toc191789337"/>
      <w:bookmarkStart w:id="260" w:name="_Toc182372790"/>
      <w:bookmarkStart w:id="261" w:name="_Toc191802698"/>
      <w:bookmarkStart w:id="262" w:name="_Toc191803634"/>
      <w:bookmarkStart w:id="263" w:name="_Toc181436573"/>
      <w:bookmarkStart w:id="264" w:name="_Toc192663843"/>
      <w:bookmarkStart w:id="265" w:name="_Toc266870922"/>
      <w:bookmarkStart w:id="266" w:name="_Toc235438003"/>
      <w:bookmarkStart w:id="267" w:name="_Toc169332846"/>
      <w:bookmarkStart w:id="268" w:name="_Toc236021462"/>
      <w:bookmarkStart w:id="269" w:name="_Toc255975023"/>
      <w:bookmarkStart w:id="270" w:name="_Toc235438286"/>
      <w:bookmarkStart w:id="271" w:name="_Toc267060221"/>
      <w:bookmarkStart w:id="272" w:name="_Toc259692663"/>
      <w:bookmarkStart w:id="273" w:name="_Toc169332957"/>
      <w:bookmarkStart w:id="274" w:name="_Toc267060465"/>
      <w:bookmarkStart w:id="275" w:name="_Toc170798801"/>
      <w:bookmarkStart w:id="276" w:name="_Toc259520881"/>
      <w:bookmarkStart w:id="277" w:name="_Toc249325725"/>
      <w:bookmarkStart w:id="278" w:name="_Toc180302921"/>
      <w:bookmarkStart w:id="279" w:name="_Toc259692661"/>
      <w:bookmarkStart w:id="280" w:name="_Toc266870446"/>
      <w:bookmarkStart w:id="281" w:name="_Toc267060466"/>
      <w:bookmarkStart w:id="282" w:name="_Toc193160456"/>
      <w:bookmarkStart w:id="283" w:name="_Toc258401272"/>
      <w:bookmarkStart w:id="284" w:name="_Toc267060220"/>
      <w:bookmarkStart w:id="285" w:name="_Toc266868684"/>
      <w:bookmarkStart w:id="286" w:name="_Toc266870921"/>
      <w:bookmarkStart w:id="287" w:name="_Toc266868686"/>
      <w:bookmarkStart w:id="288" w:name="_Toc192664161"/>
      <w:bookmarkStart w:id="289" w:name="_Toc259692756"/>
      <w:bookmarkStart w:id="290" w:name="_Toc192663694"/>
      <w:bookmarkStart w:id="291" w:name="_Toc181436469"/>
      <w:bookmarkStart w:id="292" w:name="_Toc211917124"/>
      <w:bookmarkStart w:id="293" w:name="_Toc203355741"/>
      <w:bookmarkStart w:id="294" w:name="_Toc232302127"/>
      <w:bookmarkStart w:id="295" w:name="_Toc254790916"/>
      <w:bookmarkStart w:id="296" w:name="_Toc267060080"/>
      <w:bookmarkStart w:id="297" w:name="_Toc266870447"/>
      <w:bookmarkStart w:id="298" w:name="_Toc177985477"/>
      <w:bookmarkStart w:id="299" w:name="_Toc251613844"/>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00" w:name="_Toc267060327"/>
      <w:bookmarkStart w:id="301" w:name="_Toc267059036"/>
      <w:bookmarkStart w:id="302" w:name="_Toc267059187"/>
      <w:bookmarkStart w:id="303" w:name="_Toc267059812"/>
      <w:bookmarkStart w:id="304" w:name="_Toc267059925"/>
      <w:bookmarkStart w:id="305" w:name="_Toc255975024"/>
      <w:bookmarkStart w:id="306" w:name="_Toc267059659"/>
      <w:bookmarkStart w:id="307" w:name="_Toc266870840"/>
      <w:bookmarkStart w:id="308" w:name="_Toc254790917"/>
      <w:bookmarkStart w:id="309" w:name="_Toc267059545"/>
      <w:bookmarkStart w:id="310" w:name="_Toc249325726"/>
      <w:bookmarkStart w:id="311" w:name="_Toc266870923"/>
      <w:bookmarkStart w:id="312" w:name="_Toc267060082"/>
      <w:bookmarkStart w:id="313" w:name="_Toc235438358"/>
      <w:bookmarkStart w:id="314" w:name="_Toc251586247"/>
      <w:bookmarkStart w:id="315" w:name="_Toc266870448"/>
      <w:bookmarkStart w:id="316" w:name="_Toc259692757"/>
      <w:bookmarkStart w:id="317" w:name="_Toc267060222"/>
      <w:bookmarkStart w:id="318" w:name="_Toc251613845"/>
      <w:bookmarkStart w:id="319" w:name="_Toc258401273"/>
      <w:bookmarkStart w:id="320" w:name="_Toc235438004"/>
      <w:bookmarkStart w:id="321" w:name="_Toc236021463"/>
      <w:bookmarkStart w:id="322" w:name="_Toc267060467"/>
      <w:bookmarkStart w:id="323" w:name="_Toc266868687"/>
      <w:bookmarkStart w:id="324" w:name="_Toc235438287"/>
      <w:bookmarkStart w:id="325" w:name="_Toc273178704"/>
      <w:bookmarkStart w:id="326" w:name="_Toc253066630"/>
      <w:bookmarkStart w:id="327" w:name="_Toc259520882"/>
      <w:bookmarkStart w:id="328" w:name="_Toc259692664"/>
      <w:bookmarkStart w:id="329" w:name="_Toc266868944"/>
      <w:bookmarkStart w:id="330" w:name="_Toc232302128"/>
      <w:r>
        <w:rPr>
          <w:rFonts w:ascii="仿宋" w:hAnsi="仿宋" w:eastAsia="仿宋"/>
          <w:b/>
          <w:bCs/>
          <w:color w:val="000000" w:themeColor="text1"/>
          <w:sz w:val="28"/>
          <w:szCs w:val="28"/>
          <w14:textFill>
            <w14:solidFill>
              <w14:schemeClr w14:val="tx1"/>
            </w14:solidFill>
          </w14:textFill>
        </w:rPr>
        <w:t>4.</w:t>
      </w:r>
      <w:r>
        <w:rPr>
          <w:rFonts w:hint="eastAsia" w:ascii="仿宋" w:hAnsi="仿宋" w:eastAsia="仿宋"/>
          <w:b/>
          <w:bCs/>
          <w:color w:val="000000" w:themeColor="text1"/>
          <w:sz w:val="28"/>
          <w:szCs w:val="28"/>
          <w14:textFill>
            <w14:solidFill>
              <w14:schemeClr w14:val="tx1"/>
            </w14:solidFill>
          </w14:textFill>
        </w:rPr>
        <w:t>质保和后期服务承诺书</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rPr>
          <w:rFonts w:ascii="仿宋" w:hAnsi="仿宋" w:eastAsia="仿宋"/>
          <w:b/>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p>
    <w:p>
      <w:pPr>
        <w:spacing w:line="380" w:lineRule="exact"/>
        <w:ind w:firstLine="4340" w:firstLineChars="155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380" w:lineRule="exact"/>
        <w:ind w:firstLine="6580" w:firstLineChars="235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p>
    <w:p>
      <w:pPr>
        <w:spacing w:line="420" w:lineRule="exact"/>
        <w:ind w:firstLine="7280" w:firstLineChars="260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085" cy="46291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490C"/>
    <w:rsid w:val="00006C97"/>
    <w:rsid w:val="00023750"/>
    <w:rsid w:val="00040261"/>
    <w:rsid w:val="00042BA5"/>
    <w:rsid w:val="000433B2"/>
    <w:rsid w:val="0004713D"/>
    <w:rsid w:val="00050A23"/>
    <w:rsid w:val="00056344"/>
    <w:rsid w:val="000569E1"/>
    <w:rsid w:val="000655D9"/>
    <w:rsid w:val="00074B20"/>
    <w:rsid w:val="00077558"/>
    <w:rsid w:val="00082572"/>
    <w:rsid w:val="00082ADD"/>
    <w:rsid w:val="00083601"/>
    <w:rsid w:val="00083B18"/>
    <w:rsid w:val="000854F7"/>
    <w:rsid w:val="000934D4"/>
    <w:rsid w:val="000943F4"/>
    <w:rsid w:val="00096911"/>
    <w:rsid w:val="00097203"/>
    <w:rsid w:val="00097371"/>
    <w:rsid w:val="00097ADC"/>
    <w:rsid w:val="000C0ADC"/>
    <w:rsid w:val="000C40BC"/>
    <w:rsid w:val="000E29E3"/>
    <w:rsid w:val="000E2B3F"/>
    <w:rsid w:val="000E3F63"/>
    <w:rsid w:val="000E7F0C"/>
    <w:rsid w:val="000F4F45"/>
    <w:rsid w:val="00120CC1"/>
    <w:rsid w:val="00126009"/>
    <w:rsid w:val="0013118F"/>
    <w:rsid w:val="001561E9"/>
    <w:rsid w:val="001576B8"/>
    <w:rsid w:val="001729A2"/>
    <w:rsid w:val="00176CD4"/>
    <w:rsid w:val="00180AE7"/>
    <w:rsid w:val="00181C04"/>
    <w:rsid w:val="00182C6E"/>
    <w:rsid w:val="001901ED"/>
    <w:rsid w:val="001A2C54"/>
    <w:rsid w:val="001A5B43"/>
    <w:rsid w:val="001B611D"/>
    <w:rsid w:val="001B719E"/>
    <w:rsid w:val="001B75AD"/>
    <w:rsid w:val="001C3FDF"/>
    <w:rsid w:val="001C6943"/>
    <w:rsid w:val="001D0CD4"/>
    <w:rsid w:val="001D0E24"/>
    <w:rsid w:val="001E75D3"/>
    <w:rsid w:val="001E79B1"/>
    <w:rsid w:val="001F4DA9"/>
    <w:rsid w:val="001F5130"/>
    <w:rsid w:val="002101C8"/>
    <w:rsid w:val="00226885"/>
    <w:rsid w:val="00230AF7"/>
    <w:rsid w:val="00230E32"/>
    <w:rsid w:val="00235C32"/>
    <w:rsid w:val="00244E90"/>
    <w:rsid w:val="00245806"/>
    <w:rsid w:val="00246D51"/>
    <w:rsid w:val="0025668E"/>
    <w:rsid w:val="00257789"/>
    <w:rsid w:val="002772BB"/>
    <w:rsid w:val="0028658F"/>
    <w:rsid w:val="00290188"/>
    <w:rsid w:val="0029068A"/>
    <w:rsid w:val="00292468"/>
    <w:rsid w:val="002B4EC7"/>
    <w:rsid w:val="002C2C3D"/>
    <w:rsid w:val="002C3845"/>
    <w:rsid w:val="002C4297"/>
    <w:rsid w:val="002D2852"/>
    <w:rsid w:val="002F795A"/>
    <w:rsid w:val="00317A5B"/>
    <w:rsid w:val="00326F3A"/>
    <w:rsid w:val="00333DF5"/>
    <w:rsid w:val="00334E6F"/>
    <w:rsid w:val="003359C2"/>
    <w:rsid w:val="00345092"/>
    <w:rsid w:val="00345276"/>
    <w:rsid w:val="003471B5"/>
    <w:rsid w:val="003570A0"/>
    <w:rsid w:val="00361B92"/>
    <w:rsid w:val="003662D8"/>
    <w:rsid w:val="00366367"/>
    <w:rsid w:val="00382D9B"/>
    <w:rsid w:val="00385087"/>
    <w:rsid w:val="00395D9F"/>
    <w:rsid w:val="00397A32"/>
    <w:rsid w:val="003A1201"/>
    <w:rsid w:val="003A74C5"/>
    <w:rsid w:val="003B4F7D"/>
    <w:rsid w:val="003C60EF"/>
    <w:rsid w:val="003E6439"/>
    <w:rsid w:val="003F20A6"/>
    <w:rsid w:val="00404FA2"/>
    <w:rsid w:val="004242F4"/>
    <w:rsid w:val="00425361"/>
    <w:rsid w:val="004262D6"/>
    <w:rsid w:val="0043243C"/>
    <w:rsid w:val="004341DA"/>
    <w:rsid w:val="00441955"/>
    <w:rsid w:val="004420EC"/>
    <w:rsid w:val="00444AC0"/>
    <w:rsid w:val="0045263D"/>
    <w:rsid w:val="00465E75"/>
    <w:rsid w:val="00476184"/>
    <w:rsid w:val="00481894"/>
    <w:rsid w:val="00486865"/>
    <w:rsid w:val="004A199C"/>
    <w:rsid w:val="004B25FE"/>
    <w:rsid w:val="004B41BC"/>
    <w:rsid w:val="004B66B1"/>
    <w:rsid w:val="004C21F5"/>
    <w:rsid w:val="004D05DB"/>
    <w:rsid w:val="004E7888"/>
    <w:rsid w:val="004F0A21"/>
    <w:rsid w:val="00502F52"/>
    <w:rsid w:val="00525C6E"/>
    <w:rsid w:val="0052624B"/>
    <w:rsid w:val="005323AA"/>
    <w:rsid w:val="00541D19"/>
    <w:rsid w:val="0055400F"/>
    <w:rsid w:val="00556555"/>
    <w:rsid w:val="00561CBB"/>
    <w:rsid w:val="00565BDF"/>
    <w:rsid w:val="0056798C"/>
    <w:rsid w:val="00573D5B"/>
    <w:rsid w:val="0057673D"/>
    <w:rsid w:val="00582530"/>
    <w:rsid w:val="00590957"/>
    <w:rsid w:val="0059336F"/>
    <w:rsid w:val="00595285"/>
    <w:rsid w:val="005A2C54"/>
    <w:rsid w:val="005A5A4D"/>
    <w:rsid w:val="005B4036"/>
    <w:rsid w:val="005B6F35"/>
    <w:rsid w:val="005D01B3"/>
    <w:rsid w:val="005F0F21"/>
    <w:rsid w:val="005F1FC8"/>
    <w:rsid w:val="005F5BEC"/>
    <w:rsid w:val="0062018B"/>
    <w:rsid w:val="006271FC"/>
    <w:rsid w:val="00630374"/>
    <w:rsid w:val="006344E5"/>
    <w:rsid w:val="00640ACE"/>
    <w:rsid w:val="00655B5A"/>
    <w:rsid w:val="00662D25"/>
    <w:rsid w:val="00671771"/>
    <w:rsid w:val="00690865"/>
    <w:rsid w:val="006C7801"/>
    <w:rsid w:val="006D3D13"/>
    <w:rsid w:val="006E3425"/>
    <w:rsid w:val="006E5EC1"/>
    <w:rsid w:val="006F3C71"/>
    <w:rsid w:val="006F5FBA"/>
    <w:rsid w:val="00702B69"/>
    <w:rsid w:val="00717DA1"/>
    <w:rsid w:val="00725C59"/>
    <w:rsid w:val="00726570"/>
    <w:rsid w:val="00726F49"/>
    <w:rsid w:val="007325DE"/>
    <w:rsid w:val="0073285C"/>
    <w:rsid w:val="00733931"/>
    <w:rsid w:val="00735128"/>
    <w:rsid w:val="007512B3"/>
    <w:rsid w:val="00760B24"/>
    <w:rsid w:val="007803CD"/>
    <w:rsid w:val="007A062C"/>
    <w:rsid w:val="007A522E"/>
    <w:rsid w:val="007B0F09"/>
    <w:rsid w:val="007B2319"/>
    <w:rsid w:val="007C7200"/>
    <w:rsid w:val="007D2621"/>
    <w:rsid w:val="007D5DC2"/>
    <w:rsid w:val="007E13C6"/>
    <w:rsid w:val="007F4554"/>
    <w:rsid w:val="007F49A4"/>
    <w:rsid w:val="007F4B99"/>
    <w:rsid w:val="00800F91"/>
    <w:rsid w:val="008111E1"/>
    <w:rsid w:val="00817672"/>
    <w:rsid w:val="00820F76"/>
    <w:rsid w:val="0086321C"/>
    <w:rsid w:val="0086365D"/>
    <w:rsid w:val="00865B30"/>
    <w:rsid w:val="00866BD7"/>
    <w:rsid w:val="00874219"/>
    <w:rsid w:val="0088163E"/>
    <w:rsid w:val="008825C1"/>
    <w:rsid w:val="0088460F"/>
    <w:rsid w:val="008902DC"/>
    <w:rsid w:val="00893874"/>
    <w:rsid w:val="00896621"/>
    <w:rsid w:val="00897C04"/>
    <w:rsid w:val="008C6ED2"/>
    <w:rsid w:val="008D55E7"/>
    <w:rsid w:val="008F576D"/>
    <w:rsid w:val="009075A1"/>
    <w:rsid w:val="00913FBF"/>
    <w:rsid w:val="0091581B"/>
    <w:rsid w:val="00916285"/>
    <w:rsid w:val="00916532"/>
    <w:rsid w:val="00923C7E"/>
    <w:rsid w:val="00936704"/>
    <w:rsid w:val="009423C9"/>
    <w:rsid w:val="00947EDB"/>
    <w:rsid w:val="009606BC"/>
    <w:rsid w:val="00967E57"/>
    <w:rsid w:val="00994E59"/>
    <w:rsid w:val="009A6542"/>
    <w:rsid w:val="009C5F45"/>
    <w:rsid w:val="009D66D2"/>
    <w:rsid w:val="009E44A6"/>
    <w:rsid w:val="009F3FDD"/>
    <w:rsid w:val="00A10F7F"/>
    <w:rsid w:val="00A124F9"/>
    <w:rsid w:val="00A1433A"/>
    <w:rsid w:val="00A148CE"/>
    <w:rsid w:val="00A24465"/>
    <w:rsid w:val="00A278BD"/>
    <w:rsid w:val="00A40610"/>
    <w:rsid w:val="00A40C66"/>
    <w:rsid w:val="00A4220E"/>
    <w:rsid w:val="00A44A63"/>
    <w:rsid w:val="00A54EBA"/>
    <w:rsid w:val="00A64A5B"/>
    <w:rsid w:val="00A72420"/>
    <w:rsid w:val="00A72FDD"/>
    <w:rsid w:val="00A75297"/>
    <w:rsid w:val="00A81C33"/>
    <w:rsid w:val="00A824EB"/>
    <w:rsid w:val="00AA1C3E"/>
    <w:rsid w:val="00AA49A9"/>
    <w:rsid w:val="00AB73B6"/>
    <w:rsid w:val="00AC125F"/>
    <w:rsid w:val="00AC6A89"/>
    <w:rsid w:val="00AD29A3"/>
    <w:rsid w:val="00AE2E94"/>
    <w:rsid w:val="00AF3C2A"/>
    <w:rsid w:val="00AF62AB"/>
    <w:rsid w:val="00AF7E00"/>
    <w:rsid w:val="00B067EB"/>
    <w:rsid w:val="00B1132D"/>
    <w:rsid w:val="00B14C37"/>
    <w:rsid w:val="00B361DF"/>
    <w:rsid w:val="00B47672"/>
    <w:rsid w:val="00B54440"/>
    <w:rsid w:val="00B554E7"/>
    <w:rsid w:val="00B71E24"/>
    <w:rsid w:val="00B73ABB"/>
    <w:rsid w:val="00B85762"/>
    <w:rsid w:val="00BA2BBD"/>
    <w:rsid w:val="00BA6E4E"/>
    <w:rsid w:val="00BB55E0"/>
    <w:rsid w:val="00BB6506"/>
    <w:rsid w:val="00BC17FA"/>
    <w:rsid w:val="00BC27CF"/>
    <w:rsid w:val="00BC36B2"/>
    <w:rsid w:val="00BC3F35"/>
    <w:rsid w:val="00BD49FB"/>
    <w:rsid w:val="00BD4ED9"/>
    <w:rsid w:val="00BD512B"/>
    <w:rsid w:val="00BD7232"/>
    <w:rsid w:val="00BE1921"/>
    <w:rsid w:val="00BE1FD8"/>
    <w:rsid w:val="00BF35E8"/>
    <w:rsid w:val="00BF4A0E"/>
    <w:rsid w:val="00C035B5"/>
    <w:rsid w:val="00C21AB6"/>
    <w:rsid w:val="00C3262F"/>
    <w:rsid w:val="00C3329D"/>
    <w:rsid w:val="00C343CC"/>
    <w:rsid w:val="00C44EF4"/>
    <w:rsid w:val="00C53622"/>
    <w:rsid w:val="00C66E1E"/>
    <w:rsid w:val="00C676BA"/>
    <w:rsid w:val="00C81AB4"/>
    <w:rsid w:val="00C85795"/>
    <w:rsid w:val="00C857BF"/>
    <w:rsid w:val="00CA5BCC"/>
    <w:rsid w:val="00CA60EC"/>
    <w:rsid w:val="00CC59AE"/>
    <w:rsid w:val="00CC7B51"/>
    <w:rsid w:val="00D05858"/>
    <w:rsid w:val="00D2102C"/>
    <w:rsid w:val="00D25ED4"/>
    <w:rsid w:val="00D27E94"/>
    <w:rsid w:val="00D300F1"/>
    <w:rsid w:val="00D36D52"/>
    <w:rsid w:val="00D53588"/>
    <w:rsid w:val="00D54A68"/>
    <w:rsid w:val="00D56DEA"/>
    <w:rsid w:val="00D72DAC"/>
    <w:rsid w:val="00D75ABD"/>
    <w:rsid w:val="00D80D07"/>
    <w:rsid w:val="00D925F2"/>
    <w:rsid w:val="00D9481E"/>
    <w:rsid w:val="00DA62C7"/>
    <w:rsid w:val="00DB7747"/>
    <w:rsid w:val="00DC3BDF"/>
    <w:rsid w:val="00DD17CC"/>
    <w:rsid w:val="00DD19ED"/>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4370C"/>
    <w:rsid w:val="00E56ECD"/>
    <w:rsid w:val="00E90A55"/>
    <w:rsid w:val="00E95973"/>
    <w:rsid w:val="00E95C99"/>
    <w:rsid w:val="00EA5C79"/>
    <w:rsid w:val="00EB2027"/>
    <w:rsid w:val="00EC01CF"/>
    <w:rsid w:val="00EC0547"/>
    <w:rsid w:val="00EC7CAE"/>
    <w:rsid w:val="00ED2437"/>
    <w:rsid w:val="00ED70B8"/>
    <w:rsid w:val="00EE3803"/>
    <w:rsid w:val="00EE53E4"/>
    <w:rsid w:val="00EF15FB"/>
    <w:rsid w:val="00EF53F1"/>
    <w:rsid w:val="00F0149B"/>
    <w:rsid w:val="00F33D8E"/>
    <w:rsid w:val="00F412F9"/>
    <w:rsid w:val="00F51729"/>
    <w:rsid w:val="00F8646A"/>
    <w:rsid w:val="00F876DE"/>
    <w:rsid w:val="00FC3A3C"/>
    <w:rsid w:val="00FF0CC9"/>
    <w:rsid w:val="00FF1750"/>
    <w:rsid w:val="00FF721E"/>
    <w:rsid w:val="174F5A48"/>
    <w:rsid w:val="226024DF"/>
    <w:rsid w:val="2BA352F2"/>
    <w:rsid w:val="2C3E452C"/>
    <w:rsid w:val="3F107CA1"/>
    <w:rsid w:val="43B80ED3"/>
    <w:rsid w:val="491C6D9E"/>
    <w:rsid w:val="49AA738B"/>
    <w:rsid w:val="4D0C76E6"/>
    <w:rsid w:val="5D5D3B0A"/>
    <w:rsid w:val="5F710612"/>
    <w:rsid w:val="63EE7680"/>
    <w:rsid w:val="64F5357A"/>
    <w:rsid w:val="67C664FE"/>
    <w:rsid w:val="67DE2718"/>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qFormat/>
    <w:uiPriority w:val="9"/>
    <w:rPr>
      <w:rFonts w:asciiTheme="majorHAnsi" w:hAnsiTheme="majorHAnsi" w:eastAsiaTheme="majorEastAsia" w:cstheme="majorBidi"/>
      <w:b/>
      <w:bCs/>
      <w:sz w:val="28"/>
      <w:szCs w:val="28"/>
    </w:rPr>
  </w:style>
  <w:style w:type="character" w:customStyle="1" w:styleId="33">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正文文本 字符"/>
    <w:basedOn w:val="27"/>
    <w:link w:val="13"/>
    <w:semiHidden/>
    <w:qFormat/>
    <w:uiPriority w:val="99"/>
  </w:style>
  <w:style w:type="character" w:customStyle="1" w:styleId="41">
    <w:name w:val="纯文本 字符"/>
    <w:basedOn w:val="27"/>
    <w:link w:val="15"/>
    <w:qFormat/>
    <w:uiPriority w:val="0"/>
    <w:rPr>
      <w:rFonts w:hAnsi="Courier New" w:cs="Courier New" w:asciiTheme="minorEastAsia"/>
    </w:rPr>
  </w:style>
  <w:style w:type="character" w:customStyle="1" w:styleId="42">
    <w:name w:val="页脚 字符"/>
    <w:basedOn w:val="27"/>
    <w:link w:val="18"/>
    <w:qFormat/>
    <w:uiPriority w:val="99"/>
    <w:rPr>
      <w:sz w:val="18"/>
      <w:szCs w:val="18"/>
    </w:rPr>
  </w:style>
  <w:style w:type="character" w:customStyle="1" w:styleId="43">
    <w:name w:val="页眉 字符"/>
    <w:basedOn w:val="27"/>
    <w:link w:val="19"/>
    <w:qFormat/>
    <w:uiPriority w:val="99"/>
    <w:rPr>
      <w:sz w:val="18"/>
      <w:szCs w:val="18"/>
    </w:rPr>
  </w:style>
  <w:style w:type="character" w:customStyle="1" w:styleId="44">
    <w:name w:val="副标题 字符"/>
    <w:basedOn w:val="27"/>
    <w:link w:val="21"/>
    <w:qFormat/>
    <w:uiPriority w:val="11"/>
    <w:rPr>
      <w:rFonts w:asciiTheme="majorHAnsi" w:hAnsiTheme="majorHAnsi" w:eastAsiaTheme="majorEastAsia" w:cstheme="majorBidi"/>
      <w:sz w:val="24"/>
      <w:szCs w:val="24"/>
    </w:rPr>
  </w:style>
  <w:style w:type="character" w:customStyle="1" w:styleId="45">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6">
    <w:name w:val="标题 字符"/>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字符"/>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7FE74D-A6BE-4027-8E14-C9A394961C2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868</Words>
  <Characters>4949</Characters>
  <Lines>41</Lines>
  <Paragraphs>11</Paragraphs>
  <TotalTime>1</TotalTime>
  <ScaleCrop>false</ScaleCrop>
  <LinksUpToDate>false</LinksUpToDate>
  <CharactersWithSpaces>5806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2022-01-13T02:10:00Z</dcterms:created>
  <dc:creator>树亮 门</dc:creator>
  <cp:lastModifiedBy>il雅琼</cp:lastModifiedBy>
  <cp:lastPrinted>2020-07-28T09:28:00Z</cp:lastPrinted>
  <dcterms:modified xsi:type="dcterms:W3CDTF">2022-01-13T09:51:55Z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C8CEFDD4C38E4CF3B12A245951AB24D3</vt:lpwstr>
  </property>
</Properties>
</file>