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182" w:name="_GoBack"/>
      <w:bookmarkEnd w:id="182"/>
    </w:p>
    <w:p>
      <w:pPr>
        <w:jc w:val="center"/>
        <w:rPr>
          <w:color w:val="auto"/>
        </w:rPr>
      </w:pPr>
      <w:bookmarkStart w:id="0" w:name="_Hlk38472698"/>
      <w:r>
        <w:rPr>
          <w:rFonts w:hint="eastAsia" w:ascii="仿宋" w:hAnsi="仿宋" w:eastAsia="仿宋"/>
          <w:b/>
          <w:color w:val="auto"/>
          <w:sz w:val="72"/>
          <w:szCs w:val="72"/>
          <w:lang w:val="en-US" w:eastAsia="zh-CN"/>
        </w:rPr>
        <w:drawing>
          <wp:inline distT="0" distB="0" distL="114300" distR="114300">
            <wp:extent cx="5909945" cy="941705"/>
            <wp:effectExtent l="0" t="0" r="14605" b="10795"/>
            <wp:docPr id="1" name="图片 1"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e17fb75101ff16f5eb68e7a59cb101"/>
                    <pic:cNvPicPr>
                      <a:picLocks noChangeAspect="1"/>
                    </pic:cNvPicPr>
                  </pic:nvPicPr>
                  <pic:blipFill>
                    <a:blip r:embed="rId13"/>
                    <a:stretch>
                      <a:fillRect/>
                    </a:stretch>
                  </pic:blipFill>
                  <pic:spPr>
                    <a:xfrm>
                      <a:off x="0" y="0"/>
                      <a:ext cx="5909945" cy="941705"/>
                    </a:xfrm>
                    <a:prstGeom prst="rect">
                      <a:avLst/>
                    </a:prstGeom>
                  </pic:spPr>
                </pic:pic>
              </a:graphicData>
            </a:graphic>
          </wp:inline>
        </w:drawing>
      </w:r>
    </w:p>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2022年</w:t>
      </w:r>
      <w:r>
        <w:rPr>
          <w:rFonts w:hint="eastAsia" w:ascii="仿宋" w:hAnsi="仿宋" w:eastAsia="仿宋"/>
          <w:b/>
          <w:color w:val="auto"/>
          <w:sz w:val="44"/>
          <w:szCs w:val="44"/>
          <w:lang w:eastAsia="zh-CN"/>
        </w:rPr>
        <w:t>新生体检</w:t>
      </w:r>
      <w:r>
        <w:rPr>
          <w:rFonts w:hint="eastAsia" w:ascii="仿宋" w:hAnsi="仿宋" w:eastAsia="仿宋"/>
          <w:b/>
          <w:color w:val="auto"/>
          <w:sz w:val="44"/>
          <w:szCs w:val="44"/>
        </w:rPr>
        <w:t>项目</w:t>
      </w:r>
    </w:p>
    <w:bookmarkEnd w:id="0"/>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331" w:firstLineChars="645"/>
        <w:rPr>
          <w:rFonts w:hint="eastAsia" w:ascii="仿宋" w:hAnsi="仿宋" w:eastAsia="仿宋"/>
          <w:b/>
          <w:color w:val="auto"/>
          <w:sz w:val="36"/>
          <w:szCs w:val="36"/>
          <w:lang w:val="en-US" w:eastAsia="zh-CN"/>
        </w:rPr>
      </w:pPr>
      <w:r>
        <w:rPr>
          <w:rFonts w:hint="eastAsia" w:ascii="仿宋" w:hAnsi="仿宋" w:eastAsia="仿宋"/>
          <w:b/>
          <w:color w:val="auto"/>
          <w:sz w:val="36"/>
          <w:szCs w:val="36"/>
        </w:rPr>
        <w:t>项目编号：XT-GKXJ202</w:t>
      </w:r>
      <w:r>
        <w:rPr>
          <w:rFonts w:hint="eastAsia" w:ascii="仿宋" w:hAnsi="仿宋" w:eastAsia="仿宋"/>
          <w:b/>
          <w:color w:val="auto"/>
          <w:sz w:val="36"/>
          <w:szCs w:val="36"/>
          <w:lang w:val="en-US" w:eastAsia="zh-CN"/>
        </w:rPr>
        <w:t>2</w:t>
      </w:r>
      <w:r>
        <w:rPr>
          <w:rFonts w:hint="eastAsia" w:ascii="仿宋" w:hAnsi="仿宋" w:eastAsia="仿宋"/>
          <w:b/>
          <w:color w:val="auto"/>
          <w:sz w:val="36"/>
          <w:szCs w:val="36"/>
        </w:rPr>
        <w:t>0</w:t>
      </w:r>
      <w:r>
        <w:rPr>
          <w:rFonts w:hint="eastAsia" w:ascii="仿宋" w:hAnsi="仿宋" w:eastAsia="仿宋"/>
          <w:b/>
          <w:color w:val="auto"/>
          <w:sz w:val="36"/>
          <w:szCs w:val="36"/>
          <w:lang w:val="en-US" w:eastAsia="zh-CN"/>
        </w:rPr>
        <w:t>3</w:t>
      </w:r>
    </w:p>
    <w:p>
      <w:pPr>
        <w:spacing w:line="500" w:lineRule="exact"/>
        <w:ind w:firstLine="2331" w:firstLineChars="645"/>
        <w:rPr>
          <w:rFonts w:hint="default" w:ascii="仿宋" w:hAnsi="仿宋" w:eastAsia="仿宋"/>
          <w:b/>
          <w:color w:val="auto"/>
          <w:sz w:val="36"/>
          <w:szCs w:val="36"/>
          <w:lang w:val="en-US" w:eastAsia="zh-CN"/>
        </w:rPr>
      </w:pPr>
      <w:bookmarkStart w:id="1" w:name="_Toc169332792"/>
      <w:bookmarkStart w:id="2" w:name="_Toc160880485"/>
      <w:bookmarkStart w:id="3" w:name="_Toc160880118"/>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67059519"/>
      <w:bookmarkStart w:id="5" w:name="_Toc267059161"/>
      <w:bookmarkStart w:id="6" w:name="_Toc267060022"/>
      <w:bookmarkStart w:id="7" w:name="_Toc266868924"/>
      <w:bookmarkStart w:id="8" w:name="_Toc217891359"/>
      <w:bookmarkStart w:id="9" w:name="_Toc235438227"/>
      <w:bookmarkStart w:id="10" w:name="_Toc219800200"/>
      <w:bookmarkStart w:id="11" w:name="_Toc253066567"/>
      <w:bookmarkStart w:id="12" w:name="_Toc267060162"/>
      <w:bookmarkStart w:id="13" w:name="_Toc169332904"/>
      <w:bookmarkStart w:id="14" w:name="_Toc212530253"/>
      <w:bookmarkStart w:id="15" w:name="_Toc227058483"/>
      <w:bookmarkStart w:id="16" w:name="_Toc255974963"/>
      <w:bookmarkStart w:id="17" w:name="_Toc216241307"/>
      <w:bookmarkStart w:id="18" w:name="_Toc160880487"/>
      <w:bookmarkStart w:id="19" w:name="_Toc223146565"/>
      <w:bookmarkStart w:id="20" w:name="_Toc251586187"/>
      <w:bookmarkStart w:id="21" w:name="_Toc266870861"/>
      <w:bookmarkStart w:id="22" w:name="_Toc267059899"/>
      <w:bookmarkStart w:id="23" w:name="_Toc259520819"/>
      <w:bookmarkStart w:id="24" w:name="_Toc267059010"/>
      <w:bookmarkStart w:id="25" w:name="_Toc212454753"/>
      <w:bookmarkStart w:id="26" w:name="_Toc266870386"/>
      <w:bookmarkStart w:id="27" w:name="_Toc207014580"/>
      <w:bookmarkStart w:id="28" w:name="_Toc235438297"/>
      <w:bookmarkStart w:id="29" w:name="_Toc266868624"/>
      <w:bookmarkStart w:id="30" w:name="_Toc170798743"/>
      <w:bookmarkStart w:id="31" w:name="_Toc273178686"/>
      <w:bookmarkStart w:id="32" w:name="_Toc259692693"/>
      <w:bookmarkStart w:id="33" w:name="_Toc251613780"/>
      <w:bookmarkStart w:id="34" w:name="_Toc267060407"/>
      <w:bookmarkStart w:id="35" w:name="_Toc267059786"/>
      <w:bookmarkStart w:id="36" w:name="_Toc254790852"/>
      <w:bookmarkStart w:id="37" w:name="_Toc249325665"/>
      <w:bookmarkStart w:id="38" w:name="_Toc235437942"/>
      <w:bookmarkStart w:id="39" w:name="_Toc267059633"/>
      <w:bookmarkStart w:id="40" w:name="_Toc259692600"/>
      <w:bookmarkStart w:id="41" w:name="_Toc211937196"/>
      <w:bookmarkStart w:id="42" w:name="_Toc177985424"/>
      <w:bookmarkStart w:id="43" w:name="_Toc225669277"/>
      <w:bookmarkStart w:id="44" w:name="_Toc212526081"/>
      <w:bookmarkStart w:id="45" w:name="_Toc212456146"/>
      <w:bookmarkStart w:id="46" w:name="_Toc258401210"/>
      <w:bookmarkStart w:id="47" w:name="_Toc236021402"/>
      <w:bookmarkStart w:id="48" w:name="_Toc169332794"/>
      <w:r>
        <w:rPr>
          <w:rFonts w:hint="eastAsia" w:ascii="仿宋" w:hAnsi="仿宋" w:eastAsia="仿宋"/>
          <w:b/>
          <w:color w:val="auto"/>
          <w:sz w:val="36"/>
          <w:szCs w:val="36"/>
          <w:lang w:val="en-US" w:eastAsia="zh-CN"/>
        </w:rPr>
        <w:t>2022年</w:t>
      </w:r>
      <w:r>
        <w:rPr>
          <w:rFonts w:hint="eastAsia" w:ascii="仿宋" w:hAnsi="仿宋" w:eastAsia="仿宋"/>
          <w:b/>
          <w:color w:val="auto"/>
          <w:sz w:val="36"/>
          <w:szCs w:val="36"/>
          <w:lang w:eastAsia="zh-CN"/>
        </w:rPr>
        <w:t>新生体检</w:t>
      </w:r>
      <w:r>
        <w:rPr>
          <w:rFonts w:hint="eastAsia" w:ascii="仿宋" w:hAnsi="仿宋" w:eastAsia="仿宋"/>
          <w:b/>
          <w:color w:val="auto"/>
          <w:sz w:val="36"/>
          <w:szCs w:val="36"/>
          <w:lang w:val="en-US" w:eastAsia="zh-CN"/>
        </w:rPr>
        <w:t>项目</w:t>
      </w:r>
    </w:p>
    <w:p>
      <w:pPr>
        <w:pStyle w:val="51"/>
        <w:spacing w:line="360" w:lineRule="auto"/>
        <w:jc w:val="center"/>
        <w:outlineLvl w:val="0"/>
        <w:rPr>
          <w:rFonts w:hint="eastAsia" w:ascii="仿宋" w:hAnsi="仿宋" w:eastAsia="仿宋"/>
          <w:b/>
          <w:color w:val="auto"/>
          <w:sz w:val="44"/>
          <w:szCs w:val="44"/>
        </w:rPr>
      </w:pPr>
    </w:p>
    <w:p>
      <w:pPr>
        <w:pStyle w:val="51"/>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hint="eastAsia" w:ascii="仿宋" w:hAnsi="仿宋" w:eastAsia="仿宋"/>
          <w:color w:val="auto"/>
          <w:sz w:val="28"/>
          <w:szCs w:val="28"/>
        </w:rPr>
      </w:pPr>
      <w:bookmarkStart w:id="49" w:name="_Hlk10840310"/>
      <w:r>
        <w:rPr>
          <w:rFonts w:hint="eastAsia" w:ascii="仿宋" w:hAnsi="仿宋" w:eastAsia="仿宋"/>
          <w:color w:val="auto"/>
          <w:sz w:val="28"/>
          <w:szCs w:val="28"/>
        </w:rPr>
        <w:t>西安铁道技师学院坐落于历史名城古都西安，总校位于风光绮丽的白鹿原大学城，占地面积500余亩，环境优美，红莺翠柳，樱花烂漫。校园内公寓、餐厅、超市、银行等生活保障设施齐全，各类专业教室、计算机网络中心、实验实训设备满足了教学需求。总投资约10亿元人民币，在校生规模近3万人。</w:t>
      </w:r>
    </w:p>
    <w:p>
      <w:pPr>
        <w:spacing w:after="0" w:line="500" w:lineRule="exact"/>
        <w:ind w:firstLine="560" w:firstLineChars="200"/>
        <w:rPr>
          <w:rFonts w:ascii="仿宋" w:hAnsi="仿宋" w:eastAsia="仿宋"/>
          <w:color w:val="000000"/>
          <w:sz w:val="28"/>
          <w:szCs w:val="28"/>
        </w:rPr>
      </w:pPr>
      <w:r>
        <w:rPr>
          <w:rFonts w:hint="eastAsia" w:ascii="仿宋" w:hAnsi="仿宋" w:eastAsia="仿宋"/>
          <w:color w:val="auto"/>
          <w:sz w:val="28"/>
          <w:szCs w:val="28"/>
          <w:lang w:val="en-US" w:eastAsia="zh-CN"/>
        </w:rPr>
        <w:t>西安铁道技师学院根据使用要求，秉承公开、公平、公正的原则，现将2022年新生体检项目进行公开询价邀请，欢迎国内意向体检中心或者医院参与报价。</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b w:val="0"/>
          <w:bCs/>
          <w:color w:val="auto"/>
          <w:sz w:val="28"/>
          <w:szCs w:val="28"/>
        </w:rPr>
        <w:t>XT-GKXJ202</w:t>
      </w:r>
      <w:r>
        <w:rPr>
          <w:rFonts w:hint="eastAsia" w:ascii="仿宋" w:hAnsi="仿宋" w:eastAsia="仿宋"/>
          <w:b w:val="0"/>
          <w:bCs/>
          <w:color w:val="auto"/>
          <w:sz w:val="28"/>
          <w:szCs w:val="28"/>
          <w:lang w:val="en-US" w:eastAsia="zh-CN"/>
        </w:rPr>
        <w:t>2</w:t>
      </w:r>
      <w:r>
        <w:rPr>
          <w:rFonts w:hint="eastAsia" w:ascii="仿宋" w:hAnsi="仿宋" w:eastAsia="仿宋"/>
          <w:b w:val="0"/>
          <w:bCs/>
          <w:color w:val="auto"/>
          <w:sz w:val="28"/>
          <w:szCs w:val="28"/>
        </w:rPr>
        <w:t>0</w:t>
      </w:r>
      <w:r>
        <w:rPr>
          <w:rFonts w:hint="eastAsia" w:ascii="仿宋" w:hAnsi="仿宋" w:eastAsia="仿宋"/>
          <w:b w:val="0"/>
          <w:bCs/>
          <w:color w:val="auto"/>
          <w:sz w:val="28"/>
          <w:szCs w:val="28"/>
          <w:lang w:val="en-US" w:eastAsia="zh-CN"/>
        </w:rPr>
        <w:t>3</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2022年</w:t>
      </w:r>
      <w:r>
        <w:rPr>
          <w:rFonts w:hint="eastAsia" w:ascii="仿宋" w:hAnsi="仿宋" w:eastAsia="仿宋"/>
          <w:color w:val="auto"/>
          <w:sz w:val="28"/>
          <w:szCs w:val="28"/>
          <w:lang w:eastAsia="zh-CN"/>
        </w:rPr>
        <w:t>新生体检</w:t>
      </w:r>
      <w:r>
        <w:rPr>
          <w:rFonts w:hint="eastAsia" w:ascii="仿宋" w:hAnsi="仿宋" w:eastAsia="仿宋"/>
          <w:color w:val="auto"/>
          <w:sz w:val="28"/>
          <w:szCs w:val="28"/>
          <w:lang w:val="en-US" w:eastAsia="zh-CN"/>
        </w:rPr>
        <w:t>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w:t>
      </w:r>
      <w:r>
        <w:rPr>
          <w:rFonts w:hint="eastAsia" w:ascii="仿宋" w:hAnsi="仿宋" w:eastAsia="仿宋"/>
          <w:sz w:val="28"/>
          <w:szCs w:val="28"/>
        </w:rPr>
        <w:t>《公开询价项目介绍》</w:t>
      </w:r>
      <w:r>
        <w:rPr>
          <w:rFonts w:hint="eastAsia" w:ascii="仿宋" w:hAnsi="仿宋" w:eastAsia="仿宋"/>
          <w:color w:val="auto"/>
          <w:sz w:val="28"/>
          <w:szCs w:val="28"/>
        </w:rPr>
        <w:t>。</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spacing w:after="0" w:line="500" w:lineRule="exact"/>
        <w:ind w:left="1410" w:leftChars="322" w:hanging="702" w:hangingChars="251"/>
        <w:jc w:val="left"/>
        <w:rPr>
          <w:rFonts w:hint="eastAsia" w:ascii="仿宋" w:hAnsi="仿宋" w:eastAsia="仿宋"/>
          <w:color w:val="auto"/>
          <w:sz w:val="28"/>
          <w:szCs w:val="28"/>
        </w:rPr>
      </w:pP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1</w:t>
      </w:r>
      <w:r>
        <w:rPr>
          <w:rFonts w:hint="eastAsia" w:ascii="仿宋" w:hAnsi="仿宋" w:eastAsia="仿宋"/>
          <w:color w:val="auto"/>
          <w:sz w:val="28"/>
          <w:szCs w:val="28"/>
          <w:lang w:eastAsia="zh-CN"/>
        </w:rPr>
        <w:t>）参与人</w:t>
      </w:r>
      <w:r>
        <w:rPr>
          <w:rFonts w:hint="eastAsia" w:ascii="仿宋" w:hAnsi="仿宋" w:eastAsia="仿宋"/>
          <w:color w:val="auto"/>
          <w:sz w:val="28"/>
          <w:szCs w:val="28"/>
        </w:rPr>
        <w:t>应为体检中心或二级甲等以上医院(含军队二级甲等医院)，具有良好的技术能力、设备能力，且在</w:t>
      </w:r>
      <w:r>
        <w:rPr>
          <w:rFonts w:hint="eastAsia" w:ascii="仿宋" w:hAnsi="仿宋" w:eastAsia="仿宋"/>
          <w:color w:val="auto"/>
          <w:sz w:val="28"/>
          <w:szCs w:val="28"/>
          <w:lang w:val="en-US" w:eastAsia="zh-CN"/>
        </w:rPr>
        <w:t>2019</w:t>
      </w:r>
      <w:r>
        <w:rPr>
          <w:rFonts w:hint="eastAsia" w:ascii="仿宋" w:hAnsi="仿宋" w:eastAsia="仿宋"/>
          <w:color w:val="auto"/>
          <w:sz w:val="28"/>
          <w:szCs w:val="28"/>
        </w:rPr>
        <w:t>年至今（含201</w:t>
      </w:r>
      <w:r>
        <w:rPr>
          <w:rFonts w:hint="eastAsia" w:ascii="仿宋" w:hAnsi="仿宋" w:eastAsia="仿宋"/>
          <w:color w:val="auto"/>
          <w:sz w:val="28"/>
          <w:szCs w:val="28"/>
          <w:lang w:val="en-US" w:eastAsia="zh-CN"/>
        </w:rPr>
        <w:t>9</w:t>
      </w:r>
      <w:r>
        <w:rPr>
          <w:rFonts w:hint="eastAsia" w:ascii="仿宋" w:hAnsi="仿宋" w:eastAsia="仿宋"/>
          <w:color w:val="auto"/>
          <w:sz w:val="28"/>
          <w:szCs w:val="28"/>
        </w:rPr>
        <w:t>年）至少承担过单位</w:t>
      </w:r>
      <w:r>
        <w:rPr>
          <w:rFonts w:hint="eastAsia" w:ascii="仿宋" w:hAnsi="仿宋" w:eastAsia="仿宋"/>
          <w:color w:val="auto"/>
          <w:sz w:val="28"/>
          <w:szCs w:val="28"/>
          <w:lang w:val="en-US" w:eastAsia="zh-CN"/>
        </w:rPr>
        <w:t>8</w:t>
      </w:r>
      <w:r>
        <w:rPr>
          <w:rFonts w:hint="eastAsia" w:ascii="仿宋" w:hAnsi="仿宋" w:eastAsia="仿宋"/>
          <w:color w:val="auto"/>
          <w:sz w:val="28"/>
          <w:szCs w:val="28"/>
        </w:rPr>
        <w:t>00人以上的不少于</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个类似体检服务案例（需提供合同复印件或业主证明等证明材料）；</w:t>
      </w:r>
    </w:p>
    <w:p>
      <w:pPr>
        <w:spacing w:after="0" w:line="500" w:lineRule="exact"/>
        <w:ind w:left="1410" w:leftChars="322" w:hanging="702" w:hangingChars="251"/>
        <w:jc w:val="left"/>
        <w:rPr>
          <w:rFonts w:hint="eastAsia" w:ascii="仿宋" w:hAnsi="仿宋" w:eastAsia="仿宋"/>
          <w:color w:val="auto"/>
          <w:sz w:val="28"/>
          <w:szCs w:val="28"/>
        </w:rPr>
      </w:pP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2</w:t>
      </w:r>
      <w:r>
        <w:rPr>
          <w:rFonts w:hint="eastAsia" w:ascii="仿宋" w:hAnsi="仿宋" w:eastAsia="仿宋"/>
          <w:color w:val="auto"/>
          <w:sz w:val="28"/>
          <w:szCs w:val="28"/>
          <w:lang w:eastAsia="zh-CN"/>
        </w:rPr>
        <w:t>）</w:t>
      </w:r>
      <w:r>
        <w:rPr>
          <w:rFonts w:hint="eastAsia" w:ascii="仿宋" w:hAnsi="仿宋" w:eastAsia="仿宋"/>
          <w:color w:val="auto"/>
          <w:sz w:val="28"/>
          <w:szCs w:val="28"/>
        </w:rPr>
        <w:t>如</w:t>
      </w:r>
      <w:r>
        <w:rPr>
          <w:rFonts w:hint="eastAsia" w:ascii="仿宋" w:hAnsi="仿宋" w:eastAsia="仿宋"/>
          <w:color w:val="auto"/>
          <w:sz w:val="28"/>
          <w:szCs w:val="28"/>
          <w:lang w:eastAsia="zh-CN"/>
        </w:rPr>
        <w:t>参与人</w:t>
      </w:r>
      <w:r>
        <w:rPr>
          <w:rFonts w:hint="eastAsia" w:ascii="仿宋" w:hAnsi="仿宋" w:eastAsia="仿宋"/>
          <w:color w:val="auto"/>
          <w:sz w:val="28"/>
          <w:szCs w:val="28"/>
        </w:rPr>
        <w:t>为连锁性体检中心，则需指定其某一家门店进行</w:t>
      </w:r>
      <w:r>
        <w:rPr>
          <w:rFonts w:hint="eastAsia" w:ascii="仿宋" w:hAnsi="仿宋" w:eastAsia="仿宋"/>
          <w:color w:val="auto"/>
          <w:sz w:val="28"/>
          <w:szCs w:val="28"/>
          <w:lang w:eastAsia="zh-CN"/>
        </w:rPr>
        <w:t>参与</w:t>
      </w:r>
      <w:r>
        <w:rPr>
          <w:rFonts w:hint="eastAsia" w:ascii="仿宋" w:hAnsi="仿宋" w:eastAsia="仿宋"/>
          <w:color w:val="auto"/>
          <w:sz w:val="28"/>
          <w:szCs w:val="28"/>
        </w:rPr>
        <w:t>，该门店日接待能力不少于400人，所提供的设备、医生资格等相关材料也应是所投门店的实际情况。</w:t>
      </w:r>
      <w:r>
        <w:rPr>
          <w:rFonts w:hint="eastAsia" w:ascii="仿宋" w:hAnsi="仿宋" w:eastAsia="仿宋"/>
          <w:color w:val="auto"/>
          <w:sz w:val="28"/>
          <w:szCs w:val="28"/>
          <w:lang w:eastAsia="zh-CN"/>
        </w:rPr>
        <w:t>组织单位</w:t>
      </w:r>
      <w:r>
        <w:rPr>
          <w:rFonts w:hint="eastAsia" w:ascii="仿宋" w:hAnsi="仿宋" w:eastAsia="仿宋"/>
          <w:color w:val="auto"/>
          <w:sz w:val="28"/>
          <w:szCs w:val="28"/>
        </w:rPr>
        <w:t>有权利在</w:t>
      </w:r>
      <w:r>
        <w:rPr>
          <w:rFonts w:hint="eastAsia" w:ascii="仿宋" w:hAnsi="仿宋" w:eastAsia="仿宋"/>
          <w:color w:val="auto"/>
          <w:sz w:val="28"/>
          <w:szCs w:val="28"/>
          <w:lang w:eastAsia="zh-CN"/>
        </w:rPr>
        <w:t>参与</w:t>
      </w:r>
      <w:r>
        <w:rPr>
          <w:rFonts w:hint="eastAsia" w:ascii="仿宋" w:hAnsi="仿宋" w:eastAsia="仿宋"/>
          <w:color w:val="auto"/>
          <w:sz w:val="28"/>
          <w:szCs w:val="28"/>
        </w:rPr>
        <w:t>人</w:t>
      </w:r>
      <w:r>
        <w:rPr>
          <w:rFonts w:hint="eastAsia" w:ascii="仿宋" w:hAnsi="仿宋" w:eastAsia="仿宋"/>
          <w:color w:val="auto"/>
          <w:sz w:val="28"/>
          <w:szCs w:val="28"/>
          <w:lang w:eastAsia="zh-CN"/>
        </w:rPr>
        <w:t>选定</w:t>
      </w:r>
      <w:r>
        <w:rPr>
          <w:rFonts w:hint="eastAsia" w:ascii="仿宋" w:hAnsi="仿宋" w:eastAsia="仿宋"/>
          <w:color w:val="auto"/>
          <w:sz w:val="28"/>
          <w:szCs w:val="28"/>
        </w:rPr>
        <w:t>后对其进行实地审核，如发现虚假情况，则可取消</w:t>
      </w:r>
      <w:r>
        <w:rPr>
          <w:rFonts w:hint="eastAsia" w:ascii="仿宋" w:hAnsi="仿宋" w:eastAsia="仿宋"/>
          <w:color w:val="auto"/>
          <w:sz w:val="28"/>
          <w:szCs w:val="28"/>
          <w:lang w:eastAsia="zh-CN"/>
        </w:rPr>
        <w:t>其选定</w:t>
      </w:r>
      <w:r>
        <w:rPr>
          <w:rFonts w:hint="eastAsia" w:ascii="仿宋" w:hAnsi="仿宋" w:eastAsia="仿宋"/>
          <w:color w:val="auto"/>
          <w:sz w:val="28"/>
          <w:szCs w:val="28"/>
        </w:rPr>
        <w:t>资格;</w:t>
      </w:r>
    </w:p>
    <w:p>
      <w:pPr>
        <w:spacing w:after="0" w:line="500" w:lineRule="exact"/>
        <w:ind w:left="1410" w:leftChars="322" w:hanging="702" w:hangingChars="251"/>
        <w:jc w:val="left"/>
        <w:rPr>
          <w:rFonts w:hint="eastAsia"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参与人应遵守中国的有关法律、法规和规章的规定。</w:t>
      </w:r>
    </w:p>
    <w:p>
      <w:pPr>
        <w:spacing w:after="0" w:line="500" w:lineRule="exact"/>
        <w:ind w:left="1410" w:leftChars="322" w:hanging="702" w:hangingChars="251"/>
        <w:jc w:val="left"/>
        <w:rPr>
          <w:rFonts w:hint="eastAsia" w:ascii="仿宋" w:hAnsi="仿宋" w:eastAsia="仿宋"/>
          <w:color w:val="auto"/>
          <w:sz w:val="28"/>
          <w:szCs w:val="28"/>
        </w:rPr>
      </w:pP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4</w:t>
      </w:r>
      <w:r>
        <w:rPr>
          <w:rFonts w:hint="eastAsia" w:ascii="仿宋" w:hAnsi="仿宋" w:eastAsia="仿宋"/>
          <w:color w:val="auto"/>
          <w:sz w:val="28"/>
          <w:szCs w:val="28"/>
          <w:lang w:eastAsia="zh-CN"/>
        </w:rPr>
        <w:t>）</w:t>
      </w:r>
      <w:r>
        <w:rPr>
          <w:rFonts w:hint="eastAsia" w:ascii="仿宋" w:hAnsi="仿宋" w:eastAsia="仿宋"/>
          <w:color w:val="auto"/>
          <w:sz w:val="28"/>
          <w:szCs w:val="28"/>
        </w:rPr>
        <w:t>参与人须有良好的商业信誉和健全的财务制度。</w:t>
      </w:r>
    </w:p>
    <w:p>
      <w:pPr>
        <w:spacing w:after="0" w:line="500" w:lineRule="exact"/>
        <w:ind w:left="1410" w:leftChars="322" w:hanging="702" w:hangingChars="251"/>
        <w:jc w:val="left"/>
        <w:rPr>
          <w:rFonts w:hint="eastAsia" w:ascii="仿宋" w:hAnsi="仿宋" w:eastAsia="仿宋"/>
          <w:color w:val="auto"/>
          <w:sz w:val="28"/>
          <w:szCs w:val="28"/>
          <w:lang w:val="en-US" w:eastAsia="zh-CN"/>
        </w:rPr>
      </w:pP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5</w:t>
      </w:r>
      <w:r>
        <w:rPr>
          <w:rFonts w:hint="eastAsia" w:ascii="仿宋" w:hAnsi="仿宋" w:eastAsia="仿宋"/>
          <w:color w:val="auto"/>
          <w:sz w:val="28"/>
          <w:szCs w:val="28"/>
          <w:lang w:eastAsia="zh-CN"/>
        </w:rPr>
        <w:t>）</w:t>
      </w:r>
      <w:r>
        <w:rPr>
          <w:rFonts w:hint="eastAsia" w:ascii="仿宋" w:hAnsi="仿宋" w:eastAsia="仿宋"/>
          <w:color w:val="auto"/>
          <w:sz w:val="28"/>
          <w:szCs w:val="28"/>
        </w:rPr>
        <w:t>参与人有依法缴纳税金和社会保障资金的良好记录。</w:t>
      </w:r>
    </w:p>
    <w:p>
      <w:pPr>
        <w:spacing w:after="0" w:line="500" w:lineRule="exact"/>
        <w:ind w:left="1410" w:leftChars="322" w:hanging="702" w:hangingChars="251"/>
        <w:jc w:val="left"/>
        <w:rPr>
          <w:rFonts w:hint="eastAsia" w:ascii="仿宋" w:hAnsi="仿宋" w:eastAsia="仿宋"/>
          <w:color w:val="auto"/>
          <w:sz w:val="28"/>
          <w:szCs w:val="28"/>
        </w:rPr>
      </w:pP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6</w:t>
      </w:r>
      <w:r>
        <w:rPr>
          <w:rFonts w:hint="eastAsia" w:ascii="仿宋" w:hAnsi="仿宋" w:eastAsia="仿宋"/>
          <w:color w:val="auto"/>
          <w:sz w:val="28"/>
          <w:szCs w:val="28"/>
          <w:lang w:eastAsia="zh-CN"/>
        </w:rPr>
        <w:t>）参与人</w:t>
      </w:r>
      <w:r>
        <w:rPr>
          <w:rFonts w:hint="eastAsia" w:ascii="仿宋" w:hAnsi="仿宋" w:eastAsia="仿宋"/>
          <w:color w:val="auto"/>
          <w:sz w:val="28"/>
          <w:szCs w:val="28"/>
        </w:rPr>
        <w:t>的体检医师必须具备医师资质和执业证书;</w:t>
      </w:r>
    </w:p>
    <w:p>
      <w:pPr>
        <w:spacing w:after="0" w:line="500" w:lineRule="exact"/>
        <w:ind w:left="1410" w:leftChars="322" w:hanging="702" w:hangingChars="251"/>
        <w:jc w:val="left"/>
        <w:rPr>
          <w:rFonts w:hint="eastAsia" w:ascii="宋体" w:hAnsi="宋体" w:eastAsia="宋体" w:cs="宋体"/>
          <w:b w:val="0"/>
          <w:i w:val="0"/>
          <w:caps w:val="0"/>
          <w:color w:val="auto"/>
          <w:spacing w:val="0"/>
          <w:sz w:val="28"/>
          <w:szCs w:val="28"/>
        </w:rPr>
      </w:pP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7</w:t>
      </w:r>
      <w:r>
        <w:rPr>
          <w:rFonts w:hint="eastAsia" w:ascii="仿宋" w:hAnsi="仿宋" w:eastAsia="仿宋"/>
          <w:color w:val="auto"/>
          <w:sz w:val="28"/>
          <w:szCs w:val="28"/>
          <w:lang w:eastAsia="zh-CN"/>
        </w:rPr>
        <w:t>）</w:t>
      </w:r>
      <w:r>
        <w:rPr>
          <w:rFonts w:hint="eastAsia" w:ascii="仿宋" w:hAnsi="仿宋" w:eastAsia="仿宋"/>
          <w:color w:val="auto"/>
          <w:sz w:val="28"/>
          <w:szCs w:val="28"/>
        </w:rPr>
        <w:t>不得分包和转包;不接受联合体</w:t>
      </w:r>
      <w:r>
        <w:rPr>
          <w:rFonts w:hint="eastAsia" w:ascii="仿宋" w:hAnsi="仿宋" w:eastAsia="仿宋"/>
          <w:color w:val="auto"/>
          <w:sz w:val="28"/>
          <w:szCs w:val="28"/>
          <w:lang w:eastAsia="zh-CN"/>
        </w:rPr>
        <w:t>参与</w:t>
      </w:r>
      <w:r>
        <w:rPr>
          <w:rFonts w:hint="eastAsia" w:ascii="宋体" w:hAnsi="宋体" w:eastAsia="宋体" w:cs="宋体"/>
          <w:b w:val="0"/>
          <w:i w:val="0"/>
          <w:caps w:val="0"/>
          <w:color w:val="auto"/>
          <w:spacing w:val="0"/>
          <w:sz w:val="24"/>
          <w:szCs w:val="24"/>
          <w:shd w:val="clear" w:fill="FFFFFF"/>
        </w:rPr>
        <w:t>。</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报价响应文件递交方式：密封报价，按规定时间送达。</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w:t>
      </w:r>
      <w:r>
        <w:rPr>
          <w:rFonts w:hint="eastAsia" w:ascii="仿宋" w:hAnsi="仿宋" w:eastAsia="仿宋"/>
          <w:sz w:val="28"/>
          <w:szCs w:val="28"/>
          <w:shd w:val="clear" w:color="auto" w:fill="FFFFFF"/>
          <w:lang w:val="en-US" w:eastAsia="zh-CN"/>
        </w:rPr>
        <w:t>22</w:t>
      </w:r>
      <w:r>
        <w:rPr>
          <w:rFonts w:hint="eastAsia" w:ascii="仿宋" w:hAnsi="仿宋" w:eastAsia="仿宋"/>
          <w:sz w:val="28"/>
          <w:szCs w:val="28"/>
          <w:shd w:val="clear" w:color="auto" w:fill="FFFFFF"/>
        </w:rPr>
        <w:t>年</w:t>
      </w:r>
      <w:r>
        <w:rPr>
          <w:rFonts w:hint="eastAsia" w:ascii="仿宋" w:hAnsi="仿宋" w:eastAsia="仿宋"/>
          <w:sz w:val="28"/>
          <w:szCs w:val="28"/>
          <w:shd w:val="clear" w:color="auto" w:fill="FFFFFF"/>
          <w:lang w:val="en-US" w:eastAsia="zh-CN"/>
        </w:rPr>
        <w:t>3</w:t>
      </w:r>
      <w:r>
        <w:rPr>
          <w:rFonts w:ascii="仿宋" w:hAnsi="仿宋" w:eastAsia="仿宋"/>
          <w:sz w:val="28"/>
          <w:szCs w:val="28"/>
          <w:shd w:val="clear" w:color="auto" w:fill="FFFFFF"/>
        </w:rPr>
        <w:t>月</w:t>
      </w:r>
      <w:r>
        <w:rPr>
          <w:rFonts w:hint="eastAsia" w:ascii="仿宋" w:hAnsi="仿宋" w:eastAsia="仿宋"/>
          <w:color w:val="auto"/>
          <w:sz w:val="28"/>
          <w:szCs w:val="28"/>
          <w:highlight w:val="none"/>
          <w:shd w:val="clear" w:color="auto" w:fill="FFFFFF"/>
          <w:lang w:val="en-US" w:eastAsia="zh-CN"/>
        </w:rPr>
        <w:t>3</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下午</w:t>
      </w:r>
      <w:r>
        <w:rPr>
          <w:rFonts w:ascii="仿宋" w:hAnsi="仿宋" w:eastAsia="仿宋"/>
          <w:sz w:val="28"/>
          <w:szCs w:val="28"/>
          <w:shd w:val="clear" w:color="auto" w:fill="FFFFFF"/>
        </w:rPr>
        <w:t>16</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00</w:t>
      </w:r>
      <w:r>
        <w:rPr>
          <w:rFonts w:hint="eastAsia" w:ascii="仿宋" w:hAnsi="仿宋" w:eastAsia="仿宋"/>
          <w:sz w:val="28"/>
          <w:szCs w:val="28"/>
          <w:shd w:val="clear" w:color="auto" w:fill="FFFFFF"/>
        </w:rPr>
        <w:t>前</w:t>
      </w:r>
      <w:r>
        <w:rPr>
          <w:rFonts w:hint="eastAsia" w:ascii="仿宋" w:hAnsi="仿宋" w:eastAsia="仿宋"/>
          <w:sz w:val="28"/>
          <w:szCs w:val="28"/>
          <w:shd w:val="clear" w:color="auto" w:fill="FFFFFF"/>
          <w:lang w:eastAsia="zh-CN"/>
        </w:rPr>
        <w:t>，</w:t>
      </w:r>
      <w:r>
        <w:rPr>
          <w:rFonts w:ascii="仿宋_GB2312" w:hAnsi="宋体" w:eastAsia="仿宋_GB2312" w:cs="仿宋_GB2312"/>
          <w:i w:val="0"/>
          <w:iCs w:val="0"/>
          <w:caps w:val="0"/>
          <w:color w:val="000000"/>
          <w:spacing w:val="0"/>
          <w:sz w:val="27"/>
          <w:szCs w:val="27"/>
          <w:shd w:val="clear" w:fill="FFFFFF"/>
        </w:rPr>
        <w:t>逾期送达或不符合规定的文件将被拒绝接收</w:t>
      </w:r>
      <w:r>
        <w:rPr>
          <w:rFonts w:hint="eastAsia" w:ascii="仿宋" w:hAnsi="仿宋" w:eastAsia="仿宋"/>
          <w:sz w:val="28"/>
          <w:szCs w:val="28"/>
          <w:shd w:val="clear" w:color="auto" w:fill="FFFFFF"/>
        </w:rPr>
        <w:t>。</w:t>
      </w:r>
    </w:p>
    <w:p>
      <w:pPr>
        <w:spacing w:after="0" w:line="500" w:lineRule="exact"/>
        <w:ind w:firstLine="420" w:firstLineChars="150"/>
        <w:rPr>
          <w:rFonts w:ascii="仿宋" w:hAnsi="仿宋" w:eastAsia="仿宋"/>
          <w:color w:val="auto"/>
          <w:sz w:val="28"/>
          <w:szCs w:val="28"/>
        </w:rPr>
      </w:pPr>
      <w:r>
        <w:rPr>
          <w:rFonts w:ascii="仿宋" w:hAnsi="仿宋" w:eastAsia="仿宋"/>
          <w:sz w:val="28"/>
          <w:szCs w:val="28"/>
        </w:rPr>
        <w:t>7</w:t>
      </w:r>
      <w:r>
        <w:rPr>
          <w:rFonts w:hint="eastAsia" w:ascii="仿宋" w:hAnsi="仿宋" w:eastAsia="仿宋"/>
          <w:sz w:val="28"/>
          <w:szCs w:val="28"/>
        </w:rPr>
        <w:t>. 报价响应文件递交地点：</w:t>
      </w:r>
      <w:r>
        <w:rPr>
          <w:rFonts w:hint="eastAsia" w:ascii="仿宋" w:hAnsi="仿宋" w:eastAsia="仿宋"/>
          <w:color w:val="auto"/>
          <w:sz w:val="28"/>
          <w:szCs w:val="28"/>
          <w:lang w:eastAsia="zh-CN"/>
        </w:rPr>
        <w:t>西安铁道技师学院行政楼</w:t>
      </w:r>
      <w:r>
        <w:rPr>
          <w:rFonts w:hint="eastAsia" w:ascii="仿宋" w:hAnsi="仿宋" w:eastAsia="仿宋"/>
          <w:color w:val="auto"/>
          <w:sz w:val="28"/>
          <w:szCs w:val="28"/>
          <w:lang w:val="en-US" w:eastAsia="zh-CN"/>
        </w:rPr>
        <w:t>北</w:t>
      </w:r>
      <w:r>
        <w:rPr>
          <w:rFonts w:hint="eastAsia" w:ascii="仿宋" w:hAnsi="仿宋" w:eastAsia="仿宋"/>
          <w:color w:val="auto"/>
          <w:sz w:val="28"/>
          <w:szCs w:val="28"/>
          <w:lang w:eastAsia="zh-CN"/>
        </w:rPr>
        <w:t>楼</w:t>
      </w:r>
      <w:r>
        <w:rPr>
          <w:rFonts w:hint="eastAsia" w:ascii="仿宋" w:hAnsi="仿宋" w:eastAsia="仿宋"/>
          <w:color w:val="auto"/>
          <w:sz w:val="28"/>
          <w:szCs w:val="28"/>
          <w:lang w:val="en-US" w:eastAsia="zh-CN"/>
        </w:rPr>
        <w:t>219室</w:t>
      </w:r>
      <w:r>
        <w:rPr>
          <w:rFonts w:hint="eastAsia" w:ascii="仿宋" w:hAnsi="仿宋" w:eastAsia="仿宋"/>
          <w:color w:val="auto"/>
          <w:sz w:val="28"/>
          <w:szCs w:val="28"/>
        </w:rPr>
        <w:t>。</w:t>
      </w:r>
    </w:p>
    <w:p>
      <w:pPr>
        <w:spacing w:after="0" w:line="500" w:lineRule="exact"/>
        <w:ind w:left="839"/>
        <w:rPr>
          <w:rFonts w:hint="default" w:ascii="仿宋" w:hAnsi="仿宋" w:eastAsia="仿宋"/>
          <w:color w:val="auto"/>
          <w:sz w:val="28"/>
          <w:szCs w:val="28"/>
          <w:highlight w:val="yellow"/>
          <w:lang w:val="en-US" w:eastAsia="zh-CN"/>
        </w:rPr>
      </w:pPr>
      <w:r>
        <w:rPr>
          <w:rFonts w:hint="eastAsia" w:ascii="仿宋" w:hAnsi="仿宋" w:eastAsia="仿宋"/>
          <w:sz w:val="28"/>
          <w:szCs w:val="28"/>
        </w:rPr>
        <w:t>递交文件</w:t>
      </w:r>
      <w:r>
        <w:rPr>
          <w:rFonts w:hint="eastAsia" w:ascii="仿宋" w:hAnsi="仿宋" w:eastAsia="仿宋"/>
          <w:color w:val="auto"/>
          <w:sz w:val="28"/>
          <w:szCs w:val="28"/>
        </w:rPr>
        <w:t>联系人：</w:t>
      </w:r>
      <w:r>
        <w:rPr>
          <w:rFonts w:hint="eastAsia" w:ascii="仿宋" w:hAnsi="仿宋" w:eastAsia="仿宋"/>
          <w:color w:val="auto"/>
          <w:sz w:val="28"/>
          <w:szCs w:val="28"/>
          <w:lang w:val="en-US" w:eastAsia="zh-CN"/>
        </w:rPr>
        <w:t>程老师</w:t>
      </w:r>
      <w:r>
        <w:rPr>
          <w:rFonts w:hint="eastAsia" w:ascii="仿宋" w:hAnsi="仿宋" w:eastAsia="仿宋"/>
          <w:sz w:val="28"/>
          <w:szCs w:val="28"/>
          <w:lang w:eastAsia="zh-CN"/>
        </w:rPr>
        <w:t>；</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18091372420</w:t>
      </w:r>
    </w:p>
    <w:p>
      <w:pPr>
        <w:spacing w:after="0" w:line="500" w:lineRule="exact"/>
        <w:ind w:left="839"/>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项目答疑联系人：</w:t>
      </w:r>
      <w:r>
        <w:rPr>
          <w:rFonts w:hint="eastAsia" w:ascii="仿宋" w:hAnsi="仿宋" w:eastAsia="仿宋"/>
          <w:color w:val="auto"/>
          <w:sz w:val="28"/>
          <w:szCs w:val="28"/>
          <w:highlight w:val="none"/>
          <w:lang w:val="en-US" w:eastAsia="zh-CN"/>
        </w:rPr>
        <w:t>李老师</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联系电话：</w:t>
      </w:r>
      <w:r>
        <w:rPr>
          <w:rFonts w:hint="eastAsia" w:ascii="仿宋" w:hAnsi="仿宋" w:eastAsia="仿宋"/>
          <w:color w:val="auto"/>
          <w:sz w:val="28"/>
          <w:szCs w:val="28"/>
          <w:highlight w:val="none"/>
          <w:lang w:val="en-US" w:eastAsia="zh-CN"/>
        </w:rPr>
        <w:t>13184562464</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980" w:leftChars="190" w:hanging="562" w:hangingChars="200"/>
        <w:jc w:val="left"/>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8. 本项目最终成交结果会在中教集团后勤贤知平台“中标信息公示”板     块公示，网址：www.ceghqxz.com</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本项目监督投诉部门：中教集团内控部；投诉电话： 0791-88102608；</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default" w:ascii="仿宋" w:hAnsi="仿宋" w:eastAsia="仿宋"/>
          <w:color w:val="auto"/>
          <w:sz w:val="28"/>
          <w:szCs w:val="28"/>
          <w:lang w:val="en-US" w:eastAsia="zh-CN"/>
        </w:rPr>
      </w:pPr>
      <w:r>
        <w:rPr>
          <w:rFonts w:hint="eastAsia" w:ascii="仿宋" w:hAnsi="仿宋" w:eastAsia="仿宋"/>
          <w:b/>
          <w:bCs/>
          <w:color w:val="auto"/>
          <w:sz w:val="28"/>
          <w:szCs w:val="28"/>
          <w:lang w:val="en-US" w:eastAsia="zh-CN"/>
        </w:rPr>
        <w:t>投诉邮箱：Neikongbu@educationgroup.cn</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w:t>
      </w:r>
      <w:r>
        <w:rPr>
          <w:rFonts w:hint="eastAsia" w:ascii="仿宋" w:hAnsi="仿宋" w:eastAsia="仿宋"/>
          <w:b/>
          <w:bCs/>
          <w:color w:val="FF0000"/>
          <w:sz w:val="28"/>
          <w:szCs w:val="28"/>
        </w:rPr>
        <w:t>（正本</w:t>
      </w:r>
      <w:r>
        <w:rPr>
          <w:rFonts w:hint="eastAsia" w:ascii="仿宋" w:hAnsi="仿宋" w:eastAsia="仿宋"/>
          <w:b/>
          <w:bCs/>
          <w:color w:val="FF0000"/>
          <w:sz w:val="28"/>
          <w:szCs w:val="28"/>
          <w:lang w:val="en-US" w:eastAsia="zh-CN"/>
        </w:rPr>
        <w:t>1</w:t>
      </w:r>
      <w:r>
        <w:rPr>
          <w:rFonts w:hint="eastAsia" w:ascii="仿宋" w:hAnsi="仿宋" w:eastAsia="仿宋"/>
          <w:b/>
          <w:bCs/>
          <w:color w:val="FF0000"/>
          <w:sz w:val="28"/>
          <w:szCs w:val="28"/>
        </w:rPr>
        <w:t>份副本</w:t>
      </w:r>
      <w:r>
        <w:rPr>
          <w:rFonts w:hint="eastAsia" w:ascii="仿宋" w:hAnsi="仿宋" w:eastAsia="仿宋"/>
          <w:b/>
          <w:bCs/>
          <w:color w:val="FF0000"/>
          <w:sz w:val="28"/>
          <w:szCs w:val="28"/>
          <w:lang w:val="en-US" w:eastAsia="zh-CN"/>
        </w:rPr>
        <w:t>1</w:t>
      </w:r>
      <w:r>
        <w:rPr>
          <w:rFonts w:hint="eastAsia" w:ascii="仿宋" w:hAnsi="仿宋" w:eastAsia="仿宋"/>
          <w:b/>
          <w:bCs/>
          <w:color w:val="FF0000"/>
          <w:sz w:val="28"/>
          <w:szCs w:val="28"/>
        </w:rPr>
        <w:t>份）</w:t>
      </w:r>
      <w:r>
        <w:rPr>
          <w:rFonts w:hint="eastAsia" w:ascii="仿宋" w:hAnsi="仿宋" w:eastAsia="仿宋"/>
          <w:sz w:val="28"/>
          <w:szCs w:val="28"/>
        </w:rPr>
        <w:t>；</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lang w:val="en-US" w:eastAsia="zh-CN"/>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w:t>
      </w:r>
      <w:r>
        <w:rPr>
          <w:rFonts w:hint="eastAsia" w:ascii="仿宋" w:hAnsi="仿宋" w:eastAsia="仿宋"/>
          <w:sz w:val="28"/>
          <w:szCs w:val="28"/>
          <w:lang w:val="en-US" w:eastAsia="zh-CN"/>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hint="eastAsia" w:ascii="仿宋" w:hAnsi="仿宋" w:eastAsia="仿宋"/>
          <w:sz w:val="28"/>
          <w:szCs w:val="28"/>
        </w:rPr>
      </w:pPr>
      <w:r>
        <w:rPr>
          <w:rFonts w:hint="eastAsia" w:ascii="仿宋" w:hAnsi="仿宋" w:eastAsia="仿宋"/>
          <w:sz w:val="28"/>
          <w:szCs w:val="28"/>
        </w:rPr>
        <w:t>(3) 均为同一家母公司直接或间接持股50％及以上的被投资公司。</w:t>
      </w:r>
    </w:p>
    <w:p>
      <w:pPr>
        <w:widowControl w:val="0"/>
        <w:spacing w:after="0" w:line="500" w:lineRule="exact"/>
        <w:ind w:left="426"/>
        <w:jc w:val="left"/>
        <w:rPr>
          <w:rFonts w:hint="eastAsia" w:ascii="仿宋" w:hAnsi="仿宋" w:eastAsia="仿宋"/>
          <w:sz w:val="28"/>
          <w:szCs w:val="28"/>
          <w:lang w:val="en-US" w:eastAsia="zh-CN"/>
        </w:rPr>
      </w:pPr>
      <w:r>
        <w:rPr>
          <w:rFonts w:hint="eastAsia" w:ascii="仿宋" w:hAnsi="仿宋" w:eastAsia="仿宋"/>
          <w:sz w:val="28"/>
          <w:szCs w:val="28"/>
          <w:lang w:val="en-US" w:eastAsia="zh-CN"/>
        </w:rPr>
        <w:t>6. 体检所用设备由成交参与人提供；由甲方学工处组织学生，成交参与人需到学校规定时间内分批次对学生进行体检；</w:t>
      </w:r>
    </w:p>
    <w:p>
      <w:pPr>
        <w:widowControl w:val="0"/>
        <w:spacing w:after="0" w:line="500" w:lineRule="exact"/>
        <w:ind w:left="426"/>
        <w:jc w:val="left"/>
        <w:rPr>
          <w:rFonts w:hint="eastAsia" w:ascii="仿宋" w:hAnsi="仿宋" w:eastAsia="仿宋"/>
          <w:sz w:val="28"/>
          <w:szCs w:val="28"/>
          <w:lang w:val="en-US" w:eastAsia="zh-CN"/>
        </w:rPr>
      </w:pPr>
      <w:r>
        <w:rPr>
          <w:rFonts w:hint="eastAsia" w:ascii="仿宋" w:hAnsi="仿宋" w:eastAsia="仿宋"/>
          <w:sz w:val="28"/>
          <w:szCs w:val="28"/>
          <w:lang w:val="en-US" w:eastAsia="zh-CN"/>
        </w:rPr>
        <w:t>7. 体检中有异常问题出现需保密并及时向学校负责人及时沟通；</w:t>
      </w:r>
    </w:p>
    <w:p>
      <w:pPr>
        <w:widowControl w:val="0"/>
        <w:spacing w:after="0" w:line="500" w:lineRule="exact"/>
        <w:ind w:left="426"/>
        <w:jc w:val="left"/>
        <w:rPr>
          <w:rFonts w:hint="default" w:ascii="仿宋" w:hAnsi="仿宋" w:eastAsia="仿宋"/>
          <w:sz w:val="28"/>
          <w:szCs w:val="28"/>
          <w:lang w:val="en-US" w:eastAsia="zh-CN"/>
        </w:rPr>
      </w:pPr>
      <w:r>
        <w:rPr>
          <w:rFonts w:hint="eastAsia" w:ascii="仿宋" w:hAnsi="仿宋" w:eastAsia="仿宋"/>
          <w:sz w:val="28"/>
          <w:szCs w:val="28"/>
          <w:lang w:val="en-US" w:eastAsia="zh-CN"/>
        </w:rPr>
        <w:t>8. 预估体检人数在8000人左右，结算以实际体检人数为准。</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lang w:eastAsia="zh-CN"/>
        </w:rPr>
        <w:t>三</w:t>
      </w:r>
      <w:r>
        <w:rPr>
          <w:rFonts w:hint="eastAsia" w:ascii="仿宋" w:hAnsi="仿宋" w:eastAsia="仿宋"/>
          <w:color w:val="000000"/>
          <w:sz w:val="28"/>
          <w:szCs w:val="28"/>
        </w:rPr>
        <w:t>、确定成交参与人标准及原则：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经过磋商所报价格为合理价格的参与人为成交参与人，最低报价不作为成交的保证。</w:t>
      </w:r>
    </w:p>
    <w:p>
      <w:pPr>
        <w:rPr>
          <w:rFonts w:ascii="仿宋" w:hAnsi="仿宋" w:eastAsia="仿宋"/>
          <w:color w:val="auto"/>
          <w:sz w:val="28"/>
          <w:szCs w:val="28"/>
        </w:rPr>
      </w:pPr>
      <w:r>
        <w:rPr>
          <w:rFonts w:ascii="仿宋" w:hAnsi="仿宋" w:eastAsia="仿宋"/>
          <w:color w:val="auto"/>
          <w:sz w:val="28"/>
          <w:szCs w:val="28"/>
        </w:rPr>
        <w:br w:type="page"/>
      </w:r>
    </w:p>
    <w:p>
      <w:pPr>
        <w:pStyle w:val="51"/>
        <w:spacing w:line="360" w:lineRule="auto"/>
        <w:jc w:val="center"/>
        <w:outlineLvl w:val="0"/>
        <w:rPr>
          <w:rFonts w:ascii="仿宋" w:hAnsi="仿宋" w:eastAsia="仿宋"/>
          <w:b/>
          <w:bCs w:val="0"/>
          <w:color w:val="auto"/>
          <w:sz w:val="44"/>
          <w:szCs w:val="44"/>
        </w:rPr>
      </w:pPr>
      <w:r>
        <w:rPr>
          <w:rFonts w:hint="eastAsia" w:ascii="仿宋" w:hAnsi="仿宋" w:eastAsia="仿宋"/>
          <w:b/>
          <w:color w:val="auto"/>
          <w:sz w:val="44"/>
          <w:szCs w:val="44"/>
        </w:rPr>
        <w:t>二、</w:t>
      </w:r>
      <w:bookmarkEnd w:id="49"/>
      <w:r>
        <w:rPr>
          <w:rFonts w:hint="eastAsia" w:ascii="仿宋" w:hAnsi="仿宋" w:eastAsia="仿宋"/>
          <w:b/>
          <w:color w:val="auto"/>
          <w:sz w:val="44"/>
          <w:szCs w:val="44"/>
        </w:rPr>
        <w:t>公开询价项目介绍</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rFonts w:ascii="仿宋" w:hAnsi="仿宋" w:eastAsia="仿宋"/>
          <w:b/>
          <w:color w:val="FF0000"/>
          <w:sz w:val="36"/>
          <w:szCs w:val="36"/>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r>
        <w:rPr>
          <w:rFonts w:hint="eastAsia" w:ascii="仿宋" w:hAnsi="仿宋" w:eastAsia="仿宋" w:cs="仿宋"/>
          <w:b/>
          <w:i w:val="0"/>
          <w:color w:val="000000"/>
          <w:kern w:val="0"/>
          <w:sz w:val="28"/>
          <w:szCs w:val="28"/>
          <w:u w:val="none"/>
          <w:lang w:val="en-US" w:eastAsia="zh-CN" w:bidi="ar"/>
        </w:rPr>
        <w:t>2022年新生体检方案：</w:t>
      </w:r>
    </w:p>
    <w:tbl>
      <w:tblPr>
        <w:tblStyle w:val="24"/>
        <w:tblpPr w:leftFromText="180" w:rightFromText="180" w:vertAnchor="page" w:horzAnchor="page" w:tblpX="1174" w:tblpY="2977"/>
        <w:tblOverlap w:val="never"/>
        <w:tblW w:w="10036" w:type="dxa"/>
        <w:tblInd w:w="0" w:type="dxa"/>
        <w:shd w:val="clear" w:color="auto" w:fill="auto"/>
        <w:tblLayout w:type="fixed"/>
        <w:tblCellMar>
          <w:top w:w="0" w:type="dxa"/>
          <w:left w:w="0" w:type="dxa"/>
          <w:bottom w:w="0" w:type="dxa"/>
          <w:right w:w="0" w:type="dxa"/>
        </w:tblCellMar>
      </w:tblPr>
      <w:tblGrid>
        <w:gridCol w:w="640"/>
        <w:gridCol w:w="1616"/>
        <w:gridCol w:w="485"/>
        <w:gridCol w:w="551"/>
        <w:gridCol w:w="6744"/>
      </w:tblGrid>
      <w:tr>
        <w:tblPrEx>
          <w:shd w:val="clear" w:color="auto" w:fill="auto"/>
          <w:tblCellMar>
            <w:top w:w="0" w:type="dxa"/>
            <w:left w:w="0" w:type="dxa"/>
            <w:bottom w:w="0" w:type="dxa"/>
            <w:right w:w="0" w:type="dxa"/>
          </w:tblCellMar>
        </w:tblPrEx>
        <w:trPr>
          <w:trHeight w:val="82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1323975" cy="0"/>
                  <wp:effectExtent l="0" t="0" r="0" b="0"/>
                  <wp:wrapNone/>
                  <wp:docPr id="2" name="Line_6"/>
                  <wp:cNvGraphicFramePr/>
                  <a:graphic xmlns:a="http://schemas.openxmlformats.org/drawingml/2006/main">
                    <a:graphicData uri="http://schemas.openxmlformats.org/drawingml/2006/picture">
                      <pic:pic xmlns:pic="http://schemas.openxmlformats.org/drawingml/2006/picture">
                        <pic:nvPicPr>
                          <pic:cNvPr id="2" name="Line_6"/>
                          <pic:cNvPicPr/>
                        </pic:nvPicPr>
                        <pic:blipFill>
                          <a:blip r:embed="rId14"/>
                          <a:stretch>
                            <a:fillRect/>
                          </a:stretch>
                        </pic:blipFill>
                        <pic:spPr>
                          <a:xfrm>
                            <a:off x="0" y="0"/>
                            <a:ext cx="1323975" cy="0"/>
                          </a:xfrm>
                          <a:prstGeom prst="rect">
                            <a:avLst/>
                          </a:prstGeom>
                          <a:noFill/>
                          <a:ln>
                            <a:noFill/>
                          </a:ln>
                        </pic:spPr>
                      </pic:pic>
                    </a:graphicData>
                  </a:graphic>
                </wp:anchor>
              </w:drawing>
            </w:r>
            <w:r>
              <w:rPr>
                <w:rFonts w:hint="eastAsia" w:ascii="仿宋" w:hAnsi="仿宋" w:eastAsia="仿宋" w:cs="仿宋"/>
                <w:b/>
                <w:i w:val="0"/>
                <w:color w:val="000000"/>
                <w:kern w:val="0"/>
                <w:sz w:val="22"/>
                <w:szCs w:val="22"/>
                <w:u w:val="none"/>
                <w:lang w:val="en-US" w:eastAsia="zh-CN" w:bidi="ar"/>
              </w:rPr>
              <w:t>序号</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仿宋" w:hAnsi="仿宋" w:eastAsia="仿宋" w:cs="仿宋"/>
                <w:b/>
                <w:i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10160</wp:posOffset>
                  </wp:positionV>
                  <wp:extent cx="1323975" cy="0"/>
                  <wp:effectExtent l="0" t="0" r="0" b="0"/>
                  <wp:wrapNone/>
                  <wp:docPr id="11" name="Line_6"/>
                  <wp:cNvGraphicFramePr/>
                  <a:graphic xmlns:a="http://schemas.openxmlformats.org/drawingml/2006/main">
                    <a:graphicData uri="http://schemas.openxmlformats.org/drawingml/2006/picture">
                      <pic:pic xmlns:pic="http://schemas.openxmlformats.org/drawingml/2006/picture">
                        <pic:nvPicPr>
                          <pic:cNvPr id="11" name="Line_6"/>
                          <pic:cNvPicPr/>
                        </pic:nvPicPr>
                        <pic:blipFill>
                          <a:blip r:embed="rId14"/>
                          <a:stretch>
                            <a:fillRect/>
                          </a:stretch>
                        </pic:blipFill>
                        <pic:spPr>
                          <a:xfrm>
                            <a:off x="0" y="0"/>
                            <a:ext cx="1323975" cy="0"/>
                          </a:xfrm>
                          <a:prstGeom prst="rect">
                            <a:avLst/>
                          </a:prstGeom>
                          <a:noFill/>
                          <a:ln>
                            <a:noFill/>
                          </a:ln>
                        </pic:spPr>
                      </pic:pic>
                    </a:graphicData>
                  </a:graphic>
                </wp:anchor>
              </w:drawing>
            </w:r>
            <w:r>
              <w:rPr>
                <w:rFonts w:hint="eastAsia" w:ascii="仿宋" w:hAnsi="仿宋" w:eastAsia="仿宋" w:cs="仿宋"/>
                <w:b/>
                <w:i w:val="0"/>
                <w:color w:val="000000"/>
                <w:kern w:val="0"/>
                <w:sz w:val="22"/>
                <w:szCs w:val="22"/>
                <w:u w:val="none"/>
                <w:lang w:val="en-US" w:eastAsia="zh-CN" w:bidi="ar"/>
              </w:rPr>
              <w:t>体检项目</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男生价格</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女生价格</w:t>
            </w:r>
          </w:p>
        </w:tc>
        <w:tc>
          <w:tcPr>
            <w:tcW w:w="6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项目意义</w:t>
            </w:r>
          </w:p>
        </w:tc>
      </w:tr>
      <w:tr>
        <w:tblPrEx>
          <w:shd w:val="clear" w:color="auto" w:fill="auto"/>
          <w:tblCellMar>
            <w:top w:w="0" w:type="dxa"/>
            <w:left w:w="0" w:type="dxa"/>
            <w:bottom w:w="0" w:type="dxa"/>
            <w:right w:w="0" w:type="dxa"/>
          </w:tblCellMar>
        </w:tblPrEx>
        <w:trPr>
          <w:trHeight w:val="715"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2"/>
                <w:szCs w:val="22"/>
                <w:u w:val="none"/>
                <w:lang w:val="en-US" w:eastAsia="zh-CN" w:bidi="ar"/>
              </w:rPr>
              <w:t>一般检查                     [身高体重血压]</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通过测量身高、体重、血压可评价血压与体重是否正常，测定体重指数，可初步筛查高血压病。</w:t>
            </w:r>
          </w:p>
        </w:tc>
      </w:tr>
      <w:tr>
        <w:tblPrEx>
          <w:shd w:val="clear" w:color="auto" w:fill="auto"/>
          <w:tblCellMar>
            <w:top w:w="0" w:type="dxa"/>
            <w:left w:w="0" w:type="dxa"/>
            <w:bottom w:w="0" w:type="dxa"/>
            <w:right w:w="0" w:type="dxa"/>
          </w:tblCellMar>
        </w:tblPrEx>
        <w:trPr>
          <w:trHeight w:val="174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2"/>
                <w:szCs w:val="22"/>
                <w:u w:val="none"/>
                <w:lang w:val="en-US" w:eastAsia="zh-CN" w:bidi="ar"/>
              </w:rPr>
              <w:t>内科</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通过体检医师对人体视、触、叩、听等物理方法，了解心界是否扩大，心率快慢，心律是否整齐，心音改变，心脏有无杂音；肺部呼吸音是否正常，有无干、湿罗音；哮鸣音；肝脾是否肿大，如有肿大，其表面是否光滑、质地软硬程度、有无叩触痛及叩痛，肠鸣音是否正常，腹部有无包块，神经反射是否正常，可筛查诊断：先天性心脏病、肺气肿、肺炎、肝硬化、肝炎、胆囊炎、脾肿大、肾炎等疾病。</w:t>
            </w:r>
          </w:p>
        </w:tc>
      </w:tr>
      <w:tr>
        <w:tblPrEx>
          <w:shd w:val="clear" w:color="auto" w:fill="auto"/>
          <w:tblCellMar>
            <w:top w:w="0" w:type="dxa"/>
            <w:left w:w="0" w:type="dxa"/>
            <w:bottom w:w="0" w:type="dxa"/>
            <w:right w:w="0" w:type="dxa"/>
          </w:tblCellMar>
        </w:tblPrEx>
        <w:trPr>
          <w:trHeight w:val="78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2"/>
                <w:szCs w:val="22"/>
                <w:u w:val="none"/>
                <w:lang w:val="en-US" w:eastAsia="zh-CN" w:bidi="ar"/>
              </w:rPr>
              <w:t>外科</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通过视、触、叩等医学方法，可初步筛查皮肤、脊柱、四肢、淋巴结、甲状腺、乳腺、泌尿生殖道、肛门等部位的异常，属基础必查科室。</w:t>
            </w:r>
          </w:p>
        </w:tc>
      </w:tr>
      <w:tr>
        <w:tblPrEx>
          <w:shd w:val="clear" w:color="auto" w:fill="auto"/>
          <w:tblCellMar>
            <w:top w:w="0" w:type="dxa"/>
            <w:left w:w="0" w:type="dxa"/>
            <w:bottom w:w="0" w:type="dxa"/>
            <w:right w:w="0" w:type="dxa"/>
          </w:tblCellMar>
        </w:tblPrEx>
        <w:trPr>
          <w:trHeight w:val="96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2"/>
                <w:szCs w:val="22"/>
                <w:u w:val="none"/>
                <w:lang w:val="en-US" w:eastAsia="zh-CN" w:bidi="ar"/>
              </w:rPr>
              <w:t>眼科常规                       【视力、色觉】</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通过对视力、辨色力、结膜、角膜、眼睑、瞳孔、眼球运动功能的检查，可筛查：近视、远视、散光、色盲、沙眼、结膜炎、角膜炎等疾病。</w:t>
            </w:r>
          </w:p>
        </w:tc>
      </w:tr>
      <w:tr>
        <w:tblPrEx>
          <w:shd w:val="clear" w:color="auto" w:fill="auto"/>
          <w:tblCellMar>
            <w:top w:w="0" w:type="dxa"/>
            <w:left w:w="0" w:type="dxa"/>
            <w:bottom w:w="0" w:type="dxa"/>
            <w:right w:w="0" w:type="dxa"/>
          </w:tblCellMar>
        </w:tblPrEx>
        <w:trPr>
          <w:trHeight w:val="94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5</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2"/>
                <w:szCs w:val="22"/>
                <w:u w:val="none"/>
                <w:lang w:val="en-US" w:eastAsia="zh-CN" w:bidi="ar"/>
              </w:rPr>
              <w:t>DR胸部正位检查</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通过数字化X射线摄影技术（DR)胸部正位拍片，可筛查：肺结核、肺肿瘤、胸腔积液、气胸、支气管炎、肺炎、肺气肿、胸膜疾病、纵隔疾病、心脏疾病（如高心病、肺心病、风心病、先心病）及主动脉疾病。</w:t>
            </w:r>
          </w:p>
        </w:tc>
      </w:tr>
      <w:tr>
        <w:tblPrEx>
          <w:shd w:val="clear" w:color="auto" w:fill="auto"/>
          <w:tblCellMar>
            <w:top w:w="0" w:type="dxa"/>
            <w:left w:w="0" w:type="dxa"/>
            <w:bottom w:w="0" w:type="dxa"/>
            <w:right w:w="0" w:type="dxa"/>
          </w:tblCellMar>
        </w:tblPrEx>
        <w:trPr>
          <w:trHeight w:val="66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6</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2"/>
                <w:szCs w:val="22"/>
                <w:u w:val="none"/>
                <w:lang w:val="en-US" w:eastAsia="zh-CN" w:bidi="ar"/>
              </w:rPr>
              <w:t>肝功五项</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通过血液分析转氨酶、胆红素等5项指标，可反映肝细胞新陈代谢状态，用于筛查肝胆功能异常、急慢性肝炎、肝硬化、肝癌、肾炎等疾病。</w:t>
            </w:r>
          </w:p>
        </w:tc>
      </w:tr>
      <w:tr>
        <w:tblPrEx>
          <w:tblCellMar>
            <w:top w:w="0" w:type="dxa"/>
            <w:left w:w="0" w:type="dxa"/>
            <w:bottom w:w="0" w:type="dxa"/>
            <w:right w:w="0" w:type="dxa"/>
          </w:tblCellMar>
        </w:tblPrEx>
        <w:trPr>
          <w:trHeight w:val="60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7</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2"/>
                <w:szCs w:val="22"/>
                <w:u w:val="none"/>
                <w:lang w:val="en-US" w:eastAsia="zh-CN" w:bidi="ar"/>
              </w:rPr>
              <w:t>早孕筛查</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sz w:val="22"/>
                <w:szCs w:val="22"/>
                <w:u w:val="none"/>
                <w:lang w:val="en-US" w:eastAsia="zh-CN"/>
              </w:rPr>
            </w:pPr>
            <w:r>
              <w:rPr>
                <w:rFonts w:hint="eastAsia" w:ascii="仿宋" w:hAnsi="仿宋" w:eastAsia="仿宋" w:cs="仿宋"/>
                <w:b/>
                <w:bCs/>
                <w:i w:val="0"/>
                <w:color w:val="000000"/>
                <w:sz w:val="22"/>
                <w:szCs w:val="22"/>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通过血液检查女性早孕情况。</w:t>
            </w:r>
          </w:p>
        </w:tc>
      </w:tr>
      <w:tr>
        <w:tblPrEx>
          <w:tblCellMar>
            <w:top w:w="0" w:type="dxa"/>
            <w:left w:w="0" w:type="dxa"/>
            <w:bottom w:w="0" w:type="dxa"/>
            <w:right w:w="0" w:type="dxa"/>
          </w:tblCellMar>
        </w:tblPrEx>
        <w:trPr>
          <w:trHeight w:val="60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8</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 w:hAnsi="仿宋" w:eastAsia="仿宋" w:cs="仿宋"/>
                <w:i w:val="0"/>
                <w:color w:val="000000"/>
                <w:kern w:val="0"/>
                <w:sz w:val="22"/>
                <w:szCs w:val="22"/>
                <w:u w:val="none"/>
                <w:lang w:val="en-US" w:eastAsia="zh-CN" w:bidi="ar"/>
              </w:rPr>
              <w:t>采血耗材</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采血采用一次性无菌耗材。</w:t>
            </w:r>
          </w:p>
        </w:tc>
      </w:tr>
      <w:tr>
        <w:tblPrEx>
          <w:tblCellMar>
            <w:top w:w="0" w:type="dxa"/>
            <w:left w:w="0" w:type="dxa"/>
            <w:bottom w:w="0" w:type="dxa"/>
            <w:right w:w="0" w:type="dxa"/>
          </w:tblCellMar>
        </w:tblPrEx>
        <w:trPr>
          <w:trHeight w:val="60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000000"/>
                <w:sz w:val="22"/>
                <w:szCs w:val="22"/>
                <w:u w:val="none"/>
                <w:lang w:val="en-US" w:eastAsia="zh-CN"/>
              </w:rPr>
            </w:pPr>
            <w:r>
              <w:rPr>
                <w:rFonts w:hint="eastAsia" w:ascii="仿宋" w:hAnsi="仿宋" w:eastAsia="仿宋" w:cs="仿宋"/>
                <w:b w:val="0"/>
                <w:bCs/>
                <w:i w:val="0"/>
                <w:color w:val="000000"/>
                <w:sz w:val="22"/>
                <w:szCs w:val="22"/>
                <w:u w:val="none"/>
                <w:lang w:val="en-US" w:eastAsia="zh-CN"/>
              </w:rPr>
              <w:t>9</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 w:hAnsi="仿宋" w:eastAsia="仿宋" w:cs="仿宋"/>
                <w:b/>
                <w:i w:val="0"/>
                <w:color w:val="000000"/>
                <w:kern w:val="0"/>
                <w:sz w:val="22"/>
                <w:szCs w:val="22"/>
                <w:u w:val="none"/>
                <w:lang w:val="en-US" w:eastAsia="zh-CN" w:bidi="ar"/>
              </w:rPr>
              <w:t xml:space="preserve"> </w:t>
            </w:r>
            <w:r>
              <w:rPr>
                <w:rFonts w:hint="eastAsia" w:ascii="仿宋" w:hAnsi="仿宋" w:eastAsia="仿宋" w:cs="仿宋"/>
                <w:i w:val="0"/>
                <w:color w:val="000000"/>
                <w:kern w:val="0"/>
                <w:sz w:val="22"/>
                <w:szCs w:val="22"/>
                <w:u w:val="none"/>
                <w:lang w:val="en-US" w:eastAsia="zh-CN" w:bidi="ar"/>
              </w:rPr>
              <w:t xml:space="preserve"> 结核菌素（PPD）试验  </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6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1"/>
                <w:szCs w:val="21"/>
                <w:u w:val="none"/>
              </w:rPr>
            </w:pPr>
            <w:r>
              <w:rPr>
                <w:rFonts w:hint="eastAsia" w:ascii="仿宋" w:hAnsi="仿宋" w:eastAsia="仿宋" w:cs="仿宋"/>
                <w:i w:val="0"/>
                <w:color w:val="000000"/>
                <w:kern w:val="0"/>
                <w:sz w:val="21"/>
                <w:szCs w:val="21"/>
                <w:u w:val="none"/>
                <w:lang w:val="en-US" w:eastAsia="zh-CN" w:bidi="ar"/>
              </w:rPr>
              <w:t>用于诊断结核菌感染所致IV型超敏反应的皮肤试验</w:t>
            </w:r>
          </w:p>
        </w:tc>
      </w:tr>
      <w:tr>
        <w:tblPrEx>
          <w:tblCellMar>
            <w:top w:w="0" w:type="dxa"/>
            <w:left w:w="0" w:type="dxa"/>
            <w:bottom w:w="0" w:type="dxa"/>
            <w:right w:w="0" w:type="dxa"/>
          </w:tblCellMar>
        </w:tblPrEx>
        <w:trPr>
          <w:trHeight w:val="60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 w:hAnsi="仿宋" w:eastAsia="仿宋" w:cs="仿宋"/>
                <w:b/>
                <w:i w:val="0"/>
                <w:color w:val="000000"/>
                <w:kern w:val="0"/>
                <w:sz w:val="22"/>
                <w:szCs w:val="22"/>
                <w:u w:val="none"/>
                <w:lang w:val="en-US" w:eastAsia="zh-CN" w:bidi="ar"/>
              </w:rPr>
              <w:t xml:space="preserve">合计价格 </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6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b/>
                <w:i w:val="0"/>
                <w:color w:val="000000"/>
                <w:sz w:val="22"/>
                <w:szCs w:val="22"/>
                <w:u w:val="none"/>
              </w:rPr>
            </w:pPr>
          </w:p>
        </w:tc>
      </w:tr>
      <w:tr>
        <w:tblPrEx>
          <w:tblCellMar>
            <w:top w:w="0" w:type="dxa"/>
            <w:left w:w="0" w:type="dxa"/>
            <w:bottom w:w="0" w:type="dxa"/>
            <w:right w:w="0" w:type="dxa"/>
          </w:tblCellMar>
        </w:tblPrEx>
        <w:trPr>
          <w:trHeight w:val="60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sz w:val="22"/>
                <w:szCs w:val="22"/>
                <w:lang w:val="en-US" w:eastAsia="zh-CN" w:bidi="ar-SA"/>
              </w:rPr>
            </w:pPr>
            <w:r>
              <w:rPr>
                <w:rFonts w:hint="eastAsia" w:ascii="仿宋" w:hAnsi="仿宋" w:eastAsia="仿宋" w:cs="仿宋"/>
                <w:b/>
                <w:i w:val="0"/>
                <w:color w:val="000000"/>
                <w:kern w:val="0"/>
                <w:sz w:val="22"/>
                <w:szCs w:val="22"/>
                <w:u w:val="none"/>
                <w:lang w:val="en-US" w:eastAsia="zh-CN" w:bidi="ar"/>
              </w:rPr>
              <w:t>优惠价格</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6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b/>
                <w:i w:val="0"/>
                <w:color w:val="000000"/>
                <w:sz w:val="22"/>
                <w:szCs w:val="22"/>
                <w:u w:val="none"/>
              </w:rPr>
            </w:pPr>
          </w:p>
        </w:tc>
      </w:tr>
    </w:tbl>
    <w:p>
      <w:pPr>
        <w:jc w:val="center"/>
        <w:rPr>
          <w:rFonts w:hint="default" w:ascii="仿宋" w:hAnsi="仿宋" w:eastAsia="仿宋"/>
          <w:b/>
          <w:color w:val="auto"/>
          <w:sz w:val="72"/>
          <w:szCs w:val="72"/>
          <w:lang w:val="en-US" w:eastAsia="zh-CN"/>
        </w:rPr>
      </w:pPr>
      <w:r>
        <w:rPr>
          <w:rFonts w:hint="eastAsia" w:ascii="仿宋" w:hAnsi="仿宋" w:eastAsia="仿宋"/>
          <w:b/>
          <w:color w:val="auto"/>
          <w:sz w:val="72"/>
          <w:szCs w:val="72"/>
          <w:lang w:val="en-US" w:eastAsia="zh-CN"/>
        </w:rPr>
        <w:t xml:space="preserve">   </w:t>
      </w:r>
    </w:p>
    <w:p>
      <w:pPr>
        <w:jc w:val="center"/>
        <w:rPr>
          <w:color w:val="auto"/>
        </w:rPr>
      </w:pPr>
      <w:r>
        <w:rPr>
          <w:rFonts w:hint="eastAsia" w:ascii="仿宋" w:hAnsi="仿宋" w:eastAsia="仿宋"/>
          <w:b/>
          <w:color w:val="auto"/>
          <w:sz w:val="72"/>
          <w:szCs w:val="72"/>
          <w:lang w:val="en-US" w:eastAsia="zh-CN"/>
        </w:rPr>
        <w:drawing>
          <wp:inline distT="0" distB="0" distL="114300" distR="114300">
            <wp:extent cx="5909945" cy="941705"/>
            <wp:effectExtent l="0" t="0" r="14605" b="10795"/>
            <wp:docPr id="3" name="图片 3"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e17fb75101ff16f5eb68e7a59cb101"/>
                    <pic:cNvPicPr>
                      <a:picLocks noChangeAspect="1"/>
                    </pic:cNvPicPr>
                  </pic:nvPicPr>
                  <pic:blipFill>
                    <a:blip r:embed="rId13"/>
                    <a:stretch>
                      <a:fillRect/>
                    </a:stretch>
                  </pic:blipFill>
                  <pic:spPr>
                    <a:xfrm>
                      <a:off x="0" y="0"/>
                      <a:ext cx="5909945" cy="941705"/>
                    </a:xfrm>
                    <a:prstGeom prst="rect">
                      <a:avLst/>
                    </a:prstGeom>
                  </pic:spPr>
                </pic:pic>
              </a:graphicData>
            </a:graphic>
          </wp:inline>
        </w:drawing>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val="en-US" w:eastAsia="zh-CN"/>
        </w:rPr>
        <w:t>2022年</w:t>
      </w:r>
      <w:r>
        <w:rPr>
          <w:rFonts w:hint="eastAsia" w:ascii="仿宋" w:hAnsi="仿宋" w:eastAsia="仿宋"/>
          <w:b/>
          <w:bCs w:val="0"/>
          <w:color w:val="auto"/>
          <w:sz w:val="44"/>
          <w:szCs w:val="44"/>
          <w:lang w:eastAsia="zh-CN"/>
        </w:rPr>
        <w:t>学生体检</w:t>
      </w:r>
      <w:r>
        <w:rPr>
          <w:rFonts w:hint="eastAsia" w:ascii="仿宋" w:hAnsi="仿宋" w:eastAsia="仿宋"/>
          <w:b/>
          <w:sz w:val="44"/>
          <w:szCs w:val="44"/>
        </w:rPr>
        <w:t>项目</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ascii="仿宋" w:hAnsi="仿宋" w:eastAsia="仿宋"/>
          <w:b/>
          <w:color w:val="auto"/>
          <w:sz w:val="36"/>
          <w:szCs w:val="36"/>
        </w:rPr>
      </w:pPr>
      <w:r>
        <w:rPr>
          <w:rFonts w:hint="eastAsia" w:ascii="仿宋" w:hAnsi="仿宋" w:eastAsia="仿宋"/>
          <w:b/>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sz w:val="36"/>
          <w:szCs w:val="36"/>
        </w:rPr>
      </w:pPr>
    </w:p>
    <w:p>
      <w:pPr>
        <w:jc w:val="center"/>
        <w:rPr>
          <w:rFonts w:ascii="仿宋" w:hAnsi="仿宋" w:eastAsia="仿宋"/>
          <w:b/>
          <w:sz w:val="72"/>
          <w:szCs w:val="72"/>
        </w:rPr>
      </w:pPr>
      <w:r>
        <w:rPr>
          <w:rFonts w:hint="eastAsia" w:ascii="仿宋" w:hAnsi="仿宋" w:eastAsia="仿宋"/>
          <w:b/>
          <w:bCs/>
          <w:color w:val="FF0000"/>
          <w:sz w:val="30"/>
          <w:szCs w:val="30"/>
        </w:rPr>
        <w:t>此封面应作为报价响应文件封面</w:t>
      </w:r>
    </w:p>
    <w:p>
      <w:pPr>
        <w:rPr>
          <w:rFonts w:ascii="仿宋" w:hAnsi="仿宋" w:eastAsia="仿宋"/>
          <w:b/>
          <w:bCs/>
          <w:sz w:val="30"/>
          <w:szCs w:val="30"/>
        </w:rPr>
        <w:sectPr>
          <w:headerReference r:id="rId8" w:type="first"/>
          <w:head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auto"/>
          <w:sz w:val="28"/>
          <w:szCs w:val="28"/>
        </w:rPr>
      </w:pPr>
      <w:bookmarkStart w:id="50" w:name="_Toc213755858"/>
      <w:bookmarkStart w:id="51" w:name="_Toc232302115"/>
      <w:bookmarkStart w:id="52" w:name="_Toc254790899"/>
      <w:bookmarkStart w:id="53" w:name="_Toc267059919"/>
      <w:bookmarkStart w:id="54" w:name="_Toc211917116"/>
      <w:bookmarkStart w:id="55" w:name="_Toc193160448"/>
      <w:bookmarkStart w:id="56" w:name="_Toc182805217"/>
      <w:bookmarkStart w:id="57" w:name="_Toc191783222"/>
      <w:bookmarkStart w:id="58" w:name="_Toc192996338"/>
      <w:bookmarkStart w:id="59" w:name="_Toc213755995"/>
      <w:bookmarkStart w:id="60" w:name="_Toc217891402"/>
      <w:bookmarkStart w:id="61" w:name="_Toc177985469"/>
      <w:bookmarkStart w:id="62" w:name="_Toc259520865"/>
      <w:bookmarkStart w:id="63" w:name="_Toc266870833"/>
      <w:bookmarkStart w:id="64" w:name="_Toc181436565"/>
      <w:bookmarkStart w:id="65" w:name="_Toc191802690"/>
      <w:bookmarkStart w:id="66" w:name="_Toc181436461"/>
      <w:bookmarkStart w:id="67" w:name="_Toc203355733"/>
      <w:bookmarkStart w:id="68" w:name="_Toc267059030"/>
      <w:bookmarkStart w:id="69" w:name="_Toc267059181"/>
      <w:bookmarkStart w:id="70" w:name="_Toc258401256"/>
      <w:bookmarkStart w:id="71" w:name="_Toc266870432"/>
      <w:bookmarkStart w:id="72" w:name="_Toc227058530"/>
      <w:bookmarkStart w:id="73" w:name="_Toc223146608"/>
      <w:bookmarkStart w:id="74" w:name="_Toc213755939"/>
      <w:bookmarkStart w:id="75" w:name="_Toc236021449"/>
      <w:bookmarkStart w:id="76" w:name="_Toc267060208"/>
      <w:bookmarkStart w:id="77" w:name="_Toc192664153"/>
      <w:bookmarkStart w:id="78" w:name="_Toc255975007"/>
      <w:bookmarkStart w:id="79" w:name="_Toc170798793"/>
      <w:bookmarkStart w:id="80" w:name="_Toc182372782"/>
      <w:bookmarkStart w:id="81" w:name="_Toc259692647"/>
      <w:bookmarkStart w:id="82" w:name="_Toc169332949"/>
      <w:bookmarkStart w:id="83" w:name="_Toc267060068"/>
      <w:bookmarkStart w:id="84" w:name="_Toc267059539"/>
      <w:bookmarkStart w:id="85" w:name="_Toc235438344"/>
      <w:bookmarkStart w:id="86" w:name="_Toc267059653"/>
      <w:bookmarkStart w:id="87" w:name="_Toc251613829"/>
      <w:bookmarkStart w:id="88" w:name="_Toc191789329"/>
      <w:bookmarkStart w:id="89" w:name="_Toc219800243"/>
      <w:bookmarkStart w:id="90" w:name="_Toc193165734"/>
      <w:bookmarkStart w:id="91" w:name="_Toc192663686"/>
      <w:bookmarkStart w:id="92" w:name="_Toc230071147"/>
      <w:bookmarkStart w:id="93" w:name="_Toc180302913"/>
      <w:bookmarkStart w:id="94" w:name="_Toc225669322"/>
      <w:bookmarkStart w:id="95" w:name="_Toc213208766"/>
      <w:bookmarkStart w:id="96" w:name="_Toc192663835"/>
      <w:bookmarkStart w:id="97" w:name="_Toc267059806"/>
      <w:bookmarkStart w:id="98" w:name="_Toc266870907"/>
      <w:bookmarkStart w:id="99" w:name="_Toc267060453"/>
      <w:bookmarkStart w:id="100" w:name="_Toc169332838"/>
      <w:bookmarkStart w:id="101" w:name="_Toc213756051"/>
      <w:bookmarkStart w:id="102" w:name="_Toc249325711"/>
      <w:bookmarkStart w:id="103" w:name="_Toc192996446"/>
      <w:bookmarkStart w:id="104" w:name="_Toc160880529"/>
      <w:bookmarkStart w:id="105" w:name="_Toc266868670"/>
      <w:bookmarkStart w:id="106" w:name="_Toc267060321"/>
      <w:bookmarkStart w:id="107" w:name="_Toc191803626"/>
      <w:bookmarkStart w:id="108" w:name="_Toc160880160"/>
      <w:bookmarkStart w:id="109" w:name="_Toc235437991"/>
      <w:bookmarkStart w:id="110" w:name="_Toc266868937"/>
      <w:bookmarkStart w:id="111" w:name="_Toc251586231"/>
      <w:bookmarkStart w:id="112" w:name="_Toc259692740"/>
      <w:bookmarkStart w:id="113" w:name="_Toc273178698"/>
      <w:bookmarkStart w:id="114" w:name="_Toc253066614"/>
      <w:bookmarkStart w:id="115" w:name="_Toc235438274"/>
      <w:r>
        <w:rPr>
          <w:rFonts w:hint="eastAsia" w:ascii="仿宋" w:hAnsi="仿宋" w:eastAsia="仿宋"/>
          <w:b/>
          <w:bCs/>
          <w:color w:val="auto"/>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color w:val="auto"/>
          <w:sz w:val="28"/>
          <w:szCs w:val="28"/>
        </w:rPr>
        <w:t>询价响应函</w:t>
      </w:r>
    </w:p>
    <w:p>
      <w:pPr>
        <w:spacing w:after="0" w:line="480" w:lineRule="exact"/>
        <w:rPr>
          <w:rFonts w:hint="default" w:ascii="仿宋" w:hAnsi="仿宋" w:eastAsia="仿宋"/>
          <w:color w:val="auto"/>
          <w:sz w:val="28"/>
          <w:szCs w:val="28"/>
          <w:lang w:val="en-US" w:eastAsia="zh-CN"/>
        </w:rPr>
      </w:pPr>
      <w:r>
        <w:rPr>
          <w:rFonts w:hint="eastAsia" w:ascii="仿宋" w:hAnsi="仿宋" w:eastAsia="仿宋"/>
          <w:color w:val="auto"/>
          <w:sz w:val="28"/>
          <w:szCs w:val="28"/>
        </w:rPr>
        <w:t>致：</w:t>
      </w:r>
      <w:r>
        <w:rPr>
          <w:rFonts w:hint="eastAsia" w:ascii="仿宋" w:hAnsi="仿宋" w:eastAsia="仿宋"/>
          <w:color w:val="auto"/>
          <w:sz w:val="28"/>
          <w:szCs w:val="28"/>
          <w:lang w:val="en-US" w:eastAsia="zh-CN"/>
        </w:rPr>
        <w:t>西安铁道技师学院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sz w:val="28"/>
          <w:szCs w:val="28"/>
        </w:rPr>
        <w:t xml:space="preserve">根据贵学校为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（全名、职务）正式授权并代表我方</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（参与人公司名称）提交下述文件</w:t>
      </w:r>
      <w:r>
        <w:rPr>
          <w:rFonts w:hint="eastAsia" w:ascii="仿宋" w:hAnsi="仿宋" w:eastAsia="仿宋"/>
          <w:sz w:val="28"/>
          <w:szCs w:val="28"/>
          <w:lang w:eastAsia="zh-CN"/>
        </w:rPr>
        <w:t>（</w:t>
      </w:r>
      <w:r>
        <w:rPr>
          <w:rFonts w:hint="eastAsia" w:ascii="仿宋" w:hAnsi="仿宋" w:eastAsia="仿宋"/>
          <w:color w:val="FF0000"/>
          <w:sz w:val="28"/>
          <w:szCs w:val="28"/>
        </w:rPr>
        <w:t>正本X份和副本X份</w:t>
      </w:r>
      <w:r>
        <w:rPr>
          <w:rFonts w:hint="eastAsia" w:ascii="仿宋" w:hAnsi="仿宋" w:eastAsia="仿宋"/>
          <w:color w:val="FF0000"/>
          <w:sz w:val="28"/>
          <w:szCs w:val="28"/>
          <w:lang w:eastAsia="zh-CN"/>
        </w:rPr>
        <w:t>）</w:t>
      </w:r>
      <w:r>
        <w:rPr>
          <w:rFonts w:hint="eastAsia" w:ascii="仿宋" w:hAnsi="仿宋" w:eastAsia="仿宋"/>
          <w:color w:val="auto"/>
          <w:sz w:val="28"/>
          <w:szCs w:val="28"/>
        </w:rPr>
        <w:t>。</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xml:space="preserve">) </w:t>
      </w:r>
      <w:r>
        <w:rPr>
          <w:rFonts w:hint="eastAsia" w:ascii="仿宋" w:hAnsi="仿宋" w:eastAsia="仿宋"/>
          <w:sz w:val="28"/>
          <w:szCs w:val="28"/>
        </w:rPr>
        <w:t>报价一览表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6"/>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pStyle w:val="56"/>
        <w:spacing w:line="480" w:lineRule="exact"/>
        <w:jc w:val="left"/>
        <w:outlineLvl w:val="9"/>
        <w:rPr>
          <w:rFonts w:ascii="仿宋" w:hAnsi="仿宋" w:eastAsia="仿宋"/>
          <w:color w:val="auto"/>
          <w:szCs w:val="28"/>
        </w:rPr>
      </w:pPr>
    </w:p>
    <w:p>
      <w:pPr>
        <w:rPr>
          <w:rFonts w:hint="eastAsia" w:ascii="仿宋" w:hAnsi="仿宋" w:eastAsia="仿宋" w:cs="Times New Roman"/>
          <w:color w:val="auto"/>
          <w:kern w:val="2"/>
          <w:sz w:val="28"/>
          <w:szCs w:val="28"/>
        </w:rPr>
      </w:pPr>
      <w:r>
        <w:rPr>
          <w:rFonts w:ascii="仿宋" w:hAnsi="仿宋" w:eastAsia="仿宋"/>
          <w:color w:val="auto"/>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w:t>
      </w:r>
      <w:r>
        <w:rPr>
          <w:rFonts w:hint="eastAsia" w:ascii="仿宋" w:hAnsi="仿宋" w:eastAsia="仿宋"/>
          <w:sz w:val="28"/>
          <w:szCs w:val="28"/>
          <w:lang w:val="en-US" w:eastAsia="zh-CN"/>
        </w:rPr>
        <w:t>章）</w:t>
      </w:r>
      <w:r>
        <w:rPr>
          <w:rFonts w:hint="eastAsia" w:ascii="仿宋" w:hAnsi="仿宋" w:eastAsia="仿宋"/>
          <w:sz w:val="28"/>
          <w:szCs w:val="28"/>
        </w:rPr>
        <w:t xml:space="preserve">     货币单位：</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项目编号：</w:t>
      </w:r>
    </w:p>
    <w:tbl>
      <w:tblPr>
        <w:tblStyle w:val="24"/>
        <w:tblpPr w:leftFromText="180" w:rightFromText="180" w:vertAnchor="page" w:horzAnchor="page" w:tblpX="719" w:tblpY="2977"/>
        <w:tblOverlap w:val="never"/>
        <w:tblW w:w="10677" w:type="dxa"/>
        <w:tblInd w:w="0" w:type="dxa"/>
        <w:shd w:val="clear" w:color="auto" w:fill="auto"/>
        <w:tblLayout w:type="fixed"/>
        <w:tblCellMar>
          <w:top w:w="0" w:type="dxa"/>
          <w:left w:w="0" w:type="dxa"/>
          <w:bottom w:w="0" w:type="dxa"/>
          <w:right w:w="0" w:type="dxa"/>
        </w:tblCellMar>
      </w:tblPr>
      <w:tblGrid>
        <w:gridCol w:w="559"/>
        <w:gridCol w:w="1524"/>
        <w:gridCol w:w="638"/>
        <w:gridCol w:w="640"/>
        <w:gridCol w:w="7316"/>
      </w:tblGrid>
      <w:tr>
        <w:tblPrEx>
          <w:shd w:val="clear" w:color="auto" w:fill="auto"/>
          <w:tblCellMar>
            <w:top w:w="0" w:type="dxa"/>
            <w:left w:w="0" w:type="dxa"/>
            <w:bottom w:w="0" w:type="dxa"/>
            <w:right w:w="0" w:type="dxa"/>
          </w:tblCellMar>
        </w:tblPrEx>
        <w:trPr>
          <w:trHeight w:val="751"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10160</wp:posOffset>
                  </wp:positionV>
                  <wp:extent cx="1323975" cy="0"/>
                  <wp:effectExtent l="0" t="0" r="0" b="0"/>
                  <wp:wrapNone/>
                  <wp:docPr id="14" name="Line_6"/>
                  <wp:cNvGraphicFramePr/>
                  <a:graphic xmlns:a="http://schemas.openxmlformats.org/drawingml/2006/main">
                    <a:graphicData uri="http://schemas.openxmlformats.org/drawingml/2006/picture">
                      <pic:pic xmlns:pic="http://schemas.openxmlformats.org/drawingml/2006/picture">
                        <pic:nvPicPr>
                          <pic:cNvPr id="14" name="Line_6"/>
                          <pic:cNvPicPr/>
                        </pic:nvPicPr>
                        <pic:blipFill>
                          <a:blip r:embed="rId14"/>
                          <a:stretch>
                            <a:fillRect/>
                          </a:stretch>
                        </pic:blipFill>
                        <pic:spPr>
                          <a:xfrm>
                            <a:off x="0" y="0"/>
                            <a:ext cx="1323975" cy="0"/>
                          </a:xfrm>
                          <a:prstGeom prst="rect">
                            <a:avLst/>
                          </a:prstGeom>
                          <a:noFill/>
                          <a:ln>
                            <a:noFill/>
                          </a:ln>
                        </pic:spPr>
                      </pic:pic>
                    </a:graphicData>
                  </a:graphic>
                </wp:anchor>
              </w:drawing>
            </w:r>
            <w:r>
              <w:rPr>
                <w:rFonts w:hint="eastAsia" w:ascii="仿宋" w:hAnsi="仿宋" w:eastAsia="仿宋" w:cs="仿宋"/>
                <w:b/>
                <w:i w:val="0"/>
                <w:color w:val="000000"/>
                <w:kern w:val="0"/>
                <w:sz w:val="21"/>
                <w:szCs w:val="21"/>
                <w:u w:val="none"/>
                <w:lang w:val="en-US" w:eastAsia="zh-CN" w:bidi="ar"/>
              </w:rPr>
              <w:t>序号</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both"/>
              <w:textAlignment w:val="center"/>
              <w:rPr>
                <w:sz w:val="21"/>
                <w:szCs w:val="21"/>
              </w:rPr>
            </w:pPr>
            <w:r>
              <w:rPr>
                <w:rFonts w:hint="eastAsia" w:ascii="仿宋" w:hAnsi="仿宋" w:eastAsia="仿宋" w:cs="仿宋"/>
                <w:b/>
                <w:i w:val="0"/>
                <w:color w:val="000000"/>
                <w:kern w:val="0"/>
                <w:sz w:val="21"/>
                <w:szCs w:val="21"/>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10160</wp:posOffset>
                  </wp:positionV>
                  <wp:extent cx="1323975" cy="0"/>
                  <wp:effectExtent l="0" t="0" r="0" b="0"/>
                  <wp:wrapNone/>
                  <wp:docPr id="15" name="Line_6"/>
                  <wp:cNvGraphicFramePr/>
                  <a:graphic xmlns:a="http://schemas.openxmlformats.org/drawingml/2006/main">
                    <a:graphicData uri="http://schemas.openxmlformats.org/drawingml/2006/picture">
                      <pic:pic xmlns:pic="http://schemas.openxmlformats.org/drawingml/2006/picture">
                        <pic:nvPicPr>
                          <pic:cNvPr id="15" name="Line_6"/>
                          <pic:cNvPicPr/>
                        </pic:nvPicPr>
                        <pic:blipFill>
                          <a:blip r:embed="rId14"/>
                          <a:stretch>
                            <a:fillRect/>
                          </a:stretch>
                        </pic:blipFill>
                        <pic:spPr>
                          <a:xfrm>
                            <a:off x="0" y="0"/>
                            <a:ext cx="1323975" cy="0"/>
                          </a:xfrm>
                          <a:prstGeom prst="rect">
                            <a:avLst/>
                          </a:prstGeom>
                          <a:noFill/>
                          <a:ln>
                            <a:noFill/>
                          </a:ln>
                        </pic:spPr>
                      </pic:pic>
                    </a:graphicData>
                  </a:graphic>
                </wp:anchor>
              </w:drawing>
            </w:r>
            <w:r>
              <w:rPr>
                <w:rFonts w:hint="eastAsia" w:ascii="仿宋" w:hAnsi="仿宋" w:eastAsia="仿宋" w:cs="仿宋"/>
                <w:b/>
                <w:i w:val="0"/>
                <w:color w:val="000000"/>
                <w:kern w:val="0"/>
                <w:sz w:val="21"/>
                <w:szCs w:val="21"/>
                <w:u w:val="none"/>
                <w:lang w:val="en-US" w:eastAsia="zh-CN" w:bidi="ar"/>
              </w:rPr>
              <w:t>体检项目</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男生 价格</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女生价格</w:t>
            </w:r>
          </w:p>
        </w:tc>
        <w:tc>
          <w:tcPr>
            <w:tcW w:w="7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项目意义</w:t>
            </w:r>
          </w:p>
        </w:tc>
      </w:tr>
      <w:tr>
        <w:tblPrEx>
          <w:shd w:val="clear" w:color="auto" w:fill="auto"/>
          <w:tblCellMar>
            <w:top w:w="0" w:type="dxa"/>
            <w:left w:w="0" w:type="dxa"/>
            <w:bottom w:w="0" w:type="dxa"/>
            <w:right w:w="0" w:type="dxa"/>
          </w:tblCellMar>
        </w:tblPrEx>
        <w:trPr>
          <w:trHeight w:val="674"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sz w:val="20"/>
                <w:szCs w:val="20"/>
              </w:rPr>
            </w:pPr>
            <w:r>
              <w:rPr>
                <w:rFonts w:hint="eastAsia" w:ascii="仿宋" w:hAnsi="仿宋" w:eastAsia="仿宋" w:cs="仿宋"/>
                <w:i w:val="0"/>
                <w:color w:val="000000"/>
                <w:kern w:val="0"/>
                <w:sz w:val="20"/>
                <w:szCs w:val="20"/>
                <w:u w:val="none"/>
                <w:lang w:val="en-US" w:eastAsia="zh-CN" w:bidi="ar"/>
              </w:rPr>
              <w:t>一般检查                     [身高体重血压]</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color w:val="000000"/>
                <w:sz w:val="20"/>
                <w:szCs w:val="20"/>
                <w:u w:val="none"/>
              </w:rPr>
            </w:pPr>
          </w:p>
        </w:tc>
        <w:tc>
          <w:tcPr>
            <w:tcW w:w="7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通过测量身高、体重、血压可评价血压与体重是否正常，测定体重指数，可初步筛查高血压病。</w:t>
            </w:r>
          </w:p>
        </w:tc>
      </w:tr>
      <w:tr>
        <w:tblPrEx>
          <w:shd w:val="clear" w:color="auto" w:fill="auto"/>
          <w:tblCellMar>
            <w:top w:w="0" w:type="dxa"/>
            <w:left w:w="0" w:type="dxa"/>
            <w:bottom w:w="0" w:type="dxa"/>
            <w:right w:w="0" w:type="dxa"/>
          </w:tblCellMar>
        </w:tblPrEx>
        <w:trPr>
          <w:trHeight w:val="1760"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2</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sz w:val="20"/>
                <w:szCs w:val="20"/>
              </w:rPr>
            </w:pPr>
            <w:r>
              <w:rPr>
                <w:rFonts w:hint="eastAsia" w:ascii="仿宋" w:hAnsi="仿宋" w:eastAsia="仿宋" w:cs="仿宋"/>
                <w:i w:val="0"/>
                <w:color w:val="000000"/>
                <w:kern w:val="0"/>
                <w:sz w:val="20"/>
                <w:szCs w:val="20"/>
                <w:u w:val="none"/>
                <w:lang w:val="en-US" w:eastAsia="zh-CN" w:bidi="ar"/>
              </w:rPr>
              <w:t>内科</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color w:val="000000"/>
                <w:sz w:val="20"/>
                <w:szCs w:val="20"/>
                <w:u w:val="none"/>
              </w:rPr>
            </w:pPr>
          </w:p>
        </w:tc>
        <w:tc>
          <w:tcPr>
            <w:tcW w:w="7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通过体检医师对人体视、触、叩、听等物理方法，了解心界是否扩大，心率快慢，心律是否整齐，心音改变，心脏有无杂音；肺部呼吸音是否正常，有无干、湿罗音；哮鸣音；肝脾是否肿大，如有肿大，其表面是否光滑、质地软硬程度、有无叩触痛及叩痛，肠鸣音是否正常，腹部有无包块，神经反射是否正常，可筛查诊断：先天性心脏病、肺气肿、肺炎、肝硬化、肝炎、胆囊炎、脾肿大、肾炎等疾病。</w:t>
            </w:r>
          </w:p>
        </w:tc>
      </w:tr>
      <w:tr>
        <w:tblPrEx>
          <w:shd w:val="clear" w:color="auto" w:fill="auto"/>
          <w:tblCellMar>
            <w:top w:w="0" w:type="dxa"/>
            <w:left w:w="0" w:type="dxa"/>
            <w:bottom w:w="0" w:type="dxa"/>
            <w:right w:w="0" w:type="dxa"/>
          </w:tblCellMar>
        </w:tblPrEx>
        <w:trPr>
          <w:trHeight w:val="907"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sz w:val="20"/>
                <w:szCs w:val="20"/>
              </w:rPr>
            </w:pPr>
            <w:r>
              <w:rPr>
                <w:rFonts w:hint="eastAsia" w:ascii="仿宋" w:hAnsi="仿宋" w:eastAsia="仿宋" w:cs="仿宋"/>
                <w:i w:val="0"/>
                <w:color w:val="000000"/>
                <w:kern w:val="0"/>
                <w:sz w:val="20"/>
                <w:szCs w:val="20"/>
                <w:u w:val="none"/>
                <w:lang w:val="en-US" w:eastAsia="zh-CN" w:bidi="ar"/>
              </w:rPr>
              <w:t>外科</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color w:val="000000"/>
                <w:sz w:val="20"/>
                <w:szCs w:val="20"/>
                <w:u w:val="none"/>
              </w:rPr>
            </w:pPr>
          </w:p>
        </w:tc>
        <w:tc>
          <w:tcPr>
            <w:tcW w:w="7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通过视、触、叩等医学方法，可初步筛查皮肤、脊柱、四肢、淋巴结、甲状腺、乳腺、泌尿生殖道、肛门等部位的异常，属基础必查科室。</w:t>
            </w:r>
          </w:p>
        </w:tc>
      </w:tr>
      <w:tr>
        <w:tblPrEx>
          <w:shd w:val="clear" w:color="auto" w:fill="auto"/>
          <w:tblCellMar>
            <w:top w:w="0" w:type="dxa"/>
            <w:left w:w="0" w:type="dxa"/>
            <w:bottom w:w="0" w:type="dxa"/>
            <w:right w:w="0" w:type="dxa"/>
          </w:tblCellMar>
        </w:tblPrEx>
        <w:trPr>
          <w:trHeight w:val="866"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4</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sz w:val="20"/>
                <w:szCs w:val="20"/>
              </w:rPr>
            </w:pPr>
            <w:r>
              <w:rPr>
                <w:rFonts w:hint="eastAsia" w:ascii="仿宋" w:hAnsi="仿宋" w:eastAsia="仿宋" w:cs="仿宋"/>
                <w:i w:val="0"/>
                <w:color w:val="000000"/>
                <w:kern w:val="0"/>
                <w:sz w:val="20"/>
                <w:szCs w:val="20"/>
                <w:u w:val="none"/>
                <w:lang w:val="en-US" w:eastAsia="zh-CN" w:bidi="ar"/>
              </w:rPr>
              <w:t>眼科常规                       【视力、色觉】</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color w:val="000000"/>
                <w:sz w:val="20"/>
                <w:szCs w:val="20"/>
                <w:u w:val="none"/>
              </w:rPr>
            </w:pPr>
          </w:p>
        </w:tc>
        <w:tc>
          <w:tcPr>
            <w:tcW w:w="7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通过对视力、辨色力、结膜、角膜、眼睑、瞳孔、眼球运动功能的检查，可筛查：近视、远视、散光、色盲、沙眼、结膜炎、角膜炎等疾病。</w:t>
            </w:r>
          </w:p>
        </w:tc>
      </w:tr>
      <w:tr>
        <w:tblPrEx>
          <w:shd w:val="clear" w:color="auto" w:fill="auto"/>
          <w:tblCellMar>
            <w:top w:w="0" w:type="dxa"/>
            <w:left w:w="0" w:type="dxa"/>
            <w:bottom w:w="0" w:type="dxa"/>
            <w:right w:w="0" w:type="dxa"/>
          </w:tblCellMar>
        </w:tblPrEx>
        <w:trPr>
          <w:trHeight w:val="1189"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5</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sz w:val="20"/>
                <w:szCs w:val="20"/>
              </w:rPr>
            </w:pPr>
            <w:r>
              <w:rPr>
                <w:rFonts w:hint="eastAsia" w:ascii="仿宋" w:hAnsi="仿宋" w:eastAsia="仿宋" w:cs="仿宋"/>
                <w:i w:val="0"/>
                <w:color w:val="000000"/>
                <w:kern w:val="0"/>
                <w:sz w:val="20"/>
                <w:szCs w:val="20"/>
                <w:u w:val="none"/>
                <w:lang w:val="en-US" w:eastAsia="zh-CN" w:bidi="ar"/>
              </w:rPr>
              <w:t>DR胸部正位检查</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color w:val="000000"/>
                <w:sz w:val="20"/>
                <w:szCs w:val="20"/>
                <w:u w:val="none"/>
              </w:rPr>
            </w:pPr>
          </w:p>
        </w:tc>
        <w:tc>
          <w:tcPr>
            <w:tcW w:w="7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通过数字化X射线摄影技术（DR)胸部正位拍片，可筛查：肺结核、肺肿瘤、胸腔积液、气胸、支气管炎、肺炎、肺气肿、胸膜疾病、纵隔疾病、心脏疾病（如高心病、肺心病、风心病、先心病）及主动脉疾病。</w:t>
            </w:r>
          </w:p>
        </w:tc>
      </w:tr>
      <w:tr>
        <w:tblPrEx>
          <w:shd w:val="clear" w:color="auto" w:fill="auto"/>
          <w:tblCellMar>
            <w:top w:w="0" w:type="dxa"/>
            <w:left w:w="0" w:type="dxa"/>
            <w:bottom w:w="0" w:type="dxa"/>
            <w:right w:w="0" w:type="dxa"/>
          </w:tblCellMar>
        </w:tblPrEx>
        <w:trPr>
          <w:trHeight w:val="834"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6</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sz w:val="20"/>
                <w:szCs w:val="20"/>
              </w:rPr>
            </w:pPr>
            <w:r>
              <w:rPr>
                <w:rFonts w:hint="eastAsia" w:ascii="仿宋" w:hAnsi="仿宋" w:eastAsia="仿宋" w:cs="仿宋"/>
                <w:i w:val="0"/>
                <w:color w:val="000000"/>
                <w:kern w:val="0"/>
                <w:sz w:val="20"/>
                <w:szCs w:val="20"/>
                <w:u w:val="none"/>
                <w:lang w:val="en-US" w:eastAsia="zh-CN" w:bidi="ar"/>
              </w:rPr>
              <w:t>肝功五项</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color w:val="000000"/>
                <w:sz w:val="20"/>
                <w:szCs w:val="20"/>
                <w:u w:val="none"/>
              </w:rPr>
            </w:pPr>
          </w:p>
        </w:tc>
        <w:tc>
          <w:tcPr>
            <w:tcW w:w="7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通过血液分析转氨酶、胆红素等5项指标，可反映肝细胞新陈代谢状态，用于筛查肝胆功能异常、急慢性肝炎、肝硬化、肝癌、肾炎等疾病。</w:t>
            </w:r>
          </w:p>
        </w:tc>
      </w:tr>
      <w:tr>
        <w:tblPrEx>
          <w:tblCellMar>
            <w:top w:w="0" w:type="dxa"/>
            <w:left w:w="0" w:type="dxa"/>
            <w:bottom w:w="0" w:type="dxa"/>
            <w:right w:w="0" w:type="dxa"/>
          </w:tblCellMar>
        </w:tblPrEx>
        <w:trPr>
          <w:trHeight w:val="455"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7</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sz w:val="20"/>
                <w:szCs w:val="20"/>
              </w:rPr>
            </w:pPr>
            <w:r>
              <w:rPr>
                <w:rFonts w:hint="eastAsia" w:ascii="仿宋" w:hAnsi="仿宋" w:eastAsia="仿宋" w:cs="仿宋"/>
                <w:i w:val="0"/>
                <w:color w:val="000000"/>
                <w:kern w:val="0"/>
                <w:sz w:val="20"/>
                <w:szCs w:val="20"/>
                <w:u w:val="none"/>
                <w:lang w:val="en-US" w:eastAsia="zh-CN" w:bidi="ar"/>
              </w:rPr>
              <w:t>早孕筛查</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color w:val="000000"/>
                <w:sz w:val="20"/>
                <w:szCs w:val="20"/>
                <w:u w:val="none"/>
                <w:lang w:val="en-US" w:eastAsia="zh-CN"/>
              </w:rPr>
            </w:pPr>
            <w:r>
              <w:rPr>
                <w:rFonts w:hint="eastAsia" w:ascii="仿宋" w:hAnsi="仿宋" w:eastAsia="仿宋" w:cs="仿宋"/>
                <w:b/>
                <w:bCs/>
                <w:i w:val="0"/>
                <w:color w:val="000000"/>
                <w:sz w:val="20"/>
                <w:szCs w:val="20"/>
                <w:u w:val="none"/>
                <w:lang w:val="en-US" w:eastAsia="zh-CN"/>
              </w:rPr>
              <w:t>/</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color w:val="000000"/>
                <w:sz w:val="20"/>
                <w:szCs w:val="20"/>
                <w:u w:val="none"/>
              </w:rPr>
            </w:pPr>
          </w:p>
        </w:tc>
        <w:tc>
          <w:tcPr>
            <w:tcW w:w="7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通过血液检查女性早孕情况。</w:t>
            </w:r>
          </w:p>
        </w:tc>
      </w:tr>
      <w:tr>
        <w:tblPrEx>
          <w:tblCellMar>
            <w:top w:w="0" w:type="dxa"/>
            <w:left w:w="0" w:type="dxa"/>
            <w:bottom w:w="0" w:type="dxa"/>
            <w:right w:w="0" w:type="dxa"/>
          </w:tblCellMar>
        </w:tblPrEx>
        <w:trPr>
          <w:trHeight w:val="455"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sz w:val="20"/>
                <w:szCs w:val="20"/>
                <w:u w:val="none"/>
                <w:lang w:val="en-US" w:eastAsia="zh-CN"/>
              </w:rPr>
              <w:t>8</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sz w:val="20"/>
                <w:szCs w:val="20"/>
              </w:rPr>
            </w:pPr>
            <w:r>
              <w:rPr>
                <w:rFonts w:hint="eastAsia" w:ascii="仿宋" w:hAnsi="仿宋" w:eastAsia="仿宋" w:cs="仿宋"/>
                <w:i w:val="0"/>
                <w:color w:val="000000"/>
                <w:kern w:val="0"/>
                <w:sz w:val="20"/>
                <w:szCs w:val="20"/>
                <w:u w:val="none"/>
                <w:lang w:val="en-US" w:eastAsia="zh-CN" w:bidi="ar"/>
              </w:rPr>
              <w:t>采血耗材</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i w:val="0"/>
                <w:color w:val="000000"/>
                <w:sz w:val="20"/>
                <w:szCs w:val="20"/>
                <w:u w:val="none"/>
              </w:rPr>
            </w:pPr>
          </w:p>
        </w:tc>
        <w:tc>
          <w:tcPr>
            <w:tcW w:w="7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采血采用一次性无菌耗材。</w:t>
            </w:r>
          </w:p>
        </w:tc>
      </w:tr>
      <w:tr>
        <w:tblPrEx>
          <w:tblCellMar>
            <w:top w:w="0" w:type="dxa"/>
            <w:left w:w="0" w:type="dxa"/>
            <w:bottom w:w="0" w:type="dxa"/>
            <w:right w:w="0" w:type="dxa"/>
          </w:tblCellMar>
        </w:tblPrEx>
        <w:trPr>
          <w:trHeight w:val="674"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default" w:ascii="仿宋" w:hAnsi="仿宋" w:eastAsia="仿宋" w:cs="仿宋"/>
                <w:b/>
                <w:i w:val="0"/>
                <w:color w:val="000000"/>
                <w:sz w:val="20"/>
                <w:szCs w:val="20"/>
                <w:u w:val="none"/>
                <w:lang w:val="en-US" w:eastAsia="zh-CN"/>
              </w:rPr>
            </w:pPr>
            <w:r>
              <w:rPr>
                <w:rFonts w:hint="eastAsia" w:ascii="仿宋" w:hAnsi="仿宋" w:eastAsia="仿宋" w:cs="仿宋"/>
                <w:b w:val="0"/>
                <w:bCs/>
                <w:i w:val="0"/>
                <w:color w:val="000000"/>
                <w:sz w:val="20"/>
                <w:szCs w:val="20"/>
                <w:u w:val="none"/>
                <w:lang w:val="en-US" w:eastAsia="zh-CN"/>
              </w:rPr>
              <w:t>9</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asciiTheme="minorHAnsi" w:hAnsiTheme="minorHAnsi" w:eastAsiaTheme="minorEastAsia" w:cstheme="minorBidi"/>
                <w:sz w:val="20"/>
                <w:szCs w:val="20"/>
                <w:lang w:val="en-US" w:eastAsia="zh-CN" w:bidi="ar-SA"/>
              </w:rPr>
            </w:pPr>
            <w:r>
              <w:rPr>
                <w:rFonts w:hint="eastAsia" w:ascii="仿宋" w:hAnsi="仿宋" w:eastAsia="仿宋" w:cs="仿宋"/>
                <w:i w:val="0"/>
                <w:color w:val="000000"/>
                <w:kern w:val="0"/>
                <w:sz w:val="20"/>
                <w:szCs w:val="20"/>
                <w:u w:val="none"/>
                <w:lang w:val="en-US" w:eastAsia="zh-CN" w:bidi="ar"/>
              </w:rPr>
              <w:t>结核菌素（PPD）试验</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b/>
                <w:i w:val="0"/>
                <w:color w:val="000000"/>
                <w:sz w:val="20"/>
                <w:szCs w:val="20"/>
                <w:u w:val="none"/>
                <w:lang w:val="en-US" w:eastAsia="zh-CN" w:bidi="ar-SA"/>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b/>
                <w:i w:val="0"/>
                <w:color w:val="000000"/>
                <w:sz w:val="20"/>
                <w:szCs w:val="20"/>
                <w:u w:val="none"/>
                <w:lang w:val="en-US" w:eastAsia="zh-CN" w:bidi="ar-SA"/>
              </w:rPr>
            </w:pPr>
          </w:p>
        </w:tc>
        <w:tc>
          <w:tcPr>
            <w:tcW w:w="7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b/>
                <w:i w:val="0"/>
                <w:color w:val="000000"/>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用于诊断结核菌感染所致IV型超敏反应的皮肤试验</w:t>
            </w:r>
          </w:p>
        </w:tc>
      </w:tr>
      <w:tr>
        <w:tblPrEx>
          <w:tblCellMar>
            <w:top w:w="0" w:type="dxa"/>
            <w:left w:w="0" w:type="dxa"/>
            <w:bottom w:w="0" w:type="dxa"/>
            <w:right w:w="0" w:type="dxa"/>
          </w:tblCellMar>
        </w:tblPrEx>
        <w:trPr>
          <w:trHeight w:val="384"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b/>
                <w:i w:val="0"/>
                <w:color w:val="000000"/>
                <w:sz w:val="22"/>
                <w:szCs w:val="22"/>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pPr>
            <w:r>
              <w:rPr>
                <w:rFonts w:hint="eastAsia" w:ascii="仿宋" w:hAnsi="仿宋" w:eastAsia="仿宋" w:cs="仿宋"/>
                <w:b/>
                <w:i w:val="0"/>
                <w:color w:val="000000"/>
                <w:kern w:val="0"/>
                <w:sz w:val="22"/>
                <w:szCs w:val="22"/>
                <w:u w:val="none"/>
                <w:lang w:val="en-US" w:eastAsia="zh-CN" w:bidi="ar"/>
              </w:rPr>
              <w:t>合计价格</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b/>
                <w:i w:val="0"/>
                <w:color w:val="000000"/>
                <w:sz w:val="22"/>
                <w:szCs w:val="22"/>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b/>
                <w:i w:val="0"/>
                <w:color w:val="000000"/>
                <w:sz w:val="22"/>
                <w:szCs w:val="22"/>
                <w:u w:val="none"/>
              </w:rPr>
            </w:pPr>
          </w:p>
        </w:tc>
        <w:tc>
          <w:tcPr>
            <w:tcW w:w="7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b/>
                <w:i w:val="0"/>
                <w:color w:val="000000"/>
                <w:sz w:val="22"/>
                <w:szCs w:val="22"/>
                <w:u w:val="none"/>
              </w:rPr>
            </w:pPr>
          </w:p>
        </w:tc>
      </w:tr>
      <w:tr>
        <w:tblPrEx>
          <w:tblCellMar>
            <w:top w:w="0" w:type="dxa"/>
            <w:left w:w="0" w:type="dxa"/>
            <w:bottom w:w="0" w:type="dxa"/>
            <w:right w:w="0" w:type="dxa"/>
          </w:tblCellMar>
        </w:tblPrEx>
        <w:trPr>
          <w:trHeight w:val="395" w:hRule="atLeast"/>
        </w:trPr>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b/>
                <w:i w:val="0"/>
                <w:color w:val="000000"/>
                <w:sz w:val="22"/>
                <w:szCs w:val="22"/>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exact"/>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优惠价格</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b/>
                <w:i w:val="0"/>
                <w:color w:val="000000"/>
                <w:sz w:val="22"/>
                <w:szCs w:val="22"/>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b/>
                <w:i w:val="0"/>
                <w:color w:val="000000"/>
                <w:sz w:val="22"/>
                <w:szCs w:val="22"/>
                <w:u w:val="none"/>
              </w:rPr>
            </w:pPr>
          </w:p>
        </w:tc>
        <w:tc>
          <w:tcPr>
            <w:tcW w:w="7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仿宋" w:hAnsi="仿宋" w:eastAsia="仿宋" w:cs="仿宋"/>
                <w:b/>
                <w:i w:val="0"/>
                <w:color w:val="000000"/>
                <w:sz w:val="22"/>
                <w:szCs w:val="22"/>
                <w:u w:val="none"/>
              </w:rPr>
            </w:pPr>
          </w:p>
        </w:tc>
      </w:tr>
    </w:tbl>
    <w:p>
      <w:pPr>
        <w:spacing w:after="0" w:line="480" w:lineRule="exact"/>
        <w:rPr>
          <w:rFonts w:hint="eastAsia" w:ascii="仿宋" w:hAnsi="仿宋" w:eastAsia="仿宋"/>
          <w:sz w:val="24"/>
          <w:szCs w:val="24"/>
        </w:rPr>
      </w:pPr>
      <w:r>
        <w:rPr>
          <w:rFonts w:hint="eastAsia" w:ascii="仿宋" w:hAnsi="仿宋" w:eastAsia="仿宋"/>
          <w:sz w:val="24"/>
          <w:szCs w:val="24"/>
        </w:rPr>
        <w:t>注：1.如果按单价计算的结果与总价不一致,以单价为准修正总价。</w:t>
      </w:r>
    </w:p>
    <w:p>
      <w:pPr>
        <w:spacing w:after="0" w:line="480" w:lineRule="exact"/>
        <w:ind w:firstLine="480" w:firstLineChars="200"/>
        <w:rPr>
          <w:rFonts w:hint="eastAsia" w:ascii="仿宋" w:hAnsi="仿宋" w:eastAsia="仿宋"/>
          <w:sz w:val="24"/>
          <w:szCs w:val="24"/>
          <w:lang w:val="zh-CN"/>
        </w:rPr>
      </w:pPr>
      <w:r>
        <w:rPr>
          <w:rFonts w:hint="eastAsia" w:ascii="仿宋" w:hAnsi="仿宋" w:eastAsia="仿宋"/>
          <w:sz w:val="24"/>
          <w:szCs w:val="24"/>
        </w:rPr>
        <w:t>2.如果不提供详细参数和报价将视为没有实质性响应公开询价文件。</w:t>
      </w:r>
    </w:p>
    <w:p>
      <w:pPr>
        <w:spacing w:after="0" w:line="480" w:lineRule="exact"/>
        <w:ind w:firstLine="4200" w:firstLineChars="1500"/>
        <w:rPr>
          <w:rFonts w:hint="eastAsia" w:ascii="仿宋" w:hAnsi="仿宋" w:eastAsia="仿宋"/>
          <w:sz w:val="28"/>
          <w:szCs w:val="28"/>
          <w:lang w:val="zh-CN"/>
        </w:rPr>
      </w:pPr>
      <w:r>
        <w:rPr>
          <w:rFonts w:hint="eastAsia" w:ascii="仿宋" w:hAnsi="仿宋" w:eastAsia="仿宋"/>
          <w:sz w:val="28"/>
          <w:szCs w:val="28"/>
          <w:lang w:val="zh-CN"/>
        </w:rPr>
        <w:t>参与人授权代表（签字或盖章）：</w:t>
      </w:r>
    </w:p>
    <w:p>
      <w:pPr>
        <w:spacing w:line="380" w:lineRule="exact"/>
        <w:ind w:right="1120" w:firstLine="5040" w:firstLineChars="1800"/>
        <w:outlineLvl w:val="2"/>
        <w:rPr>
          <w:rFonts w:hint="eastAsia" w:ascii="仿宋" w:hAnsi="仿宋" w:eastAsia="仿宋"/>
          <w:sz w:val="28"/>
          <w:szCs w:val="28"/>
          <w:lang w:val="zh-CN"/>
        </w:rPr>
      </w:pPr>
    </w:p>
    <w:p>
      <w:pPr>
        <w:spacing w:line="380" w:lineRule="exact"/>
        <w:ind w:right="1120" w:firstLine="5040" w:firstLineChars="1800"/>
        <w:outlineLvl w:val="2"/>
        <w:rPr>
          <w:rFonts w:ascii="仿宋" w:hAnsi="仿宋" w:eastAsia="仿宋"/>
          <w:bCs/>
          <w:sz w:val="28"/>
          <w:szCs w:val="28"/>
          <w:u w:val="single"/>
        </w:rPr>
      </w:pPr>
      <w:r>
        <w:rPr>
          <w:rFonts w:hint="eastAsia" w:ascii="仿宋" w:hAnsi="仿宋" w:eastAsia="仿宋"/>
          <w:sz w:val="28"/>
          <w:szCs w:val="28"/>
          <w:lang w:val="zh-CN"/>
        </w:rPr>
        <w:t>日</w:t>
      </w:r>
      <w:r>
        <w:rPr>
          <w:rFonts w:hint="eastAsia" w:ascii="仿宋" w:hAnsi="仿宋" w:eastAsia="仿宋"/>
          <w:sz w:val="28"/>
          <w:szCs w:val="28"/>
          <w:lang w:val="en-US" w:eastAsia="zh-CN"/>
        </w:rPr>
        <w:t xml:space="preserve">  </w:t>
      </w:r>
      <w:r>
        <w:rPr>
          <w:rFonts w:hint="eastAsia" w:ascii="仿宋" w:hAnsi="仿宋" w:eastAsia="仿宋"/>
          <w:sz w:val="28"/>
          <w:szCs w:val="28"/>
          <w:lang w:val="zh-CN"/>
        </w:rPr>
        <w:t>期：</w:t>
      </w:r>
      <w:bookmarkStart w:id="116" w:name="_Toc169332843"/>
      <w:bookmarkStart w:id="117" w:name="_Toc235438352"/>
      <w:bookmarkStart w:id="118" w:name="_Toc223146614"/>
      <w:bookmarkStart w:id="119" w:name="_Toc251613839"/>
      <w:bookmarkStart w:id="120" w:name="_Toc193160453"/>
      <w:bookmarkStart w:id="121" w:name="_Toc236021457"/>
      <w:bookmarkStart w:id="122" w:name="_Toc177985474"/>
      <w:bookmarkStart w:id="123" w:name="_Toc213756057"/>
      <w:bookmarkStart w:id="124" w:name="_Toc225669328"/>
      <w:bookmarkStart w:id="125" w:name="_Toc259692749"/>
      <w:bookmarkStart w:id="126" w:name="_Toc267060461"/>
      <w:bookmarkStart w:id="127" w:name="_Toc192996343"/>
      <w:bookmarkStart w:id="128" w:name="_Toc249325720"/>
      <w:bookmarkStart w:id="129" w:name="_Toc266870441"/>
      <w:bookmarkStart w:id="130" w:name="_Toc254790909"/>
      <w:bookmarkStart w:id="131" w:name="_Toc182805222"/>
      <w:bookmarkStart w:id="132" w:name="_Toc213755864"/>
      <w:bookmarkStart w:id="133" w:name="_Toc267060076"/>
      <w:bookmarkStart w:id="134" w:name="_Toc273178703"/>
      <w:bookmarkStart w:id="135" w:name="_Toc267059186"/>
      <w:bookmarkStart w:id="136" w:name="_Toc258401265"/>
      <w:bookmarkStart w:id="137" w:name="_Toc160880534"/>
      <w:bookmarkStart w:id="138" w:name="_Toc181436570"/>
      <w:bookmarkStart w:id="139" w:name="_Toc193165739"/>
      <w:bookmarkStart w:id="140" w:name="_Toc160880165"/>
      <w:bookmarkStart w:id="141" w:name="_Toc235438281"/>
      <w:bookmarkStart w:id="142" w:name="_Toc211917121"/>
      <w:bookmarkStart w:id="143" w:name="_Toc191789334"/>
      <w:bookmarkStart w:id="144" w:name="_Toc267059811"/>
      <w:bookmarkStart w:id="145" w:name="_Toc266868679"/>
      <w:bookmarkStart w:id="146" w:name="_Toc253066624"/>
      <w:bookmarkStart w:id="147" w:name="_Toc203355738"/>
      <w:bookmarkStart w:id="148" w:name="_Toc267059035"/>
      <w:bookmarkStart w:id="149" w:name="_Toc192664158"/>
      <w:bookmarkStart w:id="150" w:name="_Toc192996451"/>
      <w:bookmarkStart w:id="151" w:name="_Toc213756001"/>
      <w:bookmarkStart w:id="152" w:name="_Toc191783227"/>
      <w:bookmarkStart w:id="153" w:name="_Toc232302122"/>
      <w:bookmarkStart w:id="154" w:name="_Toc182372787"/>
      <w:bookmarkStart w:id="155" w:name="_Toc213755945"/>
      <w:bookmarkStart w:id="156" w:name="_Toc227058536"/>
      <w:bookmarkStart w:id="157" w:name="_Toc259520874"/>
      <w:bookmarkStart w:id="158" w:name="_Toc266868943"/>
      <w:bookmarkStart w:id="159" w:name="_Toc235437998"/>
      <w:bookmarkStart w:id="160" w:name="_Toc251586241"/>
      <w:bookmarkStart w:id="161" w:name="_Toc192663691"/>
      <w:bookmarkStart w:id="162" w:name="_Toc170798798"/>
      <w:bookmarkStart w:id="163" w:name="_Toc230071153"/>
      <w:bookmarkStart w:id="164" w:name="_Toc213208771"/>
      <w:bookmarkStart w:id="165" w:name="_Toc266870916"/>
      <w:bookmarkStart w:id="166" w:name="_Toc267059544"/>
      <w:bookmarkStart w:id="167" w:name="_Toc169332954"/>
      <w:bookmarkStart w:id="168" w:name="_Toc217891408"/>
      <w:bookmarkStart w:id="169" w:name="_Toc219800249"/>
      <w:bookmarkStart w:id="170" w:name="_Toc180302918"/>
      <w:bookmarkStart w:id="171" w:name="_Toc267060216"/>
      <w:bookmarkStart w:id="172" w:name="_Toc181436466"/>
      <w:bookmarkStart w:id="173" w:name="_Toc267060326"/>
      <w:bookmarkStart w:id="174" w:name="_Toc267059658"/>
      <w:bookmarkStart w:id="175" w:name="_Toc255975016"/>
      <w:bookmarkStart w:id="176" w:name="_Toc191802695"/>
      <w:bookmarkStart w:id="177" w:name="_Toc266870839"/>
      <w:bookmarkStart w:id="178" w:name="_Toc192663840"/>
      <w:bookmarkStart w:id="179" w:name="_Toc191803631"/>
      <w:bookmarkStart w:id="180" w:name="_Toc259692656"/>
      <w:bookmarkStart w:id="181" w:name="_Toc267059924"/>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、参与人资质材料</w:t>
      </w:r>
    </w:p>
    <w:p>
      <w:pPr>
        <w:pStyle w:val="39"/>
      </w:pPr>
    </w:p>
    <w:p>
      <w:pPr>
        <w:spacing w:after="0" w:line="500" w:lineRule="exact"/>
        <w:rPr>
          <w:rFonts w:hint="eastAsia" w:ascii="仿宋" w:hAnsi="仿宋" w:eastAsia="仿宋"/>
          <w:sz w:val="28"/>
          <w:szCs w:val="28"/>
        </w:rPr>
      </w:pPr>
      <w:r>
        <w:rPr>
          <w:rFonts w:hint="eastAsia" w:ascii="仿宋" w:hAnsi="仿宋" w:eastAsia="仿宋"/>
          <w:sz w:val="28"/>
          <w:szCs w:val="28"/>
        </w:rPr>
        <w:t>参与人需要提供以下材料：</w:t>
      </w:r>
    </w:p>
    <w:p>
      <w:pPr>
        <w:pStyle w:val="54"/>
        <w:numPr>
          <w:ilvl w:val="0"/>
          <w:numId w:val="2"/>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4"/>
        <w:numPr>
          <w:ilvl w:val="0"/>
          <w:numId w:val="2"/>
        </w:numPr>
        <w:spacing w:after="0" w:line="500" w:lineRule="exact"/>
        <w:ind w:firstLineChars="0"/>
        <w:rPr>
          <w:rFonts w:ascii="仿宋" w:hAnsi="仿宋" w:eastAsia="仿宋"/>
          <w:sz w:val="28"/>
          <w:szCs w:val="28"/>
        </w:rPr>
      </w:pPr>
      <w:r>
        <w:rPr>
          <w:rFonts w:hint="eastAsia" w:ascii="仿宋" w:hAnsi="仿宋" w:eastAsia="仿宋"/>
          <w:sz w:val="28"/>
          <w:szCs w:val="28"/>
        </w:rPr>
        <w:t>授权经销商或代理商证明材料复印件</w:t>
      </w:r>
    </w:p>
    <w:p>
      <w:pPr>
        <w:pStyle w:val="54"/>
        <w:numPr>
          <w:ilvl w:val="0"/>
          <w:numId w:val="2"/>
        </w:numPr>
        <w:spacing w:after="0" w:line="500" w:lineRule="exact"/>
        <w:ind w:firstLineChars="0"/>
        <w:rPr>
          <w:rFonts w:hint="eastAsia" w:ascii="仿宋" w:hAnsi="仿宋" w:eastAsia="仿宋"/>
          <w:sz w:val="28"/>
          <w:szCs w:val="28"/>
        </w:rPr>
      </w:pPr>
      <w:r>
        <w:rPr>
          <w:rFonts w:hint="eastAsia" w:ascii="仿宋" w:hAnsi="仿宋" w:eastAsia="仿宋"/>
          <w:sz w:val="28"/>
          <w:szCs w:val="28"/>
        </w:rPr>
        <w:t>质保期和售后服务承诺书（参与人自行起草）</w:t>
      </w:r>
    </w:p>
    <w:p>
      <w:pPr>
        <w:spacing w:line="380" w:lineRule="exact"/>
        <w:rPr>
          <w:rFonts w:ascii="仿宋" w:hAnsi="仿宋" w:eastAsia="仿宋"/>
          <w:sz w:val="28"/>
          <w:szCs w:val="28"/>
        </w:rPr>
      </w:pPr>
    </w:p>
    <w:p>
      <w:pPr>
        <w:spacing w:line="380" w:lineRule="exact"/>
        <w:rPr>
          <w:rFonts w:ascii="仿宋" w:hAnsi="仿宋" w:eastAsia="仿宋"/>
          <w:color w:val="auto"/>
          <w:sz w:val="28"/>
          <w:szCs w:val="28"/>
        </w:rPr>
      </w:pPr>
      <w:r>
        <w:rPr>
          <w:rFonts w:hint="eastAsia" w:ascii="仿宋" w:hAnsi="仿宋" w:eastAsia="仿宋"/>
          <w:b/>
          <w:bCs/>
          <w:sz w:val="28"/>
          <w:szCs w:val="28"/>
        </w:rPr>
        <w:t>以上材料复印件须加盖参与人公司公章，并与报价一览表一同密封</w:t>
      </w:r>
    </w:p>
    <w:p>
      <w:pPr>
        <w:spacing w:line="380" w:lineRule="exact"/>
        <w:jc w:val="both"/>
        <w:outlineLvl w:val="2"/>
        <w:rPr>
          <w:rFonts w:ascii="仿宋" w:hAnsi="仿宋" w:eastAsia="仿宋"/>
          <w:sz w:val="28"/>
          <w:szCs w:val="28"/>
        </w:rPr>
      </w:pPr>
    </w:p>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2148840" cy="342265"/>
          <wp:effectExtent l="0" t="0" r="3810" b="635"/>
          <wp:docPr id="6" name="图片 6"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3096D5F"/>
    <w:rsid w:val="030C2CB6"/>
    <w:rsid w:val="04354CBF"/>
    <w:rsid w:val="04666C9E"/>
    <w:rsid w:val="06FD269A"/>
    <w:rsid w:val="088D6805"/>
    <w:rsid w:val="097E7635"/>
    <w:rsid w:val="09A72F70"/>
    <w:rsid w:val="0A3716B9"/>
    <w:rsid w:val="0A6E7410"/>
    <w:rsid w:val="0AD51E70"/>
    <w:rsid w:val="0B1F242D"/>
    <w:rsid w:val="0C527DEF"/>
    <w:rsid w:val="0ED9607E"/>
    <w:rsid w:val="0F383E2B"/>
    <w:rsid w:val="0FED387A"/>
    <w:rsid w:val="10001529"/>
    <w:rsid w:val="100A4947"/>
    <w:rsid w:val="101D4561"/>
    <w:rsid w:val="101F3682"/>
    <w:rsid w:val="10987E8D"/>
    <w:rsid w:val="10D67172"/>
    <w:rsid w:val="11404E12"/>
    <w:rsid w:val="1411269D"/>
    <w:rsid w:val="150679A5"/>
    <w:rsid w:val="150D047B"/>
    <w:rsid w:val="15721458"/>
    <w:rsid w:val="16CD0305"/>
    <w:rsid w:val="16F140DB"/>
    <w:rsid w:val="1734667A"/>
    <w:rsid w:val="176F441B"/>
    <w:rsid w:val="17A96FA4"/>
    <w:rsid w:val="18147845"/>
    <w:rsid w:val="183E4929"/>
    <w:rsid w:val="1876491E"/>
    <w:rsid w:val="19A21814"/>
    <w:rsid w:val="1B1C66E6"/>
    <w:rsid w:val="1B563E16"/>
    <w:rsid w:val="1BEE05A1"/>
    <w:rsid w:val="1C4D605D"/>
    <w:rsid w:val="1C5B42ED"/>
    <w:rsid w:val="1CDE12EA"/>
    <w:rsid w:val="1D9236E6"/>
    <w:rsid w:val="1FB2381D"/>
    <w:rsid w:val="1FC46EC1"/>
    <w:rsid w:val="20CB541B"/>
    <w:rsid w:val="215F1577"/>
    <w:rsid w:val="22BC3287"/>
    <w:rsid w:val="230904E6"/>
    <w:rsid w:val="238B716B"/>
    <w:rsid w:val="2430619E"/>
    <w:rsid w:val="27D9139D"/>
    <w:rsid w:val="27F54F9D"/>
    <w:rsid w:val="288618F0"/>
    <w:rsid w:val="28DD7965"/>
    <w:rsid w:val="29B01B00"/>
    <w:rsid w:val="29F51443"/>
    <w:rsid w:val="2A255905"/>
    <w:rsid w:val="2B61150A"/>
    <w:rsid w:val="2BA005FB"/>
    <w:rsid w:val="2C3F6559"/>
    <w:rsid w:val="2D145EC5"/>
    <w:rsid w:val="2EDD6252"/>
    <w:rsid w:val="2F1B5C9F"/>
    <w:rsid w:val="30180EA6"/>
    <w:rsid w:val="3301375D"/>
    <w:rsid w:val="33EE5AD5"/>
    <w:rsid w:val="342804A8"/>
    <w:rsid w:val="35CB6DC8"/>
    <w:rsid w:val="3AF809ED"/>
    <w:rsid w:val="3B111C96"/>
    <w:rsid w:val="3B234142"/>
    <w:rsid w:val="3CF74FC7"/>
    <w:rsid w:val="3E362517"/>
    <w:rsid w:val="3E924A9D"/>
    <w:rsid w:val="41DF2CEB"/>
    <w:rsid w:val="423B506A"/>
    <w:rsid w:val="42D57A4D"/>
    <w:rsid w:val="43505235"/>
    <w:rsid w:val="43890615"/>
    <w:rsid w:val="43B92FF0"/>
    <w:rsid w:val="43E233D0"/>
    <w:rsid w:val="445D4E08"/>
    <w:rsid w:val="44D233F9"/>
    <w:rsid w:val="44E643D8"/>
    <w:rsid w:val="45993277"/>
    <w:rsid w:val="45C13BC9"/>
    <w:rsid w:val="45EB4C53"/>
    <w:rsid w:val="49975A5C"/>
    <w:rsid w:val="4B63388E"/>
    <w:rsid w:val="4C993C1D"/>
    <w:rsid w:val="4E2D76E6"/>
    <w:rsid w:val="4E756814"/>
    <w:rsid w:val="4E807F14"/>
    <w:rsid w:val="4EAA7FE0"/>
    <w:rsid w:val="4F213B8C"/>
    <w:rsid w:val="4FAE5E52"/>
    <w:rsid w:val="50863E14"/>
    <w:rsid w:val="50B74714"/>
    <w:rsid w:val="51CD66F3"/>
    <w:rsid w:val="52A468E9"/>
    <w:rsid w:val="54A454D1"/>
    <w:rsid w:val="54E52D9E"/>
    <w:rsid w:val="55CF7B31"/>
    <w:rsid w:val="56393C13"/>
    <w:rsid w:val="566265F1"/>
    <w:rsid w:val="58313173"/>
    <w:rsid w:val="588C3372"/>
    <w:rsid w:val="5B761672"/>
    <w:rsid w:val="5C4F5C99"/>
    <w:rsid w:val="5D1B67CB"/>
    <w:rsid w:val="5F90689D"/>
    <w:rsid w:val="5F9768F3"/>
    <w:rsid w:val="606A5960"/>
    <w:rsid w:val="61155E40"/>
    <w:rsid w:val="61C87E6F"/>
    <w:rsid w:val="62DA0D5E"/>
    <w:rsid w:val="6300039F"/>
    <w:rsid w:val="64BB1A7E"/>
    <w:rsid w:val="64D43D04"/>
    <w:rsid w:val="6652791B"/>
    <w:rsid w:val="667B530E"/>
    <w:rsid w:val="67367D1C"/>
    <w:rsid w:val="68457210"/>
    <w:rsid w:val="6A71527F"/>
    <w:rsid w:val="6B4924C6"/>
    <w:rsid w:val="6E9C129B"/>
    <w:rsid w:val="6F6439D5"/>
    <w:rsid w:val="70A444C6"/>
    <w:rsid w:val="70DD533A"/>
    <w:rsid w:val="70F133E7"/>
    <w:rsid w:val="70FC52EA"/>
    <w:rsid w:val="743A152F"/>
    <w:rsid w:val="74D81746"/>
    <w:rsid w:val="752567FF"/>
    <w:rsid w:val="75A917EE"/>
    <w:rsid w:val="761D7A3E"/>
    <w:rsid w:val="76A81543"/>
    <w:rsid w:val="77685A7B"/>
    <w:rsid w:val="778C2023"/>
    <w:rsid w:val="7A7B1093"/>
    <w:rsid w:val="7A7F578E"/>
    <w:rsid w:val="7D4B78AB"/>
    <w:rsid w:val="7DA0242A"/>
    <w:rsid w:val="7E39207C"/>
    <w:rsid w:val="7F8F3EDB"/>
    <w:rsid w:val="7F932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3">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customStyle="1" w:styleId="28">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5"/>
    <w:link w:val="6"/>
    <w:semiHidden/>
    <w:qFormat/>
    <w:uiPriority w:val="9"/>
    <w:rPr>
      <w:rFonts w:asciiTheme="majorHAnsi" w:hAnsiTheme="majorHAnsi" w:eastAsiaTheme="majorEastAsia" w:cstheme="majorBidi"/>
      <w:b/>
      <w:bCs/>
    </w:rPr>
  </w:style>
  <w:style w:type="character" w:customStyle="1" w:styleId="33">
    <w:name w:val="标题 6 字符"/>
    <w:basedOn w:val="25"/>
    <w:link w:val="7"/>
    <w:semiHidden/>
    <w:qFormat/>
    <w:uiPriority w:val="9"/>
    <w:rPr>
      <w:rFonts w:asciiTheme="majorHAnsi" w:hAnsiTheme="majorHAnsi" w:eastAsiaTheme="majorEastAsia" w:cstheme="majorBidi"/>
      <w:b/>
      <w:bCs/>
      <w:i/>
      <w:iCs/>
    </w:rPr>
  </w:style>
  <w:style w:type="character" w:customStyle="1" w:styleId="34">
    <w:name w:val="标题 7 字符"/>
    <w:basedOn w:val="25"/>
    <w:link w:val="8"/>
    <w:semiHidden/>
    <w:qFormat/>
    <w:uiPriority w:val="9"/>
    <w:rPr>
      <w:i/>
      <w:iCs/>
    </w:rPr>
  </w:style>
  <w:style w:type="character" w:customStyle="1" w:styleId="35">
    <w:name w:val="标题 8 字符"/>
    <w:basedOn w:val="25"/>
    <w:link w:val="9"/>
    <w:semiHidden/>
    <w:qFormat/>
    <w:uiPriority w:val="9"/>
    <w:rPr>
      <w:b/>
      <w:bCs/>
    </w:rPr>
  </w:style>
  <w:style w:type="character" w:customStyle="1" w:styleId="36">
    <w:name w:val="标题 9 字符"/>
    <w:basedOn w:val="25"/>
    <w:link w:val="10"/>
    <w:semiHidden/>
    <w:qFormat/>
    <w:uiPriority w:val="9"/>
    <w:rPr>
      <w:i/>
      <w:iCs/>
    </w:rPr>
  </w:style>
  <w:style w:type="character" w:customStyle="1" w:styleId="37">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8">
    <w:name w:val="副标题 字符"/>
    <w:basedOn w:val="25"/>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5"/>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5"/>
    <w:link w:val="42"/>
    <w:qFormat/>
    <w:uiPriority w:val="30"/>
    <w:rPr>
      <w:rFonts w:asciiTheme="majorHAnsi" w:hAnsiTheme="majorHAnsi" w:eastAsiaTheme="majorEastAsia" w:cstheme="majorBidi"/>
      <w:sz w:val="26"/>
      <w:szCs w:val="26"/>
    </w:rPr>
  </w:style>
  <w:style w:type="character" w:customStyle="1" w:styleId="44">
    <w:name w:val="Subtle Emphasis"/>
    <w:basedOn w:val="25"/>
    <w:qFormat/>
    <w:uiPriority w:val="19"/>
    <w:rPr>
      <w:i/>
      <w:iCs/>
      <w:color w:val="auto"/>
    </w:rPr>
  </w:style>
  <w:style w:type="character" w:customStyle="1" w:styleId="45">
    <w:name w:val="Intense Emphasis"/>
    <w:basedOn w:val="25"/>
    <w:qFormat/>
    <w:uiPriority w:val="21"/>
    <w:rPr>
      <w:b/>
      <w:bCs/>
      <w:i/>
      <w:iCs/>
      <w:color w:val="auto"/>
    </w:rPr>
  </w:style>
  <w:style w:type="character" w:customStyle="1" w:styleId="46">
    <w:name w:val="Subtle Reference"/>
    <w:basedOn w:val="25"/>
    <w:qFormat/>
    <w:uiPriority w:val="31"/>
    <w:rPr>
      <w:smallCaps/>
      <w:color w:val="auto"/>
      <w:u w:val="single" w:color="7E7E7E" w:themeColor="text1" w:themeTint="80"/>
    </w:rPr>
  </w:style>
  <w:style w:type="character" w:customStyle="1" w:styleId="47">
    <w:name w:val="Intense Reference"/>
    <w:basedOn w:val="25"/>
    <w:qFormat/>
    <w:uiPriority w:val="32"/>
    <w:rPr>
      <w:b/>
      <w:bCs/>
      <w:smallCaps/>
      <w:color w:val="auto"/>
      <w:u w:val="single"/>
    </w:rPr>
  </w:style>
  <w:style w:type="character" w:customStyle="1" w:styleId="48">
    <w:name w:val="Book Title"/>
    <w:basedOn w:val="25"/>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5"/>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5"/>
    <w:link w:val="17"/>
    <w:qFormat/>
    <w:uiPriority w:val="99"/>
    <w:rPr>
      <w:sz w:val="18"/>
      <w:szCs w:val="18"/>
    </w:rPr>
  </w:style>
  <w:style w:type="character" w:customStyle="1" w:styleId="53">
    <w:name w:val="页脚 字符"/>
    <w:basedOn w:val="25"/>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5"/>
    <w:link w:val="15"/>
    <w:semiHidden/>
    <w:qFormat/>
    <w:uiPriority w:val="99"/>
    <w:rPr>
      <w:rFonts w:hAnsi="Courier New" w:cs="Courier New" w:asciiTheme="minorEastAsia"/>
    </w:rPr>
  </w:style>
  <w:style w:type="character" w:customStyle="1" w:styleId="58">
    <w:name w:val="正文文本 字符"/>
    <w:basedOn w:val="25"/>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5</TotalTime>
  <ScaleCrop>false</ScaleCrop>
  <LinksUpToDate>false</LinksUpToDate>
  <CharactersWithSpaces>3430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dcterms:modified xsi:type="dcterms:W3CDTF">2022-02-25T03:43:21Z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6E2EF0BE74AE4DCF83D3970841C64274</vt:lpwstr>
  </property>
</Properties>
</file>