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116" w:name="_GoBack"/>
      <w:bookmarkEnd w:id="116"/>
    </w:p>
    <w:p>
      <w:pPr>
        <w:jc w:val="center"/>
        <w:rPr>
          <w:color w:val="auto"/>
        </w:rPr>
      </w:pPr>
      <w:bookmarkStart w:id="0" w:name="_Hlk38472698"/>
      <w:r>
        <w:rPr>
          <w:rFonts w:hint="eastAsia" w:ascii="仿宋" w:hAnsi="仿宋" w:eastAsia="仿宋"/>
          <w:b/>
          <w:color w:val="auto"/>
          <w:sz w:val="72"/>
          <w:szCs w:val="72"/>
          <w:lang w:val="en-US" w:eastAsia="zh-CN"/>
        </w:rPr>
        <w:drawing>
          <wp:inline distT="0" distB="0" distL="114300" distR="114300">
            <wp:extent cx="5909945" cy="941705"/>
            <wp:effectExtent l="0" t="0" r="14605" b="10795"/>
            <wp:docPr id="1" name="图片 1"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e17fb75101ff16f5eb68e7a59cb101"/>
                    <pic:cNvPicPr>
                      <a:picLocks noChangeAspect="1"/>
                    </pic:cNvPicPr>
                  </pic:nvPicPr>
                  <pic:blipFill>
                    <a:blip r:embed="rId12"/>
                    <a:stretch>
                      <a:fillRect/>
                    </a:stretch>
                  </pic:blipFill>
                  <pic:spPr>
                    <a:xfrm>
                      <a:off x="0" y="0"/>
                      <a:ext cx="5909945" cy="941705"/>
                    </a:xfrm>
                    <a:prstGeom prst="rect">
                      <a:avLst/>
                    </a:prstGeom>
                  </pic:spPr>
                </pic:pic>
              </a:graphicData>
            </a:graphic>
          </wp:inline>
        </w:drawing>
      </w:r>
    </w:p>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办公电脑采购</w:t>
      </w:r>
      <w:r>
        <w:rPr>
          <w:rFonts w:hint="eastAsia" w:ascii="仿宋" w:hAnsi="仿宋" w:eastAsia="仿宋"/>
          <w:b/>
          <w:color w:val="auto"/>
          <w:sz w:val="44"/>
          <w:szCs w:val="44"/>
        </w:rPr>
        <w:t>项目</w:t>
      </w:r>
    </w:p>
    <w:bookmarkEnd w:id="0"/>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331" w:firstLineChars="645"/>
        <w:rPr>
          <w:rFonts w:hint="eastAsia" w:ascii="仿宋" w:hAnsi="仿宋" w:eastAsia="仿宋"/>
          <w:b/>
          <w:color w:val="auto"/>
          <w:sz w:val="36"/>
          <w:szCs w:val="36"/>
          <w:lang w:val="en-US" w:eastAsia="zh-CN"/>
        </w:rPr>
      </w:pPr>
      <w:r>
        <w:rPr>
          <w:rFonts w:hint="eastAsia" w:ascii="仿宋" w:hAnsi="仿宋" w:eastAsia="仿宋"/>
          <w:b/>
          <w:color w:val="auto"/>
          <w:sz w:val="36"/>
          <w:szCs w:val="36"/>
        </w:rPr>
        <w:t>项目编号：XT-GKXJ202</w:t>
      </w:r>
      <w:r>
        <w:rPr>
          <w:rFonts w:hint="eastAsia" w:ascii="仿宋" w:hAnsi="仿宋" w:eastAsia="仿宋"/>
          <w:b/>
          <w:color w:val="auto"/>
          <w:sz w:val="36"/>
          <w:szCs w:val="36"/>
          <w:lang w:val="en-US" w:eastAsia="zh-CN"/>
        </w:rPr>
        <w:t>2</w:t>
      </w:r>
      <w:r>
        <w:rPr>
          <w:rFonts w:hint="eastAsia" w:ascii="仿宋" w:hAnsi="仿宋" w:eastAsia="仿宋"/>
          <w:b/>
          <w:color w:val="auto"/>
          <w:sz w:val="36"/>
          <w:szCs w:val="36"/>
        </w:rPr>
        <w:t>0</w:t>
      </w:r>
      <w:r>
        <w:rPr>
          <w:rFonts w:hint="eastAsia" w:ascii="仿宋" w:hAnsi="仿宋" w:eastAsia="仿宋"/>
          <w:b/>
          <w:color w:val="auto"/>
          <w:sz w:val="36"/>
          <w:szCs w:val="36"/>
          <w:lang w:val="en-US" w:eastAsia="zh-CN"/>
        </w:rPr>
        <w:t>4</w:t>
      </w:r>
    </w:p>
    <w:p>
      <w:pPr>
        <w:spacing w:line="500" w:lineRule="exact"/>
        <w:ind w:firstLine="2331" w:firstLineChars="645"/>
        <w:rPr>
          <w:rFonts w:hint="default" w:ascii="仿宋" w:hAnsi="仿宋" w:eastAsia="仿宋"/>
          <w:b/>
          <w:color w:val="auto"/>
          <w:sz w:val="36"/>
          <w:szCs w:val="36"/>
          <w:lang w:val="en-US" w:eastAsia="zh-CN"/>
        </w:rPr>
      </w:pPr>
      <w:bookmarkStart w:id="1" w:name="_Toc160880118"/>
      <w:bookmarkStart w:id="2" w:name="_Toc160880485"/>
      <w:bookmarkStart w:id="3" w:name="_Toc169332792"/>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67059786"/>
      <w:bookmarkStart w:id="5" w:name="_Toc235438227"/>
      <w:bookmarkStart w:id="6" w:name="_Toc223146565"/>
      <w:bookmarkStart w:id="7" w:name="_Toc259520819"/>
      <w:bookmarkStart w:id="8" w:name="_Toc212526081"/>
      <w:bookmarkStart w:id="9" w:name="_Toc169332904"/>
      <w:bookmarkStart w:id="10" w:name="_Toc177985424"/>
      <w:bookmarkStart w:id="11" w:name="_Toc225669277"/>
      <w:bookmarkStart w:id="12" w:name="_Toc249325665"/>
      <w:bookmarkStart w:id="13" w:name="_Toc212530253"/>
      <w:bookmarkStart w:id="14" w:name="_Toc267060022"/>
      <w:bookmarkStart w:id="15" w:name="_Toc169332794"/>
      <w:bookmarkStart w:id="16" w:name="_Toc235438297"/>
      <w:bookmarkStart w:id="17" w:name="_Toc211937196"/>
      <w:bookmarkStart w:id="18" w:name="_Toc219800200"/>
      <w:bookmarkStart w:id="19" w:name="_Toc255974963"/>
      <w:bookmarkStart w:id="20" w:name="_Toc254790852"/>
      <w:bookmarkStart w:id="21" w:name="_Toc235437942"/>
      <w:bookmarkStart w:id="22" w:name="_Toc251586187"/>
      <w:bookmarkStart w:id="23" w:name="_Toc273178686"/>
      <w:bookmarkStart w:id="24" w:name="_Toc259692693"/>
      <w:bookmarkStart w:id="25" w:name="_Toc253066567"/>
      <w:bookmarkStart w:id="26" w:name="_Toc236021402"/>
      <w:bookmarkStart w:id="27" w:name="_Toc267059633"/>
      <w:bookmarkStart w:id="28" w:name="_Toc267059899"/>
      <w:bookmarkStart w:id="29" w:name="_Toc170798743"/>
      <w:bookmarkStart w:id="30" w:name="_Toc266870861"/>
      <w:bookmarkStart w:id="31" w:name="_Toc267060407"/>
      <w:bookmarkStart w:id="32" w:name="_Toc266870386"/>
      <w:bookmarkStart w:id="33" w:name="_Toc207014580"/>
      <w:bookmarkStart w:id="34" w:name="_Toc258401210"/>
      <w:bookmarkStart w:id="35" w:name="_Toc259692600"/>
      <w:bookmarkStart w:id="36" w:name="_Toc266868924"/>
      <w:bookmarkStart w:id="37" w:name="_Toc251613780"/>
      <w:bookmarkStart w:id="38" w:name="_Toc227058483"/>
      <w:bookmarkStart w:id="39" w:name="_Toc212456146"/>
      <w:bookmarkStart w:id="40" w:name="_Toc160880487"/>
      <w:bookmarkStart w:id="41" w:name="_Toc266868624"/>
      <w:bookmarkStart w:id="42" w:name="_Toc267059519"/>
      <w:bookmarkStart w:id="43" w:name="_Toc212454753"/>
      <w:bookmarkStart w:id="44" w:name="_Toc267059010"/>
      <w:bookmarkStart w:id="45" w:name="_Toc217891359"/>
      <w:bookmarkStart w:id="46" w:name="_Toc267059161"/>
      <w:bookmarkStart w:id="47" w:name="_Toc216241307"/>
      <w:bookmarkStart w:id="48" w:name="_Toc267060162"/>
      <w:r>
        <w:rPr>
          <w:rFonts w:hint="eastAsia" w:ascii="仿宋" w:hAnsi="仿宋" w:eastAsia="仿宋"/>
          <w:b/>
          <w:color w:val="auto"/>
          <w:sz w:val="36"/>
          <w:szCs w:val="36"/>
          <w:lang w:val="en-US" w:eastAsia="zh-CN"/>
        </w:rPr>
        <w:t>办公电脑采购项目</w:t>
      </w:r>
    </w:p>
    <w:p>
      <w:pPr>
        <w:pStyle w:val="51"/>
        <w:spacing w:line="360" w:lineRule="auto"/>
        <w:jc w:val="center"/>
        <w:outlineLvl w:val="0"/>
        <w:rPr>
          <w:rFonts w:hint="eastAsia" w:ascii="仿宋" w:hAnsi="仿宋" w:eastAsia="仿宋"/>
          <w:b/>
          <w:color w:val="auto"/>
          <w:sz w:val="44"/>
          <w:szCs w:val="44"/>
        </w:rPr>
      </w:pPr>
    </w:p>
    <w:p>
      <w:pPr>
        <w:pStyle w:val="51"/>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hint="eastAsia" w:ascii="仿宋" w:hAnsi="仿宋" w:eastAsia="仿宋"/>
          <w:color w:val="auto"/>
          <w:sz w:val="28"/>
          <w:szCs w:val="28"/>
        </w:rPr>
      </w:pPr>
      <w:bookmarkStart w:id="49" w:name="_Hlk10840310"/>
      <w:r>
        <w:rPr>
          <w:rFonts w:hint="eastAsia" w:ascii="仿宋" w:hAnsi="仿宋" w:eastAsia="仿宋"/>
          <w:color w:val="auto"/>
          <w:sz w:val="28"/>
          <w:szCs w:val="28"/>
        </w:rPr>
        <w:t>西安铁道技师学院坐落于历史名城古都西安，总校位于风光绮丽的白鹿原大学城，占地面积500余亩，环境优美，红莺翠柳，樱花烂漫。校园内公寓、餐厅、超市、银行等生活保障设施齐全，各类专业教室、计算机网络中心、实验实训设备满足了教学需求。总投资约10亿元人民币，在校生规模近3万人。</w:t>
      </w:r>
    </w:p>
    <w:p>
      <w:pPr>
        <w:spacing w:after="0" w:line="500" w:lineRule="exact"/>
        <w:ind w:firstLine="560" w:firstLineChars="200"/>
        <w:rPr>
          <w:rFonts w:ascii="仿宋" w:hAnsi="仿宋" w:eastAsia="仿宋"/>
          <w:color w:val="000000"/>
          <w:sz w:val="28"/>
          <w:szCs w:val="28"/>
        </w:rPr>
      </w:pPr>
      <w:r>
        <w:rPr>
          <w:rFonts w:hint="eastAsia" w:ascii="仿宋" w:hAnsi="仿宋" w:eastAsia="仿宋"/>
          <w:color w:val="auto"/>
          <w:sz w:val="28"/>
          <w:szCs w:val="28"/>
          <w:lang w:val="en-US" w:eastAsia="zh-CN"/>
        </w:rPr>
        <w:t>西安铁道技师学院根据使用要求，秉承公开、公平、公正的原则，现将办公电脑采购项目进行公开询价邀请，欢迎国内意向商家参与报价。</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b w:val="0"/>
          <w:bCs/>
          <w:color w:val="auto"/>
          <w:sz w:val="28"/>
          <w:szCs w:val="28"/>
        </w:rPr>
        <w:t>XT-GKXJ202</w:t>
      </w:r>
      <w:r>
        <w:rPr>
          <w:rFonts w:hint="eastAsia" w:ascii="仿宋" w:hAnsi="仿宋" w:eastAsia="仿宋"/>
          <w:b w:val="0"/>
          <w:bCs/>
          <w:color w:val="auto"/>
          <w:sz w:val="28"/>
          <w:szCs w:val="28"/>
          <w:lang w:val="en-US" w:eastAsia="zh-CN"/>
        </w:rPr>
        <w:t>2</w:t>
      </w:r>
      <w:r>
        <w:rPr>
          <w:rFonts w:hint="eastAsia" w:ascii="仿宋" w:hAnsi="仿宋" w:eastAsia="仿宋"/>
          <w:b w:val="0"/>
          <w:bCs/>
          <w:color w:val="auto"/>
          <w:sz w:val="28"/>
          <w:szCs w:val="28"/>
        </w:rPr>
        <w:t>0</w:t>
      </w:r>
      <w:r>
        <w:rPr>
          <w:rFonts w:hint="eastAsia" w:ascii="仿宋" w:hAnsi="仿宋" w:eastAsia="仿宋"/>
          <w:b w:val="0"/>
          <w:bCs/>
          <w:color w:val="auto"/>
          <w:sz w:val="28"/>
          <w:szCs w:val="28"/>
          <w:lang w:val="en-US" w:eastAsia="zh-CN"/>
        </w:rPr>
        <w:t>4</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办公电脑采购项目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（1）参与人应具有独立法人资格的生产厂商或授权代理商。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有提</w:t>
      </w:r>
      <w:r>
        <w:rPr>
          <w:rFonts w:hint="eastAsia" w:ascii="仿宋" w:hAnsi="仿宋" w:eastAsia="仿宋"/>
          <w:color w:val="auto"/>
          <w:sz w:val="28"/>
          <w:szCs w:val="28"/>
        </w:rPr>
        <w:t>供</w:t>
      </w:r>
      <w:r>
        <w:rPr>
          <w:rFonts w:hint="eastAsia" w:ascii="仿宋" w:hAnsi="仿宋" w:eastAsia="仿宋"/>
          <w:color w:val="auto"/>
          <w:sz w:val="28"/>
          <w:szCs w:val="28"/>
          <w:lang w:val="en-US" w:eastAsia="zh-CN"/>
        </w:rPr>
        <w:t>货物</w:t>
      </w:r>
      <w:r>
        <w:rPr>
          <w:rFonts w:ascii="仿宋" w:hAnsi="仿宋" w:eastAsia="仿宋"/>
          <w:color w:val="auto"/>
          <w:sz w:val="28"/>
          <w:szCs w:val="28"/>
        </w:rPr>
        <w:t>和服务的资格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olor w:val="auto"/>
          <w:sz w:val="28"/>
          <w:szCs w:val="28"/>
          <w:lang w:val="en-US" w:eastAsia="zh-CN"/>
        </w:rPr>
        <w:t>4</w:t>
      </w:r>
      <w:r>
        <w:rPr>
          <w:rFonts w:hint="eastAsia" w:ascii="仿宋" w:hAnsi="仿宋" w:eastAsia="仿宋"/>
          <w:color w:val="auto"/>
          <w:sz w:val="28"/>
          <w:szCs w:val="28"/>
        </w:rPr>
        <w:t>）参与人须有良好的商业信誉和健全的财务制度。</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）参与人有依法缴纳税金和社会保障资金的良好记录。</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报价响应文件递交方式：密封报价，按规定时间送达。</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w:t>
      </w:r>
      <w:r>
        <w:rPr>
          <w:rFonts w:hint="eastAsia" w:ascii="仿宋" w:hAnsi="仿宋" w:eastAsia="仿宋"/>
          <w:sz w:val="28"/>
          <w:szCs w:val="28"/>
          <w:shd w:val="clear" w:color="auto" w:fill="FFFFFF"/>
          <w:lang w:val="en-US" w:eastAsia="zh-CN"/>
        </w:rPr>
        <w:t>22</w:t>
      </w:r>
      <w:r>
        <w:rPr>
          <w:rFonts w:hint="eastAsia" w:ascii="仿宋" w:hAnsi="仿宋" w:eastAsia="仿宋"/>
          <w:sz w:val="28"/>
          <w:szCs w:val="28"/>
          <w:shd w:val="clear" w:color="auto" w:fill="FFFFFF"/>
        </w:rPr>
        <w:t>年</w:t>
      </w:r>
      <w:r>
        <w:rPr>
          <w:rFonts w:hint="eastAsia" w:ascii="仿宋" w:hAnsi="仿宋" w:eastAsia="仿宋"/>
          <w:sz w:val="28"/>
          <w:szCs w:val="28"/>
          <w:shd w:val="clear" w:color="auto" w:fill="FFFFFF"/>
          <w:lang w:val="en-US" w:eastAsia="zh-CN"/>
        </w:rPr>
        <w:t>3</w:t>
      </w:r>
      <w:r>
        <w:rPr>
          <w:rFonts w:ascii="仿宋" w:hAnsi="仿宋" w:eastAsia="仿宋"/>
          <w:sz w:val="28"/>
          <w:szCs w:val="28"/>
          <w:shd w:val="clear" w:color="auto" w:fill="FFFFFF"/>
        </w:rPr>
        <w:t>月</w:t>
      </w:r>
      <w:r>
        <w:rPr>
          <w:rFonts w:hint="eastAsia" w:ascii="仿宋" w:hAnsi="仿宋" w:eastAsia="仿宋"/>
          <w:color w:val="auto"/>
          <w:sz w:val="28"/>
          <w:szCs w:val="28"/>
          <w:highlight w:val="none"/>
          <w:shd w:val="clear" w:color="auto" w:fill="FFFFFF"/>
          <w:lang w:val="en-US" w:eastAsia="zh-CN"/>
        </w:rPr>
        <w:t>3</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下午</w:t>
      </w:r>
      <w:r>
        <w:rPr>
          <w:rFonts w:ascii="仿宋" w:hAnsi="仿宋" w:eastAsia="仿宋"/>
          <w:sz w:val="28"/>
          <w:szCs w:val="28"/>
          <w:shd w:val="clear" w:color="auto" w:fill="FFFFFF"/>
        </w:rPr>
        <w:t>16</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00</w:t>
      </w:r>
      <w:r>
        <w:rPr>
          <w:rFonts w:hint="eastAsia" w:ascii="仿宋" w:hAnsi="仿宋" w:eastAsia="仿宋"/>
          <w:sz w:val="28"/>
          <w:szCs w:val="28"/>
          <w:shd w:val="clear" w:color="auto" w:fill="FFFFFF"/>
        </w:rPr>
        <w:t>前</w:t>
      </w:r>
      <w:r>
        <w:rPr>
          <w:rFonts w:hint="eastAsia" w:ascii="仿宋" w:hAnsi="仿宋" w:eastAsia="仿宋"/>
          <w:sz w:val="28"/>
          <w:szCs w:val="28"/>
          <w:shd w:val="clear" w:color="auto" w:fill="FFFFFF"/>
          <w:lang w:eastAsia="zh-CN"/>
        </w:rPr>
        <w:t>，</w:t>
      </w:r>
      <w:r>
        <w:rPr>
          <w:rFonts w:ascii="仿宋_GB2312" w:hAnsi="宋体" w:eastAsia="仿宋_GB2312" w:cs="仿宋_GB2312"/>
          <w:i w:val="0"/>
          <w:iCs w:val="0"/>
          <w:caps w:val="0"/>
          <w:color w:val="000000"/>
          <w:spacing w:val="0"/>
          <w:sz w:val="27"/>
          <w:szCs w:val="27"/>
          <w:shd w:val="clear" w:fill="FFFFFF"/>
        </w:rPr>
        <w:t>逾期送达或不符合规定的文件将被拒绝接收</w:t>
      </w:r>
      <w:r>
        <w:rPr>
          <w:rFonts w:hint="eastAsia" w:ascii="仿宋" w:hAnsi="仿宋" w:eastAsia="仿宋"/>
          <w:sz w:val="28"/>
          <w:szCs w:val="28"/>
          <w:shd w:val="clear" w:color="auto" w:fill="FFFFFF"/>
        </w:rPr>
        <w:t>。</w:t>
      </w:r>
    </w:p>
    <w:p>
      <w:pPr>
        <w:spacing w:after="0" w:line="500" w:lineRule="exact"/>
        <w:ind w:firstLine="420" w:firstLineChars="150"/>
        <w:rPr>
          <w:rFonts w:ascii="仿宋" w:hAnsi="仿宋" w:eastAsia="仿宋"/>
          <w:color w:val="auto"/>
          <w:sz w:val="28"/>
          <w:szCs w:val="28"/>
        </w:rPr>
      </w:pPr>
      <w:r>
        <w:rPr>
          <w:rFonts w:ascii="仿宋" w:hAnsi="仿宋" w:eastAsia="仿宋"/>
          <w:sz w:val="28"/>
          <w:szCs w:val="28"/>
        </w:rPr>
        <w:t>7</w:t>
      </w:r>
      <w:r>
        <w:rPr>
          <w:rFonts w:hint="eastAsia" w:ascii="仿宋" w:hAnsi="仿宋" w:eastAsia="仿宋"/>
          <w:sz w:val="28"/>
          <w:szCs w:val="28"/>
        </w:rPr>
        <w:t>. 报价响应文件递交地点：</w:t>
      </w:r>
      <w:r>
        <w:rPr>
          <w:rFonts w:hint="eastAsia" w:ascii="仿宋" w:hAnsi="仿宋" w:eastAsia="仿宋"/>
          <w:color w:val="auto"/>
          <w:sz w:val="28"/>
          <w:szCs w:val="28"/>
          <w:lang w:eastAsia="zh-CN"/>
        </w:rPr>
        <w:t>西安铁道技师学院行政楼</w:t>
      </w:r>
      <w:r>
        <w:rPr>
          <w:rFonts w:hint="eastAsia" w:ascii="仿宋" w:hAnsi="仿宋" w:eastAsia="仿宋"/>
          <w:color w:val="auto"/>
          <w:sz w:val="28"/>
          <w:szCs w:val="28"/>
          <w:lang w:val="en-US" w:eastAsia="zh-CN"/>
        </w:rPr>
        <w:t>北</w:t>
      </w:r>
      <w:r>
        <w:rPr>
          <w:rFonts w:hint="eastAsia" w:ascii="仿宋" w:hAnsi="仿宋" w:eastAsia="仿宋"/>
          <w:color w:val="auto"/>
          <w:sz w:val="28"/>
          <w:szCs w:val="28"/>
          <w:lang w:eastAsia="zh-CN"/>
        </w:rPr>
        <w:t>楼</w:t>
      </w:r>
      <w:r>
        <w:rPr>
          <w:rFonts w:hint="eastAsia" w:ascii="仿宋" w:hAnsi="仿宋" w:eastAsia="仿宋"/>
          <w:color w:val="auto"/>
          <w:sz w:val="28"/>
          <w:szCs w:val="28"/>
          <w:lang w:val="en-US" w:eastAsia="zh-CN"/>
        </w:rPr>
        <w:t>219室</w:t>
      </w:r>
      <w:r>
        <w:rPr>
          <w:rFonts w:hint="eastAsia" w:ascii="仿宋" w:hAnsi="仿宋" w:eastAsia="仿宋"/>
          <w:color w:val="auto"/>
          <w:sz w:val="28"/>
          <w:szCs w:val="28"/>
        </w:rPr>
        <w:t>。</w:t>
      </w:r>
    </w:p>
    <w:p>
      <w:pPr>
        <w:spacing w:after="0" w:line="500" w:lineRule="exact"/>
        <w:ind w:left="839"/>
        <w:rPr>
          <w:rFonts w:hint="default" w:ascii="仿宋" w:hAnsi="仿宋" w:eastAsia="仿宋"/>
          <w:color w:val="auto"/>
          <w:sz w:val="28"/>
          <w:szCs w:val="28"/>
          <w:highlight w:val="yellow"/>
          <w:lang w:val="en-US" w:eastAsia="zh-CN"/>
        </w:rPr>
      </w:pPr>
      <w:r>
        <w:rPr>
          <w:rFonts w:hint="eastAsia" w:ascii="仿宋" w:hAnsi="仿宋" w:eastAsia="仿宋"/>
          <w:sz w:val="28"/>
          <w:szCs w:val="28"/>
        </w:rPr>
        <w:t>递交文件</w:t>
      </w:r>
      <w:r>
        <w:rPr>
          <w:rFonts w:hint="eastAsia" w:ascii="仿宋" w:hAnsi="仿宋" w:eastAsia="仿宋"/>
          <w:color w:val="auto"/>
          <w:sz w:val="28"/>
          <w:szCs w:val="28"/>
        </w:rPr>
        <w:t>联系人：</w:t>
      </w:r>
      <w:r>
        <w:rPr>
          <w:rFonts w:hint="eastAsia" w:ascii="仿宋" w:hAnsi="仿宋" w:eastAsia="仿宋"/>
          <w:color w:val="auto"/>
          <w:sz w:val="28"/>
          <w:szCs w:val="28"/>
          <w:lang w:val="en-US" w:eastAsia="zh-CN"/>
        </w:rPr>
        <w:t>程老师</w:t>
      </w:r>
      <w:r>
        <w:rPr>
          <w:rFonts w:hint="eastAsia" w:ascii="仿宋" w:hAnsi="仿宋" w:eastAsia="仿宋"/>
          <w:sz w:val="28"/>
          <w:szCs w:val="28"/>
          <w:lang w:eastAsia="zh-CN"/>
        </w:rPr>
        <w:t>；</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18091372420</w:t>
      </w:r>
    </w:p>
    <w:p>
      <w:pPr>
        <w:spacing w:after="0" w:line="500" w:lineRule="exact"/>
        <w:ind w:left="839"/>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项目答疑联系人：</w:t>
      </w:r>
      <w:r>
        <w:rPr>
          <w:rFonts w:hint="eastAsia" w:ascii="仿宋" w:hAnsi="仿宋" w:eastAsia="仿宋"/>
          <w:color w:val="auto"/>
          <w:sz w:val="28"/>
          <w:szCs w:val="28"/>
          <w:highlight w:val="none"/>
          <w:lang w:val="en-US" w:eastAsia="zh-CN"/>
        </w:rPr>
        <w:t>李老师</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联系电话：</w:t>
      </w:r>
      <w:r>
        <w:rPr>
          <w:rFonts w:hint="eastAsia" w:ascii="仿宋" w:hAnsi="仿宋" w:eastAsia="仿宋"/>
          <w:color w:val="auto"/>
          <w:sz w:val="28"/>
          <w:szCs w:val="28"/>
          <w:highlight w:val="none"/>
          <w:lang w:val="en-US" w:eastAsia="zh-CN"/>
        </w:rPr>
        <w:t>13184562464</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980" w:leftChars="190" w:hanging="562" w:hangingChars="200"/>
        <w:jc w:val="left"/>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8. 本项目最终成交结果会在中教集团后勤贤知平台“中标信息公示”板     块公示，网址：www.ceghqxz.com</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本项目监督投诉部门：中教集团内控部；投诉电话： 0791-88102608；</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843" w:firstLineChars="300"/>
        <w:textAlignment w:val="auto"/>
        <w:rPr>
          <w:rFonts w:hint="default" w:ascii="仿宋" w:hAnsi="仿宋" w:eastAsia="仿宋"/>
          <w:color w:val="auto"/>
          <w:sz w:val="28"/>
          <w:szCs w:val="28"/>
          <w:lang w:val="en-US" w:eastAsia="zh-CN"/>
        </w:rPr>
      </w:pPr>
      <w:r>
        <w:rPr>
          <w:rFonts w:hint="eastAsia" w:ascii="仿宋" w:hAnsi="仿宋" w:eastAsia="仿宋"/>
          <w:b/>
          <w:bCs/>
          <w:color w:val="auto"/>
          <w:sz w:val="28"/>
          <w:szCs w:val="28"/>
          <w:lang w:val="en-US" w:eastAsia="zh-CN"/>
        </w:rPr>
        <w:t>投诉邮箱：Neikongbu@educationgroup.cn</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w:t>
      </w:r>
      <w:r>
        <w:rPr>
          <w:rFonts w:hint="eastAsia" w:ascii="仿宋" w:hAnsi="仿宋" w:eastAsia="仿宋"/>
          <w:b/>
          <w:bCs/>
          <w:color w:val="FF0000"/>
          <w:sz w:val="28"/>
          <w:szCs w:val="28"/>
        </w:rPr>
        <w:t>（正本</w:t>
      </w:r>
      <w:r>
        <w:rPr>
          <w:rFonts w:hint="eastAsia" w:ascii="仿宋" w:hAnsi="仿宋" w:eastAsia="仿宋"/>
          <w:b/>
          <w:bCs/>
          <w:color w:val="FF0000"/>
          <w:sz w:val="28"/>
          <w:szCs w:val="28"/>
          <w:lang w:val="en-US" w:eastAsia="zh-CN"/>
        </w:rPr>
        <w:t>1</w:t>
      </w:r>
      <w:r>
        <w:rPr>
          <w:rFonts w:hint="eastAsia" w:ascii="仿宋" w:hAnsi="仿宋" w:eastAsia="仿宋"/>
          <w:b/>
          <w:bCs/>
          <w:color w:val="FF0000"/>
          <w:sz w:val="28"/>
          <w:szCs w:val="28"/>
        </w:rPr>
        <w:t>份副本</w:t>
      </w:r>
      <w:r>
        <w:rPr>
          <w:rFonts w:hint="eastAsia" w:ascii="仿宋" w:hAnsi="仿宋" w:eastAsia="仿宋"/>
          <w:b/>
          <w:bCs/>
          <w:color w:val="FF0000"/>
          <w:sz w:val="28"/>
          <w:szCs w:val="28"/>
          <w:lang w:val="en-US" w:eastAsia="zh-CN"/>
        </w:rPr>
        <w:t>1</w:t>
      </w:r>
      <w:r>
        <w:rPr>
          <w:rFonts w:hint="eastAsia" w:ascii="仿宋" w:hAnsi="仿宋" w:eastAsia="仿宋"/>
          <w:b/>
          <w:bCs/>
          <w:color w:val="FF0000"/>
          <w:sz w:val="28"/>
          <w:szCs w:val="28"/>
        </w:rPr>
        <w:t>份）</w:t>
      </w:r>
      <w:r>
        <w:rPr>
          <w:rFonts w:hint="eastAsia" w:ascii="仿宋" w:hAnsi="仿宋" w:eastAsia="仿宋"/>
          <w:sz w:val="28"/>
          <w:szCs w:val="28"/>
        </w:rPr>
        <w:t>；</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lang w:val="en-US" w:eastAsia="zh-CN"/>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w:t>
      </w:r>
      <w:r>
        <w:rPr>
          <w:rFonts w:hint="eastAsia" w:ascii="仿宋" w:hAnsi="仿宋" w:eastAsia="仿宋"/>
          <w:sz w:val="28"/>
          <w:szCs w:val="28"/>
          <w:lang w:val="en-US" w:eastAsia="zh-CN"/>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hint="eastAsia"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FF0000"/>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维修地点、地址、联系电话及联系人员；</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lang w:val="en-US" w:eastAsia="zh-CN"/>
        </w:rPr>
        <w:t>5</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主要零配件及易耗品价格；</w:t>
      </w:r>
    </w:p>
    <w:p>
      <w:pPr>
        <w:spacing w:after="0" w:line="500" w:lineRule="exact"/>
        <w:ind w:firstLine="425" w:firstLineChars="152"/>
        <w:jc w:val="left"/>
        <w:rPr>
          <w:rFonts w:hint="eastAsia" w:ascii="仿宋" w:hAnsi="仿宋" w:eastAsia="仿宋"/>
          <w:color w:val="000000"/>
          <w:sz w:val="28"/>
          <w:szCs w:val="28"/>
          <w:lang w:eastAsia="zh-CN"/>
        </w:rPr>
      </w:pPr>
      <w:r>
        <w:rPr>
          <w:rFonts w:hint="eastAsia" w:ascii="仿宋" w:hAnsi="仿宋" w:eastAsia="仿宋"/>
          <w:color w:val="auto"/>
          <w:sz w:val="28"/>
          <w:szCs w:val="28"/>
          <w:lang w:val="en-US" w:eastAsia="zh-CN"/>
        </w:rPr>
        <w:t>6</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lang w:val="en-US" w:eastAsia="zh-CN"/>
        </w:rPr>
        <w:t>四</w:t>
      </w:r>
      <w:r>
        <w:rPr>
          <w:rFonts w:hint="eastAsia" w:ascii="仿宋" w:hAnsi="仿宋" w:eastAsia="仿宋"/>
          <w:color w:val="000000"/>
          <w:sz w:val="28"/>
          <w:szCs w:val="28"/>
        </w:rPr>
        <w:t>、确定成交参与人标准及原则：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所投设备符合采购需求、质量和服务要求,经过磋商谈判所报价格为合理价格的参与人为成交参与人，最低报价不作为成交的保证。</w:t>
      </w:r>
    </w:p>
    <w:p>
      <w:pPr>
        <w:rPr>
          <w:rFonts w:ascii="仿宋" w:hAnsi="仿宋" w:eastAsia="仿宋"/>
          <w:color w:val="auto"/>
          <w:sz w:val="28"/>
          <w:szCs w:val="28"/>
        </w:rPr>
      </w:pPr>
      <w:r>
        <w:rPr>
          <w:rFonts w:ascii="仿宋" w:hAnsi="仿宋" w:eastAsia="仿宋"/>
          <w:color w:val="auto"/>
          <w:sz w:val="28"/>
          <w:szCs w:val="28"/>
        </w:rPr>
        <w:br w:type="page"/>
      </w:r>
    </w:p>
    <w:bookmarkEnd w:id="49"/>
    <w:p>
      <w:pPr>
        <w:pStyle w:val="51"/>
        <w:numPr>
          <w:ilvl w:val="0"/>
          <w:numId w:val="2"/>
        </w:numPr>
        <w:spacing w:line="360" w:lineRule="auto"/>
        <w:jc w:val="center"/>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p>
    <w:p>
      <w:pPr>
        <w:pStyle w:val="51"/>
        <w:numPr>
          <w:ilvl w:val="0"/>
          <w:numId w:val="0"/>
        </w:numPr>
        <w:spacing w:line="360" w:lineRule="auto"/>
        <w:jc w:val="both"/>
        <w:outlineLvl w:val="0"/>
        <w:rPr>
          <w:rFonts w:hint="eastAsia" w:ascii="仿宋" w:hAnsi="仿宋" w:eastAsia="仿宋"/>
          <w:b/>
          <w:color w:val="auto"/>
          <w:sz w:val="44"/>
          <w:szCs w:val="44"/>
        </w:rPr>
      </w:pPr>
    </w:p>
    <w:tbl>
      <w:tblPr>
        <w:tblStyle w:val="24"/>
        <w:tblW w:w="9848" w:type="dxa"/>
        <w:tblInd w:w="-5" w:type="dxa"/>
        <w:tblLayout w:type="fixed"/>
        <w:tblCellMar>
          <w:top w:w="0" w:type="dxa"/>
          <w:left w:w="108" w:type="dxa"/>
          <w:bottom w:w="0" w:type="dxa"/>
          <w:right w:w="108" w:type="dxa"/>
        </w:tblCellMar>
      </w:tblPr>
      <w:tblGrid>
        <w:gridCol w:w="643"/>
        <w:gridCol w:w="1269"/>
        <w:gridCol w:w="3095"/>
        <w:gridCol w:w="673"/>
        <w:gridCol w:w="657"/>
        <w:gridCol w:w="1179"/>
        <w:gridCol w:w="1350"/>
        <w:gridCol w:w="982"/>
      </w:tblGrid>
      <w:tr>
        <w:tblPrEx>
          <w:tblCellMar>
            <w:top w:w="0" w:type="dxa"/>
            <w:left w:w="108" w:type="dxa"/>
            <w:bottom w:w="0" w:type="dxa"/>
            <w:right w:w="108" w:type="dxa"/>
          </w:tblCellMar>
        </w:tblPrEx>
        <w:trPr>
          <w:trHeight w:val="492" w:hRule="atLeast"/>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126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lang w:val="en-US" w:eastAsia="zh-CN"/>
              </w:rPr>
              <w:t>货物</w:t>
            </w:r>
            <w:r>
              <w:rPr>
                <w:rFonts w:hint="eastAsia" w:ascii="仿宋" w:hAnsi="仿宋" w:eastAsia="仿宋" w:cs="Tahoma"/>
                <w:b/>
                <w:bCs/>
                <w:color w:val="000000"/>
                <w:sz w:val="20"/>
                <w:szCs w:val="20"/>
              </w:rPr>
              <w:t>名称</w:t>
            </w:r>
          </w:p>
        </w:tc>
        <w:tc>
          <w:tcPr>
            <w:tcW w:w="30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6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6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117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13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98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1265"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2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电脑主机</w:t>
            </w:r>
          </w:p>
        </w:tc>
        <w:tc>
          <w:tcPr>
            <w:tcW w:w="309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I5 9500/B360 主板/8G内存/1T机械+128G SSD固态硬盘/集成显卡/集成网卡/预装win10 home/操作系统</w:t>
            </w:r>
          </w:p>
        </w:tc>
        <w:tc>
          <w:tcPr>
            <w:tcW w:w="6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台</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16</w:t>
            </w:r>
          </w:p>
        </w:tc>
        <w:tc>
          <w:tcPr>
            <w:tcW w:w="11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color w:val="000000"/>
                <w:sz w:val="20"/>
                <w:szCs w:val="20"/>
              </w:rPr>
            </w:pPr>
          </w:p>
        </w:tc>
        <w:tc>
          <w:tcPr>
            <w:tcW w:w="13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color w:val="000000"/>
                <w:sz w:val="20"/>
                <w:szCs w:val="20"/>
              </w:rPr>
            </w:pPr>
          </w:p>
        </w:tc>
        <w:tc>
          <w:tcPr>
            <w:tcW w:w="98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color w:val="000000"/>
                <w:sz w:val="20"/>
                <w:szCs w:val="20"/>
              </w:rPr>
            </w:pPr>
          </w:p>
        </w:tc>
      </w:tr>
      <w:tr>
        <w:tblPrEx>
          <w:tblCellMar>
            <w:top w:w="0" w:type="dxa"/>
            <w:left w:w="108" w:type="dxa"/>
            <w:bottom w:w="0" w:type="dxa"/>
            <w:right w:w="108" w:type="dxa"/>
          </w:tblCellMar>
        </w:tblPrEx>
        <w:trPr>
          <w:trHeight w:val="810"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2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电脑显示器</w:t>
            </w:r>
          </w:p>
        </w:tc>
        <w:tc>
          <w:tcPr>
            <w:tcW w:w="309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ThinkVision 21.5 英寸宽屏 LED 液晶</w:t>
            </w:r>
          </w:p>
        </w:tc>
        <w:tc>
          <w:tcPr>
            <w:tcW w:w="6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台</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16</w:t>
            </w:r>
          </w:p>
        </w:tc>
        <w:tc>
          <w:tcPr>
            <w:tcW w:w="11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color w:val="000000"/>
                <w:sz w:val="20"/>
                <w:szCs w:val="20"/>
              </w:rPr>
            </w:pPr>
          </w:p>
        </w:tc>
        <w:tc>
          <w:tcPr>
            <w:tcW w:w="13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color w:val="000000"/>
                <w:sz w:val="20"/>
                <w:szCs w:val="20"/>
              </w:rPr>
            </w:pPr>
          </w:p>
        </w:tc>
        <w:tc>
          <w:tcPr>
            <w:tcW w:w="98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Tahoma"/>
                <w:color w:val="000000"/>
                <w:sz w:val="20"/>
                <w:szCs w:val="20"/>
                <w:lang w:val="en-US" w:eastAsia="zh-CN"/>
              </w:rPr>
            </w:pPr>
          </w:p>
        </w:tc>
      </w:tr>
    </w:tbl>
    <w:p>
      <w:pPr>
        <w:spacing w:line="240" w:lineRule="auto"/>
        <w:ind w:firstLine="562" w:firstLineChars="200"/>
        <w:textAlignment w:val="baseline"/>
        <w:rPr>
          <w:rStyle w:val="60"/>
          <w:rFonts w:ascii="仿宋" w:hAnsi="仿宋" w:eastAsia="仿宋"/>
          <w:kern w:val="2"/>
          <w:sz w:val="28"/>
          <w:szCs w:val="28"/>
        </w:rPr>
      </w:pPr>
      <w:r>
        <w:rPr>
          <w:rFonts w:hint="eastAsia" w:ascii="仿宋" w:hAnsi="仿宋" w:eastAsia="仿宋"/>
          <w:b/>
          <w:color w:val="auto"/>
          <w:sz w:val="28"/>
          <w:szCs w:val="28"/>
          <w:lang w:val="en-US" w:eastAsia="zh-CN"/>
        </w:rPr>
        <w:t>注：</w:t>
      </w:r>
      <w:r>
        <w:rPr>
          <w:rStyle w:val="60"/>
          <w:rFonts w:hint="eastAsia" w:ascii="仿宋" w:hAnsi="仿宋" w:eastAsia="仿宋"/>
          <w:kern w:val="2"/>
          <w:sz w:val="28"/>
          <w:szCs w:val="28"/>
          <w:lang w:val="en-US"/>
        </w:rPr>
        <w:t>以上货物单价及总价均为</w:t>
      </w:r>
      <w:r>
        <w:rPr>
          <w:rStyle w:val="60"/>
          <w:rFonts w:ascii="仿宋" w:hAnsi="仿宋" w:eastAsia="仿宋"/>
          <w:kern w:val="2"/>
          <w:sz w:val="28"/>
          <w:szCs w:val="28"/>
        </w:rPr>
        <w:t>包括但不限于成本及利润、税金、包装费、运输费、保险费、仓储费、损耗费装卸搬运费、辅材费</w:t>
      </w:r>
      <w:r>
        <w:rPr>
          <w:rStyle w:val="60"/>
          <w:rFonts w:hint="eastAsia" w:ascii="仿宋" w:hAnsi="仿宋" w:eastAsia="仿宋"/>
          <w:kern w:val="2"/>
          <w:sz w:val="28"/>
          <w:szCs w:val="28"/>
          <w:lang w:val="en-US"/>
        </w:rPr>
        <w:t>等。</w:t>
      </w:r>
    </w:p>
    <w:p>
      <w:pPr>
        <w:jc w:val="center"/>
        <w:rPr>
          <w:rFonts w:hint="eastAsia" w:ascii="仿宋" w:hAnsi="仿宋" w:eastAsia="仿宋"/>
          <w:b/>
          <w:color w:val="auto"/>
          <w:sz w:val="72"/>
          <w:szCs w:val="72"/>
          <w:lang w:val="en-US" w:eastAsia="zh-CN"/>
        </w:rPr>
      </w:pPr>
    </w:p>
    <w:p>
      <w:pPr>
        <w:jc w:val="center"/>
        <w:rPr>
          <w:rFonts w:hint="eastAsia" w:ascii="仿宋" w:hAnsi="仿宋" w:eastAsia="仿宋"/>
          <w:b/>
          <w:color w:val="auto"/>
          <w:sz w:val="72"/>
          <w:szCs w:val="72"/>
          <w:lang w:val="en-US" w:eastAsia="zh-CN"/>
        </w:rPr>
      </w:pPr>
    </w:p>
    <w:p>
      <w:pPr>
        <w:jc w:val="center"/>
        <w:rPr>
          <w:rFonts w:hint="eastAsia" w:ascii="仿宋" w:hAnsi="仿宋" w:eastAsia="仿宋"/>
          <w:b/>
          <w:color w:val="auto"/>
          <w:sz w:val="72"/>
          <w:szCs w:val="72"/>
          <w:lang w:val="en-US" w:eastAsia="zh-CN"/>
        </w:rPr>
      </w:pPr>
    </w:p>
    <w:p>
      <w:pPr>
        <w:jc w:val="center"/>
        <w:rPr>
          <w:rFonts w:hint="eastAsia" w:ascii="仿宋" w:hAnsi="仿宋" w:eastAsia="仿宋"/>
          <w:b/>
          <w:color w:val="auto"/>
          <w:sz w:val="72"/>
          <w:szCs w:val="72"/>
          <w:lang w:val="en-US" w:eastAsia="zh-CN"/>
        </w:rPr>
      </w:pPr>
    </w:p>
    <w:p>
      <w:pPr>
        <w:jc w:val="center"/>
        <w:rPr>
          <w:rFonts w:hint="eastAsia" w:ascii="仿宋" w:hAnsi="仿宋" w:eastAsia="仿宋"/>
          <w:b/>
          <w:color w:val="auto"/>
          <w:sz w:val="72"/>
          <w:szCs w:val="72"/>
          <w:lang w:val="en-US" w:eastAsia="zh-CN"/>
        </w:rPr>
      </w:pPr>
    </w:p>
    <w:p>
      <w:pPr>
        <w:jc w:val="center"/>
        <w:rPr>
          <w:rFonts w:hint="eastAsia" w:ascii="仿宋" w:hAnsi="仿宋" w:eastAsia="仿宋"/>
          <w:b/>
          <w:color w:val="auto"/>
          <w:sz w:val="72"/>
          <w:szCs w:val="72"/>
          <w:lang w:val="en-US" w:eastAsia="zh-CN"/>
        </w:rPr>
      </w:pPr>
    </w:p>
    <w:p>
      <w:pPr>
        <w:jc w:val="center"/>
        <w:rPr>
          <w:rFonts w:hint="eastAsia" w:ascii="仿宋" w:hAnsi="仿宋" w:eastAsia="仿宋"/>
          <w:b/>
          <w:color w:val="auto"/>
          <w:sz w:val="72"/>
          <w:szCs w:val="72"/>
          <w:lang w:val="en-US" w:eastAsia="zh-CN"/>
        </w:rPr>
      </w:pPr>
    </w:p>
    <w:p>
      <w:pPr>
        <w:jc w:val="both"/>
        <w:rPr>
          <w:rFonts w:hint="default" w:ascii="仿宋" w:hAnsi="仿宋" w:eastAsia="仿宋"/>
          <w:b/>
          <w:color w:val="auto"/>
          <w:sz w:val="72"/>
          <w:szCs w:val="72"/>
          <w:lang w:val="en-US" w:eastAsia="zh-CN"/>
        </w:rPr>
      </w:pPr>
      <w:r>
        <w:rPr>
          <w:rFonts w:hint="eastAsia" w:ascii="仿宋" w:hAnsi="仿宋" w:eastAsia="仿宋"/>
          <w:b/>
          <w:color w:val="auto"/>
          <w:sz w:val="72"/>
          <w:szCs w:val="72"/>
          <w:lang w:val="en-US" w:eastAsia="zh-CN"/>
        </w:rPr>
        <w:t xml:space="preserve">   </w:t>
      </w:r>
    </w:p>
    <w:p>
      <w:pPr>
        <w:jc w:val="center"/>
        <w:rPr>
          <w:color w:val="auto"/>
        </w:rPr>
      </w:pPr>
      <w:r>
        <w:rPr>
          <w:rFonts w:hint="eastAsia" w:ascii="仿宋" w:hAnsi="仿宋" w:eastAsia="仿宋"/>
          <w:b/>
          <w:color w:val="auto"/>
          <w:sz w:val="72"/>
          <w:szCs w:val="72"/>
          <w:lang w:val="en-US" w:eastAsia="zh-CN"/>
        </w:rPr>
        <w:drawing>
          <wp:inline distT="0" distB="0" distL="114300" distR="114300">
            <wp:extent cx="5909945" cy="941705"/>
            <wp:effectExtent l="0" t="0" r="14605" b="10795"/>
            <wp:docPr id="3" name="图片 3"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e17fb75101ff16f5eb68e7a59cb101"/>
                    <pic:cNvPicPr>
                      <a:picLocks noChangeAspect="1"/>
                    </pic:cNvPicPr>
                  </pic:nvPicPr>
                  <pic:blipFill>
                    <a:blip r:embed="rId12"/>
                    <a:stretch>
                      <a:fillRect/>
                    </a:stretch>
                  </pic:blipFill>
                  <pic:spPr>
                    <a:xfrm>
                      <a:off x="0" y="0"/>
                      <a:ext cx="5909945" cy="941705"/>
                    </a:xfrm>
                    <a:prstGeom prst="rect">
                      <a:avLst/>
                    </a:prstGeom>
                  </pic:spPr>
                </pic:pic>
              </a:graphicData>
            </a:graphic>
          </wp:inline>
        </w:drawing>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val="en-US" w:eastAsia="zh-CN"/>
        </w:rPr>
        <w:t>办公电脑采购</w:t>
      </w:r>
      <w:r>
        <w:rPr>
          <w:rFonts w:hint="eastAsia" w:ascii="仿宋" w:hAnsi="仿宋" w:eastAsia="仿宋"/>
          <w:b/>
          <w:sz w:val="44"/>
          <w:szCs w:val="44"/>
        </w:rPr>
        <w:t>项目</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ascii="仿宋" w:hAnsi="仿宋" w:eastAsia="仿宋"/>
          <w:b/>
          <w:color w:val="auto"/>
          <w:sz w:val="36"/>
          <w:szCs w:val="36"/>
        </w:rPr>
      </w:pPr>
      <w:r>
        <w:rPr>
          <w:rFonts w:hint="eastAsia" w:ascii="仿宋" w:hAnsi="仿宋" w:eastAsia="仿宋"/>
          <w:b/>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sz w:val="36"/>
          <w:szCs w:val="36"/>
        </w:rPr>
      </w:pPr>
    </w:p>
    <w:p>
      <w:pPr>
        <w:jc w:val="center"/>
        <w:rPr>
          <w:rFonts w:ascii="仿宋" w:hAnsi="仿宋" w:eastAsia="仿宋"/>
          <w:b/>
          <w:sz w:val="72"/>
          <w:szCs w:val="72"/>
        </w:rPr>
      </w:pPr>
      <w:r>
        <w:rPr>
          <w:rFonts w:hint="eastAsia" w:ascii="仿宋" w:hAnsi="仿宋" w:eastAsia="仿宋"/>
          <w:b/>
          <w:bCs/>
          <w:color w:val="FF0000"/>
          <w:sz w:val="30"/>
          <w:szCs w:val="30"/>
        </w:rPr>
        <w:t>此封面应作为报价响应文件封面</w:t>
      </w:r>
    </w:p>
    <w:p>
      <w:pPr>
        <w:rPr>
          <w:rFonts w:ascii="仿宋" w:hAnsi="仿宋" w:eastAsia="仿宋"/>
          <w:b/>
          <w:bCs/>
          <w:sz w:val="30"/>
          <w:szCs w:val="30"/>
        </w:rPr>
        <w:sectPr>
          <w:headerReference r:id="rId6" w:type="first"/>
          <w:headerReference r:id="rId5" w:type="default"/>
          <w:foot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auto"/>
          <w:sz w:val="28"/>
          <w:szCs w:val="28"/>
        </w:rPr>
      </w:pPr>
      <w:bookmarkStart w:id="50" w:name="_Toc259692647"/>
      <w:bookmarkStart w:id="51" w:name="_Toc181436461"/>
      <w:bookmarkStart w:id="52" w:name="_Toc267059539"/>
      <w:bookmarkStart w:id="53" w:name="_Toc191783222"/>
      <w:bookmarkStart w:id="54" w:name="_Toc181436565"/>
      <w:bookmarkStart w:id="55" w:name="_Toc213755858"/>
      <w:bookmarkStart w:id="56" w:name="_Toc232302115"/>
      <w:bookmarkStart w:id="57" w:name="_Toc267060208"/>
      <w:bookmarkStart w:id="58" w:name="_Toc203355733"/>
      <w:bookmarkStart w:id="59" w:name="_Toc192996338"/>
      <w:bookmarkStart w:id="60" w:name="_Toc266870432"/>
      <w:bookmarkStart w:id="61" w:name="_Toc227058530"/>
      <w:bookmarkStart w:id="62" w:name="_Toc182805217"/>
      <w:bookmarkStart w:id="63" w:name="_Toc255975007"/>
      <w:bookmarkStart w:id="64" w:name="_Toc266870833"/>
      <w:bookmarkStart w:id="65" w:name="_Toc182372782"/>
      <w:bookmarkStart w:id="66" w:name="_Toc192664153"/>
      <w:bookmarkStart w:id="67" w:name="_Toc177985469"/>
      <w:bookmarkStart w:id="68" w:name="_Toc211917116"/>
      <w:bookmarkStart w:id="69" w:name="_Toc267059030"/>
      <w:bookmarkStart w:id="70" w:name="_Toc258401256"/>
      <w:bookmarkStart w:id="71" w:name="_Toc213755995"/>
      <w:bookmarkStart w:id="72" w:name="_Toc191802690"/>
      <w:bookmarkStart w:id="73" w:name="_Toc267059181"/>
      <w:bookmarkStart w:id="74" w:name="_Toc213755939"/>
      <w:bookmarkStart w:id="75" w:name="_Toc259520865"/>
      <w:bookmarkStart w:id="76" w:name="_Toc266870907"/>
      <w:bookmarkStart w:id="77" w:name="_Toc267059653"/>
      <w:bookmarkStart w:id="78" w:name="_Toc170798793"/>
      <w:bookmarkStart w:id="79" w:name="_Toc169332949"/>
      <w:bookmarkStart w:id="80" w:name="_Toc254790899"/>
      <w:bookmarkStart w:id="81" w:name="_Toc236021449"/>
      <w:bookmarkStart w:id="82" w:name="_Toc273178698"/>
      <w:bookmarkStart w:id="83" w:name="_Toc160880529"/>
      <w:bookmarkStart w:id="84" w:name="_Toc160880160"/>
      <w:bookmarkStart w:id="85" w:name="_Toc267060321"/>
      <w:bookmarkStart w:id="86" w:name="_Toc253066614"/>
      <w:bookmarkStart w:id="87" w:name="_Toc266868670"/>
      <w:bookmarkStart w:id="88" w:name="_Toc217891402"/>
      <w:bookmarkStart w:id="89" w:name="_Toc267059919"/>
      <w:bookmarkStart w:id="90" w:name="_Toc259692740"/>
      <w:bookmarkStart w:id="91" w:name="_Toc267059806"/>
      <w:bookmarkStart w:id="92" w:name="_Toc191789329"/>
      <w:bookmarkStart w:id="93" w:name="_Toc266868937"/>
      <w:bookmarkStart w:id="94" w:name="_Toc230071147"/>
      <w:bookmarkStart w:id="95" w:name="_Toc191803626"/>
      <w:bookmarkStart w:id="96" w:name="_Toc235438344"/>
      <w:bookmarkStart w:id="97" w:name="_Toc219800243"/>
      <w:bookmarkStart w:id="98" w:name="_Toc249325711"/>
      <w:bookmarkStart w:id="99" w:name="_Toc251613829"/>
      <w:bookmarkStart w:id="100" w:name="_Toc192663835"/>
      <w:bookmarkStart w:id="101" w:name="_Toc193165734"/>
      <w:bookmarkStart w:id="102" w:name="_Toc267060068"/>
      <w:bookmarkStart w:id="103" w:name="_Toc251586231"/>
      <w:bookmarkStart w:id="104" w:name="_Toc193160448"/>
      <w:bookmarkStart w:id="105" w:name="_Toc223146608"/>
      <w:bookmarkStart w:id="106" w:name="_Toc169332838"/>
      <w:bookmarkStart w:id="107" w:name="_Toc267060453"/>
      <w:bookmarkStart w:id="108" w:name="_Toc213208766"/>
      <w:bookmarkStart w:id="109" w:name="_Toc192996446"/>
      <w:bookmarkStart w:id="110" w:name="_Toc180302913"/>
      <w:bookmarkStart w:id="111" w:name="_Toc192663686"/>
      <w:bookmarkStart w:id="112" w:name="_Toc225669322"/>
      <w:bookmarkStart w:id="113" w:name="_Toc235437991"/>
      <w:bookmarkStart w:id="114" w:name="_Toc235438274"/>
      <w:bookmarkStart w:id="115" w:name="_Toc213756051"/>
      <w:r>
        <w:rPr>
          <w:rFonts w:hint="eastAsia" w:ascii="仿宋" w:hAnsi="仿宋" w:eastAsia="仿宋"/>
          <w:b/>
          <w:bCs/>
          <w:color w:val="auto"/>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color w:val="auto"/>
          <w:sz w:val="28"/>
          <w:szCs w:val="28"/>
        </w:rPr>
        <w:t>询价响应函</w:t>
      </w:r>
    </w:p>
    <w:p>
      <w:pPr>
        <w:spacing w:after="0" w:line="480" w:lineRule="exact"/>
        <w:rPr>
          <w:rFonts w:hint="default" w:ascii="仿宋" w:hAnsi="仿宋" w:eastAsia="仿宋"/>
          <w:color w:val="auto"/>
          <w:sz w:val="28"/>
          <w:szCs w:val="28"/>
          <w:lang w:val="en-US" w:eastAsia="zh-CN"/>
        </w:rPr>
      </w:pPr>
      <w:r>
        <w:rPr>
          <w:rFonts w:hint="eastAsia" w:ascii="仿宋" w:hAnsi="仿宋" w:eastAsia="仿宋"/>
          <w:color w:val="auto"/>
          <w:sz w:val="28"/>
          <w:szCs w:val="28"/>
        </w:rPr>
        <w:t>致：</w:t>
      </w:r>
      <w:r>
        <w:rPr>
          <w:rFonts w:hint="eastAsia" w:ascii="仿宋" w:hAnsi="仿宋" w:eastAsia="仿宋"/>
          <w:color w:val="auto"/>
          <w:sz w:val="28"/>
          <w:szCs w:val="28"/>
          <w:lang w:val="en-US" w:eastAsia="zh-CN"/>
        </w:rPr>
        <w:t>西安铁道技师学院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sz w:val="28"/>
          <w:szCs w:val="28"/>
        </w:rPr>
        <w:t xml:space="preserve">根据贵学校为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（全名、职务）正式授权并代表我方</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（参与人公司名称）提交下述文件</w:t>
      </w:r>
      <w:r>
        <w:rPr>
          <w:rFonts w:hint="eastAsia" w:ascii="仿宋" w:hAnsi="仿宋" w:eastAsia="仿宋"/>
          <w:sz w:val="28"/>
          <w:szCs w:val="28"/>
          <w:lang w:eastAsia="zh-CN"/>
        </w:rPr>
        <w:t>（</w:t>
      </w:r>
      <w:r>
        <w:rPr>
          <w:rFonts w:hint="eastAsia" w:ascii="仿宋" w:hAnsi="仿宋" w:eastAsia="仿宋"/>
          <w:color w:val="FF0000"/>
          <w:sz w:val="28"/>
          <w:szCs w:val="28"/>
        </w:rPr>
        <w:t>正本X份和副本X份</w:t>
      </w:r>
      <w:r>
        <w:rPr>
          <w:rFonts w:hint="eastAsia" w:ascii="仿宋" w:hAnsi="仿宋" w:eastAsia="仿宋"/>
          <w:color w:val="FF0000"/>
          <w:sz w:val="28"/>
          <w:szCs w:val="28"/>
          <w:lang w:eastAsia="zh-CN"/>
        </w:rPr>
        <w:t>）</w:t>
      </w:r>
      <w:r>
        <w:rPr>
          <w:rFonts w:hint="eastAsia" w:ascii="仿宋" w:hAnsi="仿宋" w:eastAsia="仿宋"/>
          <w:color w:val="auto"/>
          <w:sz w:val="28"/>
          <w:szCs w:val="28"/>
        </w:rPr>
        <w:t>。</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xml:space="preserve">) </w:t>
      </w:r>
      <w:r>
        <w:rPr>
          <w:rFonts w:hint="eastAsia" w:ascii="仿宋" w:hAnsi="仿宋" w:eastAsia="仿宋"/>
          <w:sz w:val="28"/>
          <w:szCs w:val="28"/>
        </w:rPr>
        <w:t>报价一览表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6"/>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pStyle w:val="56"/>
        <w:spacing w:line="480" w:lineRule="exact"/>
        <w:jc w:val="left"/>
        <w:outlineLvl w:val="9"/>
        <w:rPr>
          <w:rFonts w:ascii="仿宋" w:hAnsi="仿宋" w:eastAsia="仿宋"/>
          <w:color w:val="auto"/>
          <w:szCs w:val="28"/>
        </w:rPr>
      </w:pPr>
    </w:p>
    <w:p>
      <w:pPr>
        <w:rPr>
          <w:rFonts w:hint="eastAsia" w:ascii="仿宋" w:hAnsi="仿宋" w:eastAsia="仿宋" w:cs="Times New Roman"/>
          <w:color w:val="auto"/>
          <w:kern w:val="2"/>
          <w:sz w:val="28"/>
          <w:szCs w:val="28"/>
        </w:rPr>
      </w:pPr>
      <w:r>
        <w:rPr>
          <w:rFonts w:ascii="仿宋" w:hAnsi="仿宋" w:eastAsia="仿宋"/>
          <w:color w:val="auto"/>
          <w:szCs w:val="28"/>
        </w:rPr>
        <w:br w:type="page"/>
      </w:r>
    </w:p>
    <w:p>
      <w:pPr>
        <w:numPr>
          <w:ilvl w:val="0"/>
          <w:numId w:val="3"/>
        </w:numPr>
        <w:jc w:val="center"/>
        <w:outlineLvl w:val="1"/>
        <w:rPr>
          <w:rFonts w:hint="eastAsia" w:ascii="仿宋" w:hAnsi="仿宋" w:eastAsia="仿宋"/>
          <w:b/>
          <w:bCs/>
          <w:sz w:val="28"/>
          <w:szCs w:val="28"/>
        </w:rPr>
      </w:pP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hint="eastAsia" w:ascii="仿宋" w:hAnsi="仿宋" w:eastAsia="仿宋"/>
          <w:b/>
          <w:bCs/>
          <w:sz w:val="28"/>
          <w:szCs w:val="28"/>
        </w:rPr>
      </w:pPr>
      <w:r>
        <w:rPr>
          <w:rFonts w:hint="eastAsia" w:ascii="仿宋" w:hAnsi="仿宋" w:eastAsia="仿宋"/>
          <w:sz w:val="28"/>
          <w:szCs w:val="28"/>
        </w:rPr>
        <w:t>货币单位：</w:t>
      </w:r>
    </w:p>
    <w:tbl>
      <w:tblPr>
        <w:tblStyle w:val="24"/>
        <w:tblW w:w="9848" w:type="dxa"/>
        <w:tblInd w:w="-5" w:type="dxa"/>
        <w:tblLayout w:type="fixed"/>
        <w:tblCellMar>
          <w:top w:w="0" w:type="dxa"/>
          <w:left w:w="108" w:type="dxa"/>
          <w:bottom w:w="0" w:type="dxa"/>
          <w:right w:w="108" w:type="dxa"/>
        </w:tblCellMar>
      </w:tblPr>
      <w:tblGrid>
        <w:gridCol w:w="643"/>
        <w:gridCol w:w="1269"/>
        <w:gridCol w:w="3095"/>
        <w:gridCol w:w="673"/>
        <w:gridCol w:w="657"/>
        <w:gridCol w:w="1179"/>
        <w:gridCol w:w="1350"/>
        <w:gridCol w:w="982"/>
      </w:tblGrid>
      <w:tr>
        <w:tblPrEx>
          <w:tblCellMar>
            <w:top w:w="0" w:type="dxa"/>
            <w:left w:w="108" w:type="dxa"/>
            <w:bottom w:w="0" w:type="dxa"/>
            <w:right w:w="108" w:type="dxa"/>
          </w:tblCellMar>
        </w:tblPrEx>
        <w:trPr>
          <w:trHeight w:val="492" w:hRule="atLeast"/>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126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lang w:val="en-US" w:eastAsia="zh-CN"/>
              </w:rPr>
              <w:t>货物</w:t>
            </w:r>
            <w:r>
              <w:rPr>
                <w:rFonts w:hint="eastAsia" w:ascii="仿宋" w:hAnsi="仿宋" w:eastAsia="仿宋" w:cs="Tahoma"/>
                <w:b/>
                <w:bCs/>
                <w:color w:val="000000"/>
                <w:sz w:val="20"/>
                <w:szCs w:val="20"/>
              </w:rPr>
              <w:t>名称</w:t>
            </w:r>
          </w:p>
        </w:tc>
        <w:tc>
          <w:tcPr>
            <w:tcW w:w="30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6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65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117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13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98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1265"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2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电脑主机</w:t>
            </w:r>
          </w:p>
        </w:tc>
        <w:tc>
          <w:tcPr>
            <w:tcW w:w="309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I5 9500/B360 主板/8G内存/1T机械+128G SSD固态硬盘/集成显卡/集成网卡/预装win10 home/操作系统</w:t>
            </w:r>
          </w:p>
        </w:tc>
        <w:tc>
          <w:tcPr>
            <w:tcW w:w="6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台</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16</w:t>
            </w:r>
          </w:p>
        </w:tc>
        <w:tc>
          <w:tcPr>
            <w:tcW w:w="11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color w:val="000000"/>
                <w:sz w:val="20"/>
                <w:szCs w:val="20"/>
              </w:rPr>
            </w:pPr>
          </w:p>
        </w:tc>
        <w:tc>
          <w:tcPr>
            <w:tcW w:w="13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color w:val="000000"/>
                <w:sz w:val="20"/>
                <w:szCs w:val="20"/>
              </w:rPr>
            </w:pPr>
          </w:p>
        </w:tc>
        <w:tc>
          <w:tcPr>
            <w:tcW w:w="98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color w:val="000000"/>
                <w:sz w:val="20"/>
                <w:szCs w:val="20"/>
              </w:rPr>
            </w:pPr>
          </w:p>
        </w:tc>
      </w:tr>
      <w:tr>
        <w:tblPrEx>
          <w:tblCellMar>
            <w:top w:w="0" w:type="dxa"/>
            <w:left w:w="108" w:type="dxa"/>
            <w:bottom w:w="0" w:type="dxa"/>
            <w:right w:w="108" w:type="dxa"/>
          </w:tblCellMar>
        </w:tblPrEx>
        <w:trPr>
          <w:trHeight w:val="810"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2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电脑显示器</w:t>
            </w:r>
          </w:p>
        </w:tc>
        <w:tc>
          <w:tcPr>
            <w:tcW w:w="309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ThinkVision 21.5 英寸宽屏 LED 液晶</w:t>
            </w:r>
          </w:p>
        </w:tc>
        <w:tc>
          <w:tcPr>
            <w:tcW w:w="67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台</w:t>
            </w:r>
          </w:p>
        </w:tc>
        <w:tc>
          <w:tcPr>
            <w:tcW w:w="65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16</w:t>
            </w:r>
          </w:p>
        </w:tc>
        <w:tc>
          <w:tcPr>
            <w:tcW w:w="11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color w:val="000000"/>
                <w:sz w:val="20"/>
                <w:szCs w:val="20"/>
              </w:rPr>
            </w:pPr>
          </w:p>
        </w:tc>
        <w:tc>
          <w:tcPr>
            <w:tcW w:w="13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color w:val="000000"/>
                <w:sz w:val="20"/>
                <w:szCs w:val="20"/>
              </w:rPr>
            </w:pPr>
          </w:p>
        </w:tc>
        <w:tc>
          <w:tcPr>
            <w:tcW w:w="98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仿宋" w:hAnsi="仿宋" w:eastAsia="仿宋" w:cs="Tahoma"/>
                <w:color w:val="000000"/>
                <w:sz w:val="20"/>
                <w:szCs w:val="20"/>
                <w:lang w:val="en-US" w:eastAsia="zh-CN"/>
              </w:rPr>
            </w:pPr>
          </w:p>
        </w:tc>
      </w:tr>
    </w:tbl>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both"/>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、参与人资质材料</w:t>
      </w:r>
    </w:p>
    <w:p>
      <w:pPr>
        <w:pStyle w:val="39"/>
      </w:pPr>
    </w:p>
    <w:p>
      <w:pPr>
        <w:spacing w:after="0" w:line="500" w:lineRule="exact"/>
        <w:rPr>
          <w:rFonts w:hint="eastAsia" w:ascii="仿宋" w:hAnsi="仿宋" w:eastAsia="仿宋"/>
          <w:sz w:val="28"/>
          <w:szCs w:val="28"/>
        </w:rPr>
      </w:pPr>
      <w:r>
        <w:rPr>
          <w:rFonts w:hint="eastAsia" w:ascii="仿宋" w:hAnsi="仿宋" w:eastAsia="仿宋"/>
          <w:sz w:val="28"/>
          <w:szCs w:val="28"/>
        </w:rPr>
        <w:t>参与人需要提供以下材料：</w:t>
      </w:r>
    </w:p>
    <w:p>
      <w:pPr>
        <w:pStyle w:val="54"/>
        <w:numPr>
          <w:ilvl w:val="0"/>
          <w:numId w:val="4"/>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4"/>
        <w:numPr>
          <w:ilvl w:val="0"/>
          <w:numId w:val="4"/>
        </w:numPr>
        <w:spacing w:after="0" w:line="500" w:lineRule="exact"/>
        <w:ind w:firstLineChars="0"/>
        <w:rPr>
          <w:rFonts w:ascii="仿宋" w:hAnsi="仿宋" w:eastAsia="仿宋"/>
          <w:sz w:val="28"/>
          <w:szCs w:val="28"/>
        </w:rPr>
      </w:pPr>
      <w:r>
        <w:rPr>
          <w:rFonts w:hint="eastAsia" w:ascii="仿宋" w:hAnsi="仿宋" w:eastAsia="仿宋"/>
          <w:sz w:val="28"/>
          <w:szCs w:val="28"/>
        </w:rPr>
        <w:t>授权经销商或代理商证明材料复印件</w:t>
      </w:r>
    </w:p>
    <w:p>
      <w:pPr>
        <w:pStyle w:val="54"/>
        <w:numPr>
          <w:ilvl w:val="0"/>
          <w:numId w:val="4"/>
        </w:numPr>
        <w:spacing w:after="0" w:line="500" w:lineRule="exact"/>
        <w:ind w:firstLineChars="0"/>
        <w:rPr>
          <w:rFonts w:hint="eastAsia" w:ascii="仿宋" w:hAnsi="仿宋" w:eastAsia="仿宋"/>
          <w:sz w:val="28"/>
          <w:szCs w:val="28"/>
        </w:rPr>
      </w:pPr>
      <w:r>
        <w:rPr>
          <w:rFonts w:hint="eastAsia" w:ascii="仿宋" w:hAnsi="仿宋" w:eastAsia="仿宋"/>
          <w:sz w:val="28"/>
          <w:szCs w:val="28"/>
        </w:rPr>
        <w:t>质保期和售后服务承诺书（参与人自行起草）</w:t>
      </w:r>
    </w:p>
    <w:p>
      <w:pPr>
        <w:spacing w:line="380" w:lineRule="exact"/>
        <w:rPr>
          <w:rFonts w:ascii="仿宋" w:hAnsi="仿宋" w:eastAsia="仿宋"/>
          <w:sz w:val="28"/>
          <w:szCs w:val="28"/>
        </w:rPr>
      </w:pPr>
    </w:p>
    <w:p>
      <w:pPr>
        <w:spacing w:line="380" w:lineRule="exact"/>
        <w:rPr>
          <w:rFonts w:ascii="仿宋" w:hAnsi="仿宋" w:eastAsia="仿宋"/>
          <w:color w:val="auto"/>
          <w:sz w:val="28"/>
          <w:szCs w:val="28"/>
        </w:rPr>
      </w:pPr>
      <w:r>
        <w:rPr>
          <w:rFonts w:hint="eastAsia" w:ascii="仿宋" w:hAnsi="仿宋" w:eastAsia="仿宋"/>
          <w:b/>
          <w:bCs/>
          <w:sz w:val="28"/>
          <w:szCs w:val="28"/>
        </w:rPr>
        <w:t>以上材料复印件须加盖参与人公司公章，并与报价一览表一同密封</w:t>
      </w:r>
    </w:p>
    <w:p>
      <w:pPr>
        <w:spacing w:line="380" w:lineRule="exact"/>
        <w:jc w:val="both"/>
        <w:outlineLvl w:val="2"/>
        <w:rPr>
          <w:rFonts w:ascii="仿宋" w:hAnsi="仿宋" w:eastAsia="仿宋"/>
          <w:sz w:val="28"/>
          <w:szCs w:val="28"/>
        </w:rPr>
      </w:pPr>
    </w:p>
    <w:sectPr>
      <w:headerReference r:id="rId9" w:type="first"/>
      <w:headerReference r:id="rId8" w:type="default"/>
      <w:footerReference r:id="rId10"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351265"/>
    <w:multiLevelType w:val="singleLevel"/>
    <w:tmpl w:val="DD351265"/>
    <w:lvl w:ilvl="0" w:tentative="0">
      <w:start w:val="2"/>
      <w:numFmt w:val="chineseCounting"/>
      <w:suff w:val="nothing"/>
      <w:lvlText w:val="%1、"/>
      <w:lvlJc w:val="left"/>
      <w:rPr>
        <w:rFonts w:hint="eastAsia"/>
      </w:r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0D07D1B"/>
    <w:multiLevelType w:val="singleLevel"/>
    <w:tmpl w:val="60D07D1B"/>
    <w:lvl w:ilvl="0" w:tentative="0">
      <w:start w:val="2"/>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2EF1E8A"/>
    <w:rsid w:val="03096D5F"/>
    <w:rsid w:val="030C2CB6"/>
    <w:rsid w:val="04354CBF"/>
    <w:rsid w:val="04666C9E"/>
    <w:rsid w:val="04844854"/>
    <w:rsid w:val="054A15F9"/>
    <w:rsid w:val="06FD269A"/>
    <w:rsid w:val="07603356"/>
    <w:rsid w:val="08343898"/>
    <w:rsid w:val="088D6805"/>
    <w:rsid w:val="097E7635"/>
    <w:rsid w:val="09A72F70"/>
    <w:rsid w:val="0A3716B9"/>
    <w:rsid w:val="0A6E7410"/>
    <w:rsid w:val="0AD51E70"/>
    <w:rsid w:val="0B1F242D"/>
    <w:rsid w:val="0BDE2A9B"/>
    <w:rsid w:val="0C2F1549"/>
    <w:rsid w:val="0C527DEF"/>
    <w:rsid w:val="0ED9607E"/>
    <w:rsid w:val="0F383E2B"/>
    <w:rsid w:val="0FED387A"/>
    <w:rsid w:val="10001529"/>
    <w:rsid w:val="100A4947"/>
    <w:rsid w:val="101D4561"/>
    <w:rsid w:val="101F3682"/>
    <w:rsid w:val="10987E8D"/>
    <w:rsid w:val="10D67172"/>
    <w:rsid w:val="11404E12"/>
    <w:rsid w:val="1411269D"/>
    <w:rsid w:val="150679A5"/>
    <w:rsid w:val="150D047B"/>
    <w:rsid w:val="152359C3"/>
    <w:rsid w:val="15721458"/>
    <w:rsid w:val="16CD0305"/>
    <w:rsid w:val="16F140DB"/>
    <w:rsid w:val="1734667A"/>
    <w:rsid w:val="176F441B"/>
    <w:rsid w:val="17982698"/>
    <w:rsid w:val="17A96FA4"/>
    <w:rsid w:val="17E92EF4"/>
    <w:rsid w:val="18147845"/>
    <w:rsid w:val="183E4929"/>
    <w:rsid w:val="1876491E"/>
    <w:rsid w:val="19A21814"/>
    <w:rsid w:val="1B1C66E6"/>
    <w:rsid w:val="1B563E16"/>
    <w:rsid w:val="1BC25F36"/>
    <w:rsid w:val="1BEE05A1"/>
    <w:rsid w:val="1C1E6EE4"/>
    <w:rsid w:val="1C4D605D"/>
    <w:rsid w:val="1C5B42ED"/>
    <w:rsid w:val="1CDE12EA"/>
    <w:rsid w:val="1D9236E6"/>
    <w:rsid w:val="1FB2381D"/>
    <w:rsid w:val="1FC46EC1"/>
    <w:rsid w:val="1FDE0E64"/>
    <w:rsid w:val="20CB541B"/>
    <w:rsid w:val="215F1577"/>
    <w:rsid w:val="22BC3287"/>
    <w:rsid w:val="238B716B"/>
    <w:rsid w:val="2430619E"/>
    <w:rsid w:val="24F829C8"/>
    <w:rsid w:val="25E140B7"/>
    <w:rsid w:val="27455C6D"/>
    <w:rsid w:val="27D43492"/>
    <w:rsid w:val="27D9139D"/>
    <w:rsid w:val="27F54F9D"/>
    <w:rsid w:val="288618F0"/>
    <w:rsid w:val="28DD7965"/>
    <w:rsid w:val="28DF6F24"/>
    <w:rsid w:val="29B01B00"/>
    <w:rsid w:val="29F51443"/>
    <w:rsid w:val="2A255905"/>
    <w:rsid w:val="2B61150A"/>
    <w:rsid w:val="2BA005FB"/>
    <w:rsid w:val="2C3F6559"/>
    <w:rsid w:val="2D145EC5"/>
    <w:rsid w:val="2EDD6252"/>
    <w:rsid w:val="2F1B5C9F"/>
    <w:rsid w:val="2FCC0FB1"/>
    <w:rsid w:val="30180EA6"/>
    <w:rsid w:val="3301375D"/>
    <w:rsid w:val="33EE5AD5"/>
    <w:rsid w:val="342804A8"/>
    <w:rsid w:val="35CB6DC8"/>
    <w:rsid w:val="3AF809ED"/>
    <w:rsid w:val="3AFF24DE"/>
    <w:rsid w:val="3B111C96"/>
    <w:rsid w:val="3B234142"/>
    <w:rsid w:val="3B4958D4"/>
    <w:rsid w:val="3CF74FC7"/>
    <w:rsid w:val="3E362517"/>
    <w:rsid w:val="3E924A9D"/>
    <w:rsid w:val="3ECA6D2C"/>
    <w:rsid w:val="41DF2CEB"/>
    <w:rsid w:val="423B506A"/>
    <w:rsid w:val="429864D8"/>
    <w:rsid w:val="42D57A4D"/>
    <w:rsid w:val="43505235"/>
    <w:rsid w:val="43890615"/>
    <w:rsid w:val="43B92FF0"/>
    <w:rsid w:val="43E233D0"/>
    <w:rsid w:val="445D4E08"/>
    <w:rsid w:val="44D233F9"/>
    <w:rsid w:val="44E643D8"/>
    <w:rsid w:val="450A238D"/>
    <w:rsid w:val="45993277"/>
    <w:rsid w:val="45C13BC9"/>
    <w:rsid w:val="45EB4C53"/>
    <w:rsid w:val="48766A25"/>
    <w:rsid w:val="49975A5C"/>
    <w:rsid w:val="4B63388E"/>
    <w:rsid w:val="4C1B5BC3"/>
    <w:rsid w:val="4C993C1D"/>
    <w:rsid w:val="4E2D76E6"/>
    <w:rsid w:val="4E756814"/>
    <w:rsid w:val="4E807F14"/>
    <w:rsid w:val="4EAA7FE0"/>
    <w:rsid w:val="4F213B8C"/>
    <w:rsid w:val="4FAE5E52"/>
    <w:rsid w:val="50863E14"/>
    <w:rsid w:val="50B74714"/>
    <w:rsid w:val="51CD66F3"/>
    <w:rsid w:val="52A468E9"/>
    <w:rsid w:val="52C8137C"/>
    <w:rsid w:val="54134879"/>
    <w:rsid w:val="54A454D1"/>
    <w:rsid w:val="54E52D9E"/>
    <w:rsid w:val="55CF7B31"/>
    <w:rsid w:val="56393C13"/>
    <w:rsid w:val="566265F1"/>
    <w:rsid w:val="58313173"/>
    <w:rsid w:val="588C3372"/>
    <w:rsid w:val="5A8B0A25"/>
    <w:rsid w:val="5B761672"/>
    <w:rsid w:val="5C4F5C99"/>
    <w:rsid w:val="5D1B67CB"/>
    <w:rsid w:val="5D992E98"/>
    <w:rsid w:val="5DBC1ADE"/>
    <w:rsid w:val="5F90689D"/>
    <w:rsid w:val="5F9768F3"/>
    <w:rsid w:val="606A5960"/>
    <w:rsid w:val="617C7483"/>
    <w:rsid w:val="61C87E6F"/>
    <w:rsid w:val="624A3B5C"/>
    <w:rsid w:val="62DA0D5E"/>
    <w:rsid w:val="6300039F"/>
    <w:rsid w:val="64BB1A7E"/>
    <w:rsid w:val="64D43D04"/>
    <w:rsid w:val="6652791B"/>
    <w:rsid w:val="667B530E"/>
    <w:rsid w:val="67367D1C"/>
    <w:rsid w:val="68457210"/>
    <w:rsid w:val="6A71527F"/>
    <w:rsid w:val="6B4924C6"/>
    <w:rsid w:val="6B5E41D4"/>
    <w:rsid w:val="6E9C129B"/>
    <w:rsid w:val="6F141779"/>
    <w:rsid w:val="6F6439D5"/>
    <w:rsid w:val="70A444C6"/>
    <w:rsid w:val="70DD533A"/>
    <w:rsid w:val="70F133E7"/>
    <w:rsid w:val="70FC52EA"/>
    <w:rsid w:val="71883D59"/>
    <w:rsid w:val="743A152F"/>
    <w:rsid w:val="74D81746"/>
    <w:rsid w:val="74F17E67"/>
    <w:rsid w:val="752567FF"/>
    <w:rsid w:val="75A917EE"/>
    <w:rsid w:val="761D7A3E"/>
    <w:rsid w:val="76A81543"/>
    <w:rsid w:val="77685A7B"/>
    <w:rsid w:val="778C2023"/>
    <w:rsid w:val="7A454EDD"/>
    <w:rsid w:val="7A7B1093"/>
    <w:rsid w:val="7A7F578E"/>
    <w:rsid w:val="7D4B78AB"/>
    <w:rsid w:val="7DA0242A"/>
    <w:rsid w:val="7E39207C"/>
    <w:rsid w:val="7F8F3EDB"/>
    <w:rsid w:val="7F932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3">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customStyle="1" w:styleId="28">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5"/>
    <w:link w:val="6"/>
    <w:semiHidden/>
    <w:qFormat/>
    <w:uiPriority w:val="9"/>
    <w:rPr>
      <w:rFonts w:asciiTheme="majorHAnsi" w:hAnsiTheme="majorHAnsi" w:eastAsiaTheme="majorEastAsia" w:cstheme="majorBidi"/>
      <w:b/>
      <w:bCs/>
    </w:rPr>
  </w:style>
  <w:style w:type="character" w:customStyle="1" w:styleId="33">
    <w:name w:val="标题 6 字符"/>
    <w:basedOn w:val="25"/>
    <w:link w:val="7"/>
    <w:semiHidden/>
    <w:qFormat/>
    <w:uiPriority w:val="9"/>
    <w:rPr>
      <w:rFonts w:asciiTheme="majorHAnsi" w:hAnsiTheme="majorHAnsi" w:eastAsiaTheme="majorEastAsia" w:cstheme="majorBidi"/>
      <w:b/>
      <w:bCs/>
      <w:i/>
      <w:iCs/>
    </w:rPr>
  </w:style>
  <w:style w:type="character" w:customStyle="1" w:styleId="34">
    <w:name w:val="标题 7 字符"/>
    <w:basedOn w:val="25"/>
    <w:link w:val="8"/>
    <w:semiHidden/>
    <w:qFormat/>
    <w:uiPriority w:val="9"/>
    <w:rPr>
      <w:i/>
      <w:iCs/>
    </w:rPr>
  </w:style>
  <w:style w:type="character" w:customStyle="1" w:styleId="35">
    <w:name w:val="标题 8 字符"/>
    <w:basedOn w:val="25"/>
    <w:link w:val="9"/>
    <w:semiHidden/>
    <w:qFormat/>
    <w:uiPriority w:val="9"/>
    <w:rPr>
      <w:b/>
      <w:bCs/>
    </w:rPr>
  </w:style>
  <w:style w:type="character" w:customStyle="1" w:styleId="36">
    <w:name w:val="标题 9 字符"/>
    <w:basedOn w:val="25"/>
    <w:link w:val="10"/>
    <w:semiHidden/>
    <w:qFormat/>
    <w:uiPriority w:val="9"/>
    <w:rPr>
      <w:i/>
      <w:iCs/>
    </w:rPr>
  </w:style>
  <w:style w:type="character" w:customStyle="1" w:styleId="37">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8">
    <w:name w:val="副标题 字符"/>
    <w:basedOn w:val="25"/>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5"/>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5"/>
    <w:link w:val="42"/>
    <w:qFormat/>
    <w:uiPriority w:val="30"/>
    <w:rPr>
      <w:rFonts w:asciiTheme="majorHAnsi" w:hAnsiTheme="majorHAnsi" w:eastAsiaTheme="majorEastAsia" w:cstheme="majorBidi"/>
      <w:sz w:val="26"/>
      <w:szCs w:val="26"/>
    </w:rPr>
  </w:style>
  <w:style w:type="character" w:customStyle="1" w:styleId="44">
    <w:name w:val="Subtle Emphasis"/>
    <w:basedOn w:val="25"/>
    <w:qFormat/>
    <w:uiPriority w:val="19"/>
    <w:rPr>
      <w:i/>
      <w:iCs/>
      <w:color w:val="auto"/>
    </w:rPr>
  </w:style>
  <w:style w:type="character" w:customStyle="1" w:styleId="45">
    <w:name w:val="Intense Emphasis"/>
    <w:basedOn w:val="25"/>
    <w:qFormat/>
    <w:uiPriority w:val="21"/>
    <w:rPr>
      <w:b/>
      <w:bCs/>
      <w:i/>
      <w:iCs/>
      <w:color w:val="auto"/>
    </w:rPr>
  </w:style>
  <w:style w:type="character" w:customStyle="1" w:styleId="46">
    <w:name w:val="Subtle Reference"/>
    <w:basedOn w:val="25"/>
    <w:qFormat/>
    <w:uiPriority w:val="31"/>
    <w:rPr>
      <w:smallCaps/>
      <w:color w:val="auto"/>
      <w:u w:val="single" w:color="7E7E7E" w:themeColor="text1" w:themeTint="80"/>
    </w:rPr>
  </w:style>
  <w:style w:type="character" w:customStyle="1" w:styleId="47">
    <w:name w:val="Intense Reference"/>
    <w:basedOn w:val="25"/>
    <w:qFormat/>
    <w:uiPriority w:val="32"/>
    <w:rPr>
      <w:b/>
      <w:bCs/>
      <w:smallCaps/>
      <w:color w:val="auto"/>
      <w:u w:val="single"/>
    </w:rPr>
  </w:style>
  <w:style w:type="character" w:customStyle="1" w:styleId="48">
    <w:name w:val="Book Title"/>
    <w:basedOn w:val="25"/>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5"/>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5"/>
    <w:link w:val="17"/>
    <w:qFormat/>
    <w:uiPriority w:val="99"/>
    <w:rPr>
      <w:sz w:val="18"/>
      <w:szCs w:val="18"/>
    </w:rPr>
  </w:style>
  <w:style w:type="character" w:customStyle="1" w:styleId="53">
    <w:name w:val="页脚 字符"/>
    <w:basedOn w:val="25"/>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5"/>
    <w:link w:val="15"/>
    <w:semiHidden/>
    <w:qFormat/>
    <w:uiPriority w:val="99"/>
    <w:rPr>
      <w:rFonts w:hAnsi="Courier New" w:cs="Courier New" w:asciiTheme="minorEastAsia"/>
    </w:rPr>
  </w:style>
  <w:style w:type="character" w:customStyle="1" w:styleId="58">
    <w:name w:val="正文文本 字符"/>
    <w:basedOn w:val="25"/>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character" w:customStyle="1" w:styleId="60">
    <w:name w:val="NormalCharacter"/>
    <w:semiHidden/>
    <w:qFormat/>
    <w:uiPriority w:val="0"/>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1</TotalTime>
  <ScaleCrop>false</ScaleCrop>
  <LinksUpToDate>false</LinksUpToDate>
  <CharactersWithSpaces>3430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dcterms:modified xsi:type="dcterms:W3CDTF">2022-02-25T03:46:22Z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43275809F07B431D8F5B6EBFA2FA029E</vt:lpwstr>
  </property>
</Properties>
</file>