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1"/>
        <w:spacing w:line="360" w:lineRule="auto"/>
        <w:jc w:val="center"/>
        <w:outlineLvl w:val="0"/>
        <w:rPr>
          <w:rFonts w:ascii="仿宋" w:hAnsi="仿宋" w:eastAsia="仿宋"/>
          <w:b/>
          <w:color w:val="auto"/>
          <w:sz w:val="44"/>
          <w:szCs w:val="44"/>
        </w:rPr>
      </w:pPr>
      <w:bookmarkStart w:id="0" w:name="_Toc212456146"/>
      <w:bookmarkStart w:id="1" w:name="_Toc217891359"/>
      <w:bookmarkStart w:id="2" w:name="_Toc254790852"/>
      <w:bookmarkStart w:id="3" w:name="_Toc267060407"/>
      <w:bookmarkStart w:id="4" w:name="_Toc169332904"/>
      <w:bookmarkStart w:id="5" w:name="_Toc160880487"/>
      <w:bookmarkStart w:id="6" w:name="_Toc249325665"/>
      <w:bookmarkStart w:id="7" w:name="_Toc169332794"/>
      <w:bookmarkStart w:id="8" w:name="_Toc267060022"/>
      <w:bookmarkStart w:id="9" w:name="_Toc259692600"/>
      <w:bookmarkStart w:id="10" w:name="_Toc255974963"/>
      <w:bookmarkStart w:id="11" w:name="_Toc273178686"/>
      <w:bookmarkStart w:id="12" w:name="_Toc266870386"/>
      <w:bookmarkStart w:id="13" w:name="_Toc235437942"/>
      <w:bookmarkStart w:id="14" w:name="_Toc235438297"/>
      <w:bookmarkStart w:id="15" w:name="_Toc267059010"/>
      <w:bookmarkStart w:id="16" w:name="_Toc267060162"/>
      <w:bookmarkStart w:id="17" w:name="_Toc223146565"/>
      <w:bookmarkStart w:id="18" w:name="_Toc177985424"/>
      <w:bookmarkStart w:id="19" w:name="_Toc266868624"/>
      <w:bookmarkStart w:id="20" w:name="_Toc227058483"/>
      <w:bookmarkStart w:id="21" w:name="_Toc212526081"/>
      <w:bookmarkStart w:id="22" w:name="_Toc267059899"/>
      <w:bookmarkStart w:id="23" w:name="_Toc212454753"/>
      <w:bookmarkStart w:id="24" w:name="_Toc267059519"/>
      <w:bookmarkStart w:id="25" w:name="_Toc266868924"/>
      <w:bookmarkStart w:id="26" w:name="_Toc207014580"/>
      <w:bookmarkStart w:id="27" w:name="_Toc170798743"/>
      <w:bookmarkStart w:id="28" w:name="_Toc251613780"/>
      <w:bookmarkStart w:id="29" w:name="_Toc258401210"/>
      <w:bookmarkStart w:id="30" w:name="_Toc212530253"/>
      <w:bookmarkStart w:id="31" w:name="_Toc259692693"/>
      <w:bookmarkStart w:id="32" w:name="_Toc259520819"/>
      <w:bookmarkStart w:id="33" w:name="_Toc219800200"/>
      <w:bookmarkStart w:id="34" w:name="_Toc267059786"/>
      <w:bookmarkStart w:id="35" w:name="_Toc267059161"/>
      <w:bookmarkStart w:id="36" w:name="_Toc211937196"/>
      <w:bookmarkStart w:id="37" w:name="_Toc253066567"/>
      <w:bookmarkStart w:id="38" w:name="_Toc251586187"/>
      <w:bookmarkStart w:id="39" w:name="_Toc235438227"/>
      <w:bookmarkStart w:id="40" w:name="_Toc225669277"/>
      <w:bookmarkStart w:id="41" w:name="_Toc267059633"/>
      <w:bookmarkStart w:id="42" w:name="_Toc236021402"/>
      <w:bookmarkStart w:id="43" w:name="_Toc216241307"/>
      <w:bookmarkStart w:id="44" w:name="_Toc266870861"/>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spacing w:after="0" w:line="500" w:lineRule="exact"/>
        <w:ind w:firstLine="364" w:firstLineChars="152"/>
        <w:jc w:val="left"/>
        <w:rPr>
          <w:rFonts w:ascii="仿宋" w:hAnsi="仿宋" w:eastAsia="仿宋"/>
          <w:color w:val="000000"/>
          <w:sz w:val="24"/>
          <w:szCs w:val="24"/>
        </w:rPr>
      </w:pPr>
      <w:bookmarkStart w:id="45" w:name="_Hlk10840310"/>
      <w:r>
        <w:rPr>
          <w:rFonts w:hint="eastAsia" w:ascii="仿宋" w:hAnsi="仿宋" w:eastAsia="仿宋"/>
          <w:color w:val="000000"/>
          <w:sz w:val="24"/>
          <w:szCs w:val="24"/>
        </w:rPr>
        <w:t>广东白云学院是教育部批准成立的全日制普通本科院校。2009年通过学士学位授予单位授权点评审。2011年通过教育部本科教学工作合格评估。2018年接受了教育部本科教学审核评估。学校连续12年蝉联广东省社会科学院评定的“广东省民办高校竞争力十强”第一名。根据需要，对广东白云学院资源统一管理平台建设公开询价，欢迎国内合格参与人参与。</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项目编号：A20220406</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项目名称：广东白云学院资源统一管理平台建设</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数量及主要技术要求:详见</w:t>
      </w:r>
      <w:r>
        <w:rPr>
          <w:rFonts w:hint="eastAsia" w:ascii="仿宋" w:hAnsi="仿宋" w:eastAsia="仿宋"/>
          <w:sz w:val="24"/>
          <w:szCs w:val="24"/>
          <w:lang w:eastAsia="zh-CN"/>
        </w:rPr>
        <w:t>《</w:t>
      </w:r>
      <w:r>
        <w:rPr>
          <w:rFonts w:hint="eastAsia" w:ascii="仿宋" w:hAnsi="仿宋" w:eastAsia="仿宋"/>
          <w:sz w:val="24"/>
          <w:szCs w:val="24"/>
        </w:rPr>
        <w:t>公开询价货物一览表</w:t>
      </w:r>
      <w:r>
        <w:rPr>
          <w:rFonts w:hint="eastAsia" w:ascii="仿宋" w:hAnsi="仿宋" w:eastAsia="仿宋"/>
          <w:sz w:val="24"/>
          <w:szCs w:val="24"/>
          <w:lang w:eastAsia="zh-CN"/>
        </w:rPr>
        <w:t>》</w:t>
      </w:r>
      <w:r>
        <w:rPr>
          <w:rFonts w:hint="eastAsia" w:ascii="仿宋" w:hAnsi="仿宋" w:eastAsia="仿宋"/>
          <w:sz w:val="24"/>
          <w:szCs w:val="24"/>
        </w:rPr>
        <w:t>。</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参与人资格标准：</w:t>
      </w:r>
    </w:p>
    <w:p>
      <w:pPr>
        <w:pStyle w:val="54"/>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参与人应具有独立法人资格的生产厂商或授权经销商。</w:t>
      </w:r>
    </w:p>
    <w:p>
      <w:pPr>
        <w:pStyle w:val="54"/>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参与人应具有合法有效的营业执照</w:t>
      </w:r>
      <w:r>
        <w:rPr>
          <w:rFonts w:hint="eastAsia" w:ascii="仿宋" w:hAnsi="仿宋" w:eastAsia="仿宋"/>
          <w:sz w:val="24"/>
          <w:szCs w:val="24"/>
          <w:lang w:eastAsia="zh-CN"/>
        </w:rPr>
        <w:t>。</w:t>
      </w:r>
    </w:p>
    <w:p>
      <w:pPr>
        <w:pStyle w:val="54"/>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w:t>
      </w:r>
      <w:r>
        <w:rPr>
          <w:rFonts w:ascii="仿宋" w:hAnsi="仿宋" w:eastAsia="仿宋"/>
          <w:sz w:val="24"/>
          <w:szCs w:val="24"/>
        </w:rPr>
        <w:t>有提</w:t>
      </w:r>
      <w:r>
        <w:rPr>
          <w:rFonts w:hint="eastAsia" w:ascii="仿宋" w:hAnsi="仿宋" w:eastAsia="仿宋"/>
          <w:sz w:val="24"/>
          <w:szCs w:val="24"/>
        </w:rPr>
        <w:t>供管理平台</w:t>
      </w:r>
      <w:r>
        <w:rPr>
          <w:rFonts w:ascii="仿宋" w:hAnsi="仿宋" w:eastAsia="仿宋"/>
          <w:sz w:val="24"/>
          <w:szCs w:val="24"/>
        </w:rPr>
        <w:t>和服务的资格</w:t>
      </w:r>
      <w:r>
        <w:rPr>
          <w:rFonts w:hint="eastAsia" w:ascii="仿宋" w:hAnsi="仿宋" w:eastAsia="仿宋"/>
          <w:sz w:val="24"/>
          <w:szCs w:val="24"/>
        </w:rPr>
        <w:t>及</w:t>
      </w:r>
      <w:r>
        <w:rPr>
          <w:rFonts w:ascii="仿宋" w:hAnsi="仿宋" w:eastAsia="仿宋"/>
          <w:sz w:val="24"/>
          <w:szCs w:val="24"/>
        </w:rPr>
        <w:t>能力</w:t>
      </w:r>
      <w:r>
        <w:rPr>
          <w:rFonts w:hint="eastAsia" w:ascii="仿宋" w:hAnsi="仿宋" w:eastAsia="仿宋"/>
          <w:sz w:val="24"/>
          <w:szCs w:val="24"/>
        </w:rPr>
        <w:t>，具备相应的维护能力。</w:t>
      </w:r>
    </w:p>
    <w:p>
      <w:pPr>
        <w:pStyle w:val="54"/>
        <w:numPr>
          <w:ilvl w:val="0"/>
          <w:numId w:val="2"/>
        </w:numPr>
        <w:spacing w:after="0" w:line="500" w:lineRule="exact"/>
        <w:ind w:firstLineChars="0"/>
        <w:rPr>
          <w:rFonts w:ascii="仿宋" w:hAnsi="仿宋" w:eastAsia="仿宋"/>
          <w:sz w:val="24"/>
          <w:szCs w:val="24"/>
        </w:rPr>
      </w:pPr>
      <w:r>
        <w:rPr>
          <w:rFonts w:hint="eastAsia" w:ascii="仿宋" w:hAnsi="仿宋" w:eastAsia="仿宋"/>
          <w:color w:val="000000"/>
          <w:sz w:val="24"/>
          <w:szCs w:val="24"/>
        </w:rPr>
        <w:t>参与人须有良好的商业信誉和健全的财务制度，有依法缴纳税金的良好记录。</w:t>
      </w:r>
    </w:p>
    <w:p>
      <w:pPr>
        <w:pStyle w:val="54"/>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参与人具有三年以上（包括三年）两个以上同类项目销售和良好的售后服务应用成功案例,近三年未发生重大安全或质量事故。</w:t>
      </w:r>
    </w:p>
    <w:p>
      <w:pPr>
        <w:widowControl w:val="0"/>
        <w:numPr>
          <w:ilvl w:val="1"/>
          <w:numId w:val="1"/>
        </w:numPr>
        <w:spacing w:after="0" w:line="500" w:lineRule="exact"/>
        <w:rPr>
          <w:rFonts w:ascii="仿宋" w:hAnsi="仿宋" w:eastAsia="仿宋"/>
          <w:b/>
          <w:bCs/>
          <w:color w:val="C00000"/>
          <w:sz w:val="24"/>
          <w:szCs w:val="24"/>
        </w:rPr>
      </w:pPr>
      <w:r>
        <w:rPr>
          <w:rFonts w:hint="eastAsia" w:ascii="仿宋" w:hAnsi="仿宋" w:eastAsia="仿宋"/>
          <w:sz w:val="24"/>
          <w:szCs w:val="24"/>
        </w:rPr>
        <w:t>报价响应文件递交方式：密封报价，按规定时间送达或邮寄。</w:t>
      </w:r>
      <w:r>
        <w:rPr>
          <w:rFonts w:hint="eastAsia" w:ascii="仿宋" w:hAnsi="仿宋" w:eastAsia="仿宋"/>
          <w:b/>
          <w:bCs/>
          <w:color w:val="C00000"/>
          <w:sz w:val="24"/>
          <w:szCs w:val="24"/>
        </w:rPr>
        <w:t>请在密封封面注明联系人及联系方式。</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报价响应文件递交截止时间</w:t>
      </w:r>
      <w:r>
        <w:rPr>
          <w:rFonts w:hint="eastAsia" w:ascii="仿宋" w:hAnsi="仿宋" w:eastAsia="仿宋"/>
          <w:sz w:val="24"/>
          <w:szCs w:val="24"/>
          <w:shd w:val="clear" w:color="auto" w:fill="FFFFFF"/>
        </w:rPr>
        <w:t>：2022年</w:t>
      </w:r>
      <w:r>
        <w:rPr>
          <w:rFonts w:hint="eastAsia" w:ascii="仿宋" w:hAnsi="仿宋" w:eastAsia="仿宋"/>
          <w:sz w:val="24"/>
          <w:szCs w:val="24"/>
          <w:shd w:val="clear" w:color="auto" w:fill="FFFFFF"/>
          <w:lang w:val="en-US" w:eastAsia="zh-CN"/>
        </w:rPr>
        <w:t>5</w:t>
      </w:r>
      <w:r>
        <w:rPr>
          <w:rFonts w:ascii="仿宋" w:hAnsi="仿宋" w:eastAsia="仿宋"/>
          <w:sz w:val="24"/>
          <w:szCs w:val="24"/>
          <w:shd w:val="clear" w:color="auto" w:fill="FFFFFF"/>
        </w:rPr>
        <w:t>月</w:t>
      </w:r>
      <w:r>
        <w:rPr>
          <w:rFonts w:hint="eastAsia" w:ascii="仿宋" w:hAnsi="仿宋" w:eastAsia="仿宋"/>
          <w:sz w:val="24"/>
          <w:szCs w:val="24"/>
          <w:shd w:val="clear" w:color="auto" w:fill="FFFFFF"/>
          <w:lang w:val="en-US" w:eastAsia="zh-CN"/>
        </w:rPr>
        <w:t>5</w:t>
      </w:r>
      <w:r>
        <w:rPr>
          <w:rFonts w:ascii="仿宋" w:hAnsi="仿宋" w:eastAsia="仿宋"/>
          <w:sz w:val="24"/>
          <w:szCs w:val="24"/>
          <w:shd w:val="clear" w:color="auto" w:fill="FFFFFF"/>
        </w:rPr>
        <w:t>日</w:t>
      </w:r>
      <w:r>
        <w:rPr>
          <w:rFonts w:hint="eastAsia" w:ascii="仿宋" w:hAnsi="仿宋" w:eastAsia="仿宋"/>
          <w:sz w:val="24"/>
          <w:szCs w:val="24"/>
          <w:shd w:val="clear" w:color="auto" w:fill="FFFFFF"/>
        </w:rPr>
        <w:t>下午</w:t>
      </w:r>
      <w:r>
        <w:rPr>
          <w:rFonts w:ascii="仿宋" w:hAnsi="仿宋" w:eastAsia="仿宋"/>
          <w:sz w:val="24"/>
          <w:szCs w:val="24"/>
          <w:shd w:val="clear" w:color="auto" w:fill="FFFFFF"/>
        </w:rPr>
        <w:t>16</w:t>
      </w:r>
      <w:r>
        <w:rPr>
          <w:rFonts w:hint="eastAsia" w:ascii="仿宋" w:hAnsi="仿宋" w:eastAsia="仿宋"/>
          <w:sz w:val="24"/>
          <w:szCs w:val="24"/>
          <w:shd w:val="clear" w:color="auto" w:fill="FFFFFF"/>
        </w:rPr>
        <w:t>:</w:t>
      </w:r>
      <w:r>
        <w:rPr>
          <w:rFonts w:ascii="仿宋" w:hAnsi="仿宋" w:eastAsia="仿宋"/>
          <w:sz w:val="24"/>
          <w:szCs w:val="24"/>
          <w:shd w:val="clear" w:color="auto" w:fill="FFFFFF"/>
        </w:rPr>
        <w:t>00</w:t>
      </w:r>
      <w:r>
        <w:rPr>
          <w:rFonts w:hint="eastAsia" w:ascii="仿宋" w:hAnsi="仿宋" w:eastAsia="仿宋"/>
          <w:sz w:val="24"/>
          <w:szCs w:val="24"/>
          <w:shd w:val="clear" w:color="auto" w:fill="FFFFFF"/>
        </w:rPr>
        <w:t>前（以参与人快递寄出时间为准，邮寄时应提前告知）。</w:t>
      </w:r>
    </w:p>
    <w:p>
      <w:pPr>
        <w:pStyle w:val="54"/>
        <w:numPr>
          <w:ilvl w:val="1"/>
          <w:numId w:val="1"/>
        </w:numPr>
        <w:spacing w:after="0" w:line="500" w:lineRule="exact"/>
        <w:ind w:firstLineChars="0"/>
        <w:rPr>
          <w:rFonts w:ascii="仿宋" w:hAnsi="仿宋" w:eastAsia="仿宋"/>
          <w:sz w:val="24"/>
          <w:szCs w:val="24"/>
        </w:rPr>
      </w:pPr>
      <w:r>
        <w:rPr>
          <w:rFonts w:hint="eastAsia" w:ascii="仿宋" w:hAnsi="仿宋" w:eastAsia="仿宋"/>
          <w:sz w:val="24"/>
          <w:szCs w:val="24"/>
        </w:rPr>
        <w:t>报价响应文件递交地点：广州市白云区钟落潭镇九佛西路280号。</w:t>
      </w:r>
    </w:p>
    <w:p>
      <w:pPr>
        <w:pStyle w:val="54"/>
        <w:spacing w:after="0" w:line="500" w:lineRule="exact"/>
        <w:ind w:left="839" w:firstLine="0" w:firstLineChars="0"/>
        <w:rPr>
          <w:rFonts w:ascii="仿宋" w:hAnsi="仿宋" w:eastAsia="仿宋"/>
          <w:sz w:val="24"/>
          <w:szCs w:val="24"/>
        </w:rPr>
      </w:pPr>
      <w:r>
        <w:rPr>
          <w:rFonts w:hint="eastAsia" w:ascii="仿宋" w:hAnsi="仿宋" w:eastAsia="仿宋"/>
          <w:sz w:val="24"/>
          <w:szCs w:val="24"/>
        </w:rPr>
        <w:t>联系人：黄灿俞；联系电话：13826471351</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参加本项目的参与人如对</w:t>
      </w:r>
      <w:r>
        <w:rPr>
          <w:rFonts w:hint="eastAsia" w:ascii="仿宋" w:hAnsi="仿宋" w:eastAsia="仿宋"/>
          <w:b/>
          <w:bCs/>
          <w:sz w:val="24"/>
          <w:szCs w:val="24"/>
        </w:rPr>
        <w:t>公开询价邀请函列示内容存有疑问的</w:t>
      </w:r>
      <w:r>
        <w:rPr>
          <w:rFonts w:hint="eastAsia" w:ascii="仿宋" w:hAnsi="仿宋" w:eastAsia="仿宋"/>
          <w:sz w:val="24"/>
          <w:szCs w:val="24"/>
        </w:rPr>
        <w:t>，请在报价响应文件递交截止之日前，将问题以书面形式（有效签署的原件并加盖公章）提交至学校业务对接人，联系人：黄灿俞；联系电话：13826471351。采购人不对超时提交及未加盖公章的质疑文件进行回复。</w:t>
      </w:r>
    </w:p>
    <w:p>
      <w:pPr>
        <w:widowControl w:val="0"/>
        <w:numPr>
          <w:ilvl w:val="1"/>
          <w:numId w:val="1"/>
        </w:numPr>
        <w:spacing w:after="0" w:line="460" w:lineRule="exact"/>
        <w:rPr>
          <w:rFonts w:ascii="仿宋" w:hAnsi="仿宋" w:eastAsia="仿宋"/>
          <w:sz w:val="24"/>
          <w:szCs w:val="24"/>
        </w:rPr>
      </w:pPr>
      <w:bookmarkStart w:id="46" w:name="_Hlk97917519"/>
      <w:r>
        <w:rPr>
          <w:rFonts w:hint="eastAsia" w:ascii="仿宋" w:hAnsi="仿宋" w:eastAsia="仿宋"/>
          <w:sz w:val="24"/>
          <w:szCs w:val="24"/>
        </w:rPr>
        <w:t>本项目最终成交结果会在中教集团后勤贤知平台“中标信息公示”板块公示，网址：</w:t>
      </w:r>
      <w:r>
        <w:fldChar w:fldCharType="begin"/>
      </w:r>
      <w:r>
        <w:instrText xml:space="preserve"> HYPERLINK "http://www.ceghqxz.com" </w:instrText>
      </w:r>
      <w:r>
        <w:fldChar w:fldCharType="separate"/>
      </w:r>
      <w:r>
        <w:rPr>
          <w:rStyle w:val="27"/>
          <w:rFonts w:hint="eastAsia" w:ascii="仿宋" w:hAnsi="仿宋" w:eastAsia="仿宋"/>
          <w:color w:val="auto"/>
          <w:sz w:val="24"/>
          <w:szCs w:val="24"/>
        </w:rPr>
        <w:t>www.ceghqxz.com</w:t>
      </w:r>
      <w:r>
        <w:rPr>
          <w:rStyle w:val="27"/>
          <w:rFonts w:hint="eastAsia" w:ascii="仿宋" w:hAnsi="仿宋" w:eastAsia="仿宋"/>
          <w:color w:val="auto"/>
          <w:sz w:val="24"/>
          <w:szCs w:val="24"/>
        </w:rPr>
        <w:fldChar w:fldCharType="end"/>
      </w:r>
      <w:r>
        <w:rPr>
          <w:rFonts w:hint="eastAsia" w:ascii="仿宋" w:hAnsi="仿宋" w:eastAsia="仿宋"/>
          <w:sz w:val="24"/>
          <w:szCs w:val="24"/>
        </w:rPr>
        <w:t>。参加本项目的参与人如对</w:t>
      </w:r>
      <w:r>
        <w:rPr>
          <w:rFonts w:hint="eastAsia" w:ascii="仿宋" w:hAnsi="仿宋" w:eastAsia="仿宋"/>
          <w:b/>
          <w:bCs/>
          <w:sz w:val="24"/>
          <w:szCs w:val="24"/>
        </w:rPr>
        <w:t>采购过程和成交结果有异议的，</w:t>
      </w:r>
      <w:bookmarkEnd w:id="46"/>
      <w:r>
        <w:rPr>
          <w:rFonts w:hint="eastAsia" w:ascii="仿宋" w:hAnsi="仿宋" w:eastAsia="仿宋"/>
          <w:sz w:val="24"/>
          <w:szCs w:val="24"/>
        </w:rPr>
        <w:t>请以书面形式（有效签署的原件并加盖公章），并附有相关的证据材料，提交至集团内控部。</w:t>
      </w:r>
    </w:p>
    <w:p>
      <w:pPr>
        <w:widowControl w:val="0"/>
        <w:tabs>
          <w:tab w:val="left" w:pos="839"/>
        </w:tabs>
        <w:spacing w:after="0" w:line="460" w:lineRule="exact"/>
        <w:ind w:left="839"/>
        <w:rPr>
          <w:rFonts w:ascii="仿宋" w:hAnsi="仿宋" w:eastAsia="仿宋"/>
          <w:sz w:val="24"/>
          <w:szCs w:val="24"/>
        </w:rPr>
      </w:pPr>
      <w:r>
        <w:rPr>
          <w:rFonts w:hint="eastAsia" w:ascii="仿宋" w:hAnsi="仿宋" w:eastAsia="仿宋"/>
          <w:sz w:val="24"/>
          <w:szCs w:val="24"/>
        </w:rPr>
        <w:t>投诉受理部门：中教集团内控部，投诉电话： 0791-88106510 /0791-88102608</w:t>
      </w:r>
    </w:p>
    <w:p>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，须由参与人填写并加盖公章（正本一份副本一份）；</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一个参与人只能提交一个报价响应文件，本项目不接受联合体报价。</w:t>
      </w:r>
    </w:p>
    <w:p>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pPr>
        <w:pStyle w:val="54"/>
        <w:widowControl w:val="0"/>
        <w:numPr>
          <w:ilvl w:val="3"/>
          <w:numId w:val="4"/>
        </w:numPr>
        <w:spacing w:after="0" w:line="500" w:lineRule="exact"/>
        <w:ind w:left="865" w:hanging="425" w:firstLineChars="0"/>
        <w:jc w:val="left"/>
        <w:rPr>
          <w:rFonts w:ascii="仿宋" w:hAnsi="仿宋" w:eastAsia="仿宋"/>
          <w:sz w:val="24"/>
          <w:szCs w:val="24"/>
        </w:rPr>
      </w:pPr>
      <w:r>
        <w:rPr>
          <w:rFonts w:hint="eastAsia" w:ascii="仿宋" w:hAnsi="仿宋" w:eastAsia="仿宋"/>
          <w:sz w:val="24"/>
          <w:szCs w:val="24"/>
        </w:rPr>
        <w:t>免费维修期:不少于24个月；</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应急维修时间安排；</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培训计划及人员安排；</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维修地点、地址、联系电话及联系人员；</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维修服务收费标准；</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主要零配件及易耗品价格；</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制造商的技术支持。</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本项目为自有资金而非财政性资金采购，采购人按企业内部规定的标准进行评定。</w:t>
      </w:r>
    </w:p>
    <w:p>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pPr>
        <w:pStyle w:val="54"/>
        <w:spacing w:after="0" w:line="500" w:lineRule="exact"/>
        <w:ind w:firstLine="0" w:firstLineChars="0"/>
        <w:jc w:val="left"/>
        <w:rPr>
          <w:rFonts w:ascii="仿宋" w:hAnsi="仿宋" w:eastAsia="仿宋"/>
          <w:sz w:val="24"/>
          <w:szCs w:val="24"/>
        </w:rPr>
      </w:pPr>
    </w:p>
    <w:p>
      <w:pPr>
        <w:pStyle w:val="54"/>
        <w:spacing w:after="0" w:line="500" w:lineRule="exact"/>
        <w:ind w:left="7513" w:firstLine="141" w:firstLineChars="59"/>
        <w:jc w:val="left"/>
        <w:rPr>
          <w:rFonts w:ascii="仿宋" w:hAnsi="仿宋" w:eastAsia="仿宋"/>
          <w:sz w:val="24"/>
          <w:szCs w:val="24"/>
        </w:rPr>
      </w:pPr>
      <w:r>
        <w:rPr>
          <w:rFonts w:hint="eastAsia" w:ascii="仿宋" w:hAnsi="仿宋" w:eastAsia="仿宋"/>
          <w:sz w:val="24"/>
          <w:szCs w:val="24"/>
        </w:rPr>
        <w:t>广东白云学院</w:t>
      </w:r>
    </w:p>
    <w:p>
      <w:pPr>
        <w:pStyle w:val="54"/>
        <w:spacing w:after="0" w:line="500" w:lineRule="exact"/>
        <w:ind w:left="7371" w:firstLine="0" w:firstLineChars="0"/>
        <w:jc w:val="left"/>
        <w:rPr>
          <w:rFonts w:ascii="仿宋" w:hAnsi="仿宋" w:eastAsia="仿宋"/>
          <w:sz w:val="24"/>
          <w:szCs w:val="24"/>
        </w:rPr>
      </w:pPr>
      <w:r>
        <w:rPr>
          <w:rFonts w:hint="eastAsia" w:ascii="仿宋" w:hAnsi="仿宋" w:eastAsia="仿宋"/>
          <w:sz w:val="24"/>
          <w:szCs w:val="24"/>
        </w:rPr>
        <w:t>2022年4月</w:t>
      </w:r>
      <w:r>
        <w:rPr>
          <w:rFonts w:hint="eastAsia" w:ascii="仿宋" w:hAnsi="仿宋" w:eastAsia="仿宋"/>
          <w:sz w:val="24"/>
          <w:szCs w:val="24"/>
          <w:lang w:val="en-US" w:eastAsia="zh-CN"/>
        </w:rPr>
        <w:t>19</w:t>
      </w:r>
      <w:r>
        <w:rPr>
          <w:rFonts w:hint="eastAsia" w:ascii="仿宋" w:hAnsi="仿宋" w:eastAsia="仿宋"/>
          <w:sz w:val="24"/>
          <w:szCs w:val="24"/>
        </w:rPr>
        <w:t>日</w:t>
      </w:r>
    </w:p>
    <w:p>
      <w:pPr>
        <w:pStyle w:val="54"/>
        <w:spacing w:after="0" w:line="500" w:lineRule="exact"/>
        <w:ind w:left="851" w:firstLine="0" w:firstLineChars="0"/>
        <w:jc w:val="center"/>
        <w:rPr>
          <w:rFonts w:ascii="仿宋" w:hAnsi="仿宋" w:eastAsia="仿宋"/>
          <w:b/>
          <w:sz w:val="44"/>
          <w:szCs w:val="44"/>
        </w:rPr>
      </w:pPr>
      <w:r>
        <w:rPr>
          <w:rFonts w:ascii="仿宋" w:hAnsi="仿宋" w:eastAsia="仿宋"/>
          <w:color w:val="FF0000"/>
          <w:sz w:val="28"/>
          <w:szCs w:val="28"/>
        </w:rPr>
        <w:br w:type="page"/>
      </w:r>
      <w:bookmarkEnd w:id="45"/>
      <w:r>
        <w:rPr>
          <w:rFonts w:hint="eastAsia" w:ascii="仿宋" w:hAnsi="仿宋" w:eastAsia="仿宋"/>
          <w:b/>
          <w:sz w:val="44"/>
          <w:szCs w:val="44"/>
        </w:rPr>
        <w:t>公开询价货物一览表</w:t>
      </w:r>
    </w:p>
    <w:p>
      <w:pPr>
        <w:pStyle w:val="54"/>
        <w:spacing w:after="0" w:line="500" w:lineRule="exact"/>
        <w:ind w:left="851" w:firstLine="0" w:firstLineChars="0"/>
        <w:jc w:val="center"/>
        <w:rPr>
          <w:rFonts w:ascii="仿宋" w:hAnsi="仿宋" w:eastAsia="仿宋"/>
          <w:b/>
          <w:sz w:val="44"/>
          <w:szCs w:val="44"/>
        </w:rPr>
      </w:pPr>
    </w:p>
    <w:tbl>
      <w:tblPr>
        <w:tblStyle w:val="23"/>
        <w:tblW w:w="4772" w:type="pct"/>
        <w:tblInd w:w="0" w:type="dxa"/>
        <w:tblLayout w:type="fixed"/>
        <w:tblCellMar>
          <w:top w:w="0" w:type="dxa"/>
          <w:left w:w="108" w:type="dxa"/>
          <w:bottom w:w="0" w:type="dxa"/>
          <w:right w:w="108" w:type="dxa"/>
        </w:tblCellMar>
      </w:tblPr>
      <w:tblGrid>
        <w:gridCol w:w="629"/>
        <w:gridCol w:w="1063"/>
        <w:gridCol w:w="2835"/>
        <w:gridCol w:w="769"/>
        <w:gridCol w:w="639"/>
        <w:gridCol w:w="1273"/>
        <w:gridCol w:w="1275"/>
        <w:gridCol w:w="1057"/>
      </w:tblGrid>
      <w:tr>
        <w:tblPrEx>
          <w:tblCellMar>
            <w:top w:w="0" w:type="dxa"/>
            <w:left w:w="108" w:type="dxa"/>
            <w:bottom w:w="0" w:type="dxa"/>
            <w:right w:w="108" w:type="dxa"/>
          </w:tblCellMar>
        </w:tblPrEx>
        <w:trPr>
          <w:trHeight w:val="492" w:hRule="atLeast"/>
        </w:trPr>
        <w:tc>
          <w:tcPr>
            <w:tcW w:w="32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5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148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bookmarkStart w:id="47" w:name="_Hlk78721021"/>
            <w:r>
              <w:rPr>
                <w:rFonts w:hint="eastAsia" w:ascii="仿宋" w:hAnsi="仿宋" w:eastAsia="仿宋" w:cs="Tahoma"/>
                <w:b/>
                <w:bCs/>
                <w:color w:val="000000"/>
                <w:sz w:val="20"/>
                <w:szCs w:val="20"/>
              </w:rPr>
              <w:t>规格型号（技术参数）</w:t>
            </w:r>
            <w:bookmarkEnd w:id="47"/>
          </w:p>
        </w:tc>
        <w:tc>
          <w:tcPr>
            <w:tcW w:w="40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33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66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66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5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1223" w:hRule="atLeast"/>
        </w:trPr>
        <w:tc>
          <w:tcPr>
            <w:tcW w:w="329"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57"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rPr>
              <w:t>资源统一管理平台</w:t>
            </w:r>
          </w:p>
        </w:tc>
        <w:tc>
          <w:tcPr>
            <w:tcW w:w="1485"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r>
              <w:rPr>
                <w:rFonts w:hint="eastAsia" w:ascii="仿宋" w:hAnsi="仿宋" w:eastAsia="仿宋" w:cs="Tahoma"/>
                <w:color w:val="000000"/>
                <w:sz w:val="20"/>
                <w:szCs w:val="20"/>
              </w:rPr>
              <w:t>具体技术参数见</w:t>
            </w:r>
          </w:p>
          <w:p>
            <w:pPr>
              <w:rPr>
                <w:rFonts w:ascii="仿宋" w:hAnsi="仿宋" w:eastAsia="仿宋" w:cs="Tahoma"/>
                <w:color w:val="000000"/>
                <w:sz w:val="20"/>
                <w:szCs w:val="20"/>
              </w:rPr>
            </w:pPr>
            <w:r>
              <w:rPr>
                <w:rFonts w:hint="eastAsia" w:ascii="仿宋" w:hAnsi="仿宋" w:eastAsia="仿宋" w:cs="Tahoma"/>
                <w:color w:val="000000"/>
                <w:sz w:val="20"/>
                <w:szCs w:val="20"/>
              </w:rPr>
              <w:t>附件一：项目介绍</w:t>
            </w:r>
          </w:p>
        </w:tc>
        <w:tc>
          <w:tcPr>
            <w:tcW w:w="40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套</w:t>
            </w:r>
          </w:p>
        </w:tc>
        <w:tc>
          <w:tcPr>
            <w:tcW w:w="33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66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54"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pStyle w:val="54"/>
        <w:spacing w:after="0" w:line="500" w:lineRule="exact"/>
        <w:ind w:firstLine="0" w:firstLineChars="0"/>
        <w:rPr>
          <w:rFonts w:ascii="仿宋" w:hAnsi="仿宋" w:eastAsia="仿宋"/>
          <w:b/>
          <w:sz w:val="24"/>
          <w:szCs w:val="24"/>
        </w:rPr>
      </w:pPr>
      <w:r>
        <w:rPr>
          <w:rFonts w:hint="eastAsia" w:ascii="仿宋" w:hAnsi="仿宋" w:eastAsia="仿宋"/>
          <w:b/>
          <w:sz w:val="24"/>
          <w:szCs w:val="24"/>
        </w:rPr>
        <w:t>附件一：项目介绍</w:t>
      </w:r>
    </w:p>
    <w:p>
      <w:pPr>
        <w:numPr>
          <w:ilvl w:val="0"/>
          <w:numId w:val="6"/>
        </w:numPr>
        <w:spacing w:line="400" w:lineRule="exact"/>
        <w:ind w:firstLine="442"/>
        <w:jc w:val="left"/>
        <w:rPr>
          <w:rFonts w:ascii="仿宋" w:hAnsi="仿宋" w:eastAsia="仿宋"/>
          <w:b/>
          <w:bCs/>
        </w:rPr>
      </w:pPr>
      <w:r>
        <w:rPr>
          <w:rFonts w:hint="eastAsia" w:ascii="仿宋" w:hAnsi="仿宋" w:eastAsia="仿宋"/>
          <w:b/>
          <w:bCs/>
        </w:rPr>
        <w:t>背景介绍</w:t>
      </w:r>
    </w:p>
    <w:p>
      <w:pPr>
        <w:spacing w:line="400" w:lineRule="exact"/>
        <w:ind w:firstLine="440" w:firstLineChars="200"/>
        <w:jc w:val="left"/>
        <w:rPr>
          <w:rFonts w:ascii="仿宋" w:hAnsi="仿宋" w:eastAsia="仿宋"/>
          <w:b/>
          <w:bCs/>
          <w:highlight w:val="none"/>
        </w:rPr>
      </w:pPr>
      <w:r>
        <w:rPr>
          <w:rFonts w:hint="eastAsia" w:ascii="仿宋" w:hAnsi="仿宋" w:eastAsia="仿宋"/>
        </w:rPr>
        <w:t>随着信息时代的快速发展，信息化已经渗透到学校师生日常工作学习的方方面面，我校信息化工作也在扎实推进，在很多方面都取得了显著的进步和成绩，学校各院系部门业务应用平台、资源共享平台的部署数量日益增加，例如教务系统、电子图书馆，一卡通等等，学校信息化建设在不断推进和完善过程中。信息化建设在给师生带来方便的同时，也带来了更多了网络安全问题，越来越多的外部网络攻击对学校重要业务系统和相关电子资源造成极大威胁。因此，为了阻断来自外部的网络攻击，保证学校重要业务系统和相关电子资源安全，</w:t>
      </w:r>
      <w:r>
        <w:rPr>
          <w:rFonts w:hint="eastAsia" w:ascii="仿宋" w:hAnsi="仿宋" w:eastAsia="仿宋"/>
          <w:highlight w:val="none"/>
        </w:rPr>
        <w:t>学校需要通过资源访问管理系统，对学校信息资源实现统一管控。</w:t>
      </w:r>
    </w:p>
    <w:p>
      <w:pPr>
        <w:numPr>
          <w:ilvl w:val="0"/>
          <w:numId w:val="6"/>
        </w:numPr>
        <w:spacing w:line="400" w:lineRule="exact"/>
        <w:ind w:firstLine="442"/>
        <w:jc w:val="left"/>
        <w:rPr>
          <w:rFonts w:ascii="仿宋" w:hAnsi="仿宋" w:eastAsia="仿宋"/>
          <w:b/>
          <w:bCs/>
        </w:rPr>
      </w:pPr>
      <w:r>
        <w:rPr>
          <w:rFonts w:hint="eastAsia" w:ascii="仿宋" w:hAnsi="仿宋" w:eastAsia="仿宋"/>
          <w:b/>
          <w:bCs/>
        </w:rPr>
        <w:t>实现目标</w:t>
      </w:r>
    </w:p>
    <w:p>
      <w:pPr>
        <w:spacing w:line="400" w:lineRule="exact"/>
        <w:ind w:firstLine="440" w:firstLineChars="200"/>
        <w:rPr>
          <w:rFonts w:ascii="仿宋" w:hAnsi="仿宋" w:eastAsia="仿宋"/>
        </w:rPr>
      </w:pPr>
      <w:r>
        <w:rPr>
          <w:rFonts w:hint="eastAsia" w:ascii="仿宋" w:hAnsi="仿宋" w:eastAsia="仿宋"/>
        </w:rPr>
        <w:t>针对当前我校信息资源访问需求，</w:t>
      </w:r>
      <w:r>
        <w:rPr>
          <w:rFonts w:hint="eastAsia" w:ascii="仿宋" w:hAnsi="仿宋" w:eastAsia="仿宋"/>
          <w:b/>
          <w:bCs/>
        </w:rPr>
        <w:t>需要建设1套资源访问管理系统</w:t>
      </w:r>
      <w:r>
        <w:rPr>
          <w:rFonts w:hint="eastAsia" w:ascii="仿宋" w:hAnsi="仿宋" w:eastAsia="仿宋"/>
        </w:rPr>
        <w:t>，通过建设该系统实现以下目标：建立一个统一资源访问入口；实现对网站及应用日志的统一管理；实现对校内网站统一备案管理；实现对校内网站的访问控制；实现业务系统及图书资源的远程访问；实现对校内网站的统一运维和监控；实现对全校所有站点的HTTPS证书管理。</w:t>
      </w:r>
    </w:p>
    <w:p>
      <w:pPr>
        <w:numPr>
          <w:ilvl w:val="0"/>
          <w:numId w:val="6"/>
        </w:numPr>
        <w:spacing w:line="400" w:lineRule="exact"/>
        <w:ind w:firstLine="442"/>
        <w:jc w:val="left"/>
        <w:rPr>
          <w:rFonts w:ascii="仿宋" w:hAnsi="仿宋" w:eastAsia="仿宋"/>
          <w:b/>
          <w:bCs/>
        </w:rPr>
      </w:pPr>
      <w:r>
        <w:rPr>
          <w:rFonts w:hint="eastAsia" w:ascii="仿宋" w:hAnsi="仿宋" w:eastAsia="仿宋"/>
          <w:b/>
          <w:bCs/>
        </w:rPr>
        <w:t>项目需求</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1、整体要求</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提供一套基于HTML5（无需安装客户端/插件）的远程接入访问控制系统，用户通过本系统可以访问其授权范围内的资源和进行设备运维，且用户的所有访问/操作行为均可完整记录，并可查询和审计。</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2、配置项要求</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（1）系统不限制用户授权数量，并同时支持15000个并发；</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（2）要求提供对50个系统的远程访问进行（Windows远程桌面/Telnet/SSH）记录操作录像/操作日志。</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（3）提供三年原厂质保服务和免费升级服务。</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3、资源访问</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（1）支持通过系统访问HTTP、HTTPS类的网站；</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（2）支持用户通过门户中导航块直接访问资源，且支持通过门户中的地址栏自定义其访问目标；</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（3）支持通过系统访问HTTP、HTTPS、VNC、Telnet、SSH等协议的资源；</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（4）支持其操作的记录与审计，包括用户账号、用户IP、操作资源、操作时间等；</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（5）支持用户通过IPv4或IPv6利用本系统访问IPv4、IPv6资源；</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（6）针对HTTP、HTTPS协议的资源，支持单点登录功能，用户登录门户后再访问目标资源时，无须重复认证；</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（7）支持动态使用IP地址池中的多个地址，且支持对特定资源进行流控，避免被误判为攻击或恶意访问。</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（8）支持PC、iOS（iPhone/iPad）、Android等操作系统的移动设备，无需安装客户端/插件，直接通过支持HTML5的浏览器使用系统全部功能；</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（9）无需针对基于HTTP/HTTPS的应用进行适配，包括绝对路径/特殊代码的适配、子域名/外链的适配、网站改版的更新适配。</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4、用户及权限管理</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（1）支持本地用户管理，支持账号的有效期管理；支持通过微信、短信进行用户自注册；</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（2）支持对接外部统一认证系统，包括LDAP、RADIUS、OAuth、cas、企业微信等；</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（3）支持多种登录方式，包括用户名密码、短信认证、微信认证、企业微信扫码认证，支持双因素认证；</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（4）支持根据用户角色、源地址、资源类型、待访问的资源地址四个方面对资源访问进行控制；</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（5）支持动态禁止频繁登录失败用户再次尝试，并支持自定义其失败频率阈值及禁止再次登录时间。</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（6）要求做好通过企业微信扫码统一登陆的功能的配置。</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5、门户管理</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（1）支持门户自定义，包括门户登录页、导航页内容、导航分组及分组内资源链接；</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（2）支持个性化门户，可基于用户的访问权限展示其可访问资源导航，并支持用户自定义收藏夹内容。</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（3）支持HTTPS类型Web资源的证书管理，且系统提供受浏览器信任的证书，对门户应用该SSL证书；</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（4）支持认证通过后跳转到任意指定页面进行资源访问。</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（5）要求实现和原有统一身份认证系统门户高度吻合的界面。</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6.日志与报表</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（1）支持记录与查询全量访问日志，包括用户账号、用户IP、终端、请求时间、访问URL、请求结果等；</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（2）支持记录与查询全量登录日志，包括用户账号、用户IP、登录时间及登录结果；</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（3）支持根据访问量、浏览器、操作系统、设备类型、请求来源地理位置进行统计分析，并可根据时间段及不同时间维度（日、周、月、年）进行统计，通过可视化图表展示变化趋势；</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（4）支持对接专业的日志分析平台，实现将以IP标识的日志转化为以终端+账号为标识。</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7、系统要求</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（1）支持在线升级系统且无需重启，保证业务的连续性；</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（2）配置数据、日志数据、性能数据分别采用专用数据库存储，优化数据存储结构，提升数据存取效率；</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（3）支持监控系统自身运行状态，包括CPU、内存、负载状态、网卡流量以及磁盘使用情况；</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（4）提供与操作系统、数据库以及其他平台软件深度整合的统一介质，能够实现操作系统、数据库、其他平台软件和系统的统一安装；</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（5）支持IPv6访问。</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highlight w:val="none"/>
        </w:rPr>
      </w:pPr>
      <w:r>
        <w:rPr>
          <w:rFonts w:hint="eastAsia" w:ascii="仿宋" w:hAnsi="仿宋" w:eastAsia="仿宋"/>
          <w:highlight w:val="none"/>
        </w:rPr>
        <w:t>8、产品资质</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仿宋" w:hAnsi="仿宋" w:eastAsia="仿宋"/>
          <w:b/>
          <w:bCs/>
        </w:rPr>
      </w:pPr>
      <w:r>
        <w:rPr>
          <w:rFonts w:hint="eastAsia" w:ascii="仿宋" w:hAnsi="仿宋" w:eastAsia="仿宋"/>
          <w:b/>
          <w:bCs/>
          <w:highlight w:val="none"/>
        </w:rPr>
        <w:t>产品具备国家相关安全资质、产品登记及相关安全检测等证明文件。</w:t>
      </w:r>
    </w:p>
    <w:p>
      <w:pPr>
        <w:spacing w:line="400" w:lineRule="exact"/>
        <w:rPr>
          <w:rFonts w:ascii="仿宋" w:hAnsi="仿宋" w:eastAsia="仿宋"/>
          <w:sz w:val="24"/>
          <w:szCs w:val="24"/>
        </w:rPr>
      </w:pPr>
    </w:p>
    <w:p>
      <w:pPr>
        <w:spacing w:line="400" w:lineRule="exact"/>
        <w:rPr>
          <w:rFonts w:ascii="仿宋" w:hAnsi="仿宋" w:eastAsia="仿宋"/>
          <w:sz w:val="20"/>
          <w:szCs w:val="20"/>
        </w:rPr>
      </w:pPr>
      <w:r>
        <w:rPr>
          <w:rFonts w:hint="eastAsia" w:ascii="仿宋" w:hAnsi="仿宋" w:eastAsia="仿宋"/>
          <w:sz w:val="20"/>
          <w:szCs w:val="20"/>
        </w:rPr>
        <w:t>注：</w:t>
      </w:r>
    </w:p>
    <w:p>
      <w:pPr>
        <w:numPr>
          <w:ilvl w:val="0"/>
          <w:numId w:val="7"/>
        </w:numPr>
        <w:spacing w:after="0" w:line="440" w:lineRule="exact"/>
        <w:rPr>
          <w:rFonts w:ascii="仿宋" w:hAnsi="仿宋" w:eastAsia="仿宋"/>
          <w:bCs/>
          <w:sz w:val="20"/>
          <w:szCs w:val="20"/>
        </w:rPr>
      </w:pPr>
      <w:r>
        <w:rPr>
          <w:rFonts w:hint="eastAsia" w:ascii="仿宋" w:hAnsi="仿宋" w:eastAsia="仿宋"/>
          <w:bCs/>
          <w:sz w:val="20"/>
          <w:szCs w:val="20"/>
        </w:rPr>
        <w:t>本项目采用“公开询价”方式进行，《公开询价货物一览表》中所描述的内容均为采购人根据自身需求提供的技术要求，除采购人特殊要求外，参与人可根据以上信息在满足采购人要求基础上提供优化方案及所匹配产品，采购人将优先选择性价比高且符合要求的产品。</w:t>
      </w:r>
    </w:p>
    <w:p>
      <w:pPr>
        <w:numPr>
          <w:ilvl w:val="0"/>
          <w:numId w:val="7"/>
        </w:numPr>
        <w:spacing w:after="0" w:line="440" w:lineRule="exact"/>
        <w:rPr>
          <w:rFonts w:ascii="仿宋" w:hAnsi="仿宋" w:eastAsia="仿宋"/>
          <w:bCs/>
          <w:sz w:val="20"/>
          <w:szCs w:val="20"/>
        </w:rPr>
      </w:pPr>
      <w:r>
        <w:rPr>
          <w:rFonts w:hint="eastAsia" w:ascii="仿宋" w:hAnsi="仿宋" w:eastAsia="仿宋"/>
          <w:bCs/>
          <w:sz w:val="20"/>
          <w:szCs w:val="20"/>
        </w:rPr>
        <w:t>参与人所投商品需要提供品牌、规格型号等真实详细信息，禁止复制采购人所提供的参考参数。</w:t>
      </w:r>
    </w:p>
    <w:p>
      <w:pPr>
        <w:numPr>
          <w:ilvl w:val="0"/>
          <w:numId w:val="7"/>
        </w:numPr>
        <w:spacing w:after="0" w:line="440" w:lineRule="exact"/>
        <w:rPr>
          <w:rFonts w:ascii="仿宋" w:hAnsi="仿宋" w:eastAsia="仿宋"/>
          <w:bCs/>
          <w:sz w:val="20"/>
          <w:szCs w:val="20"/>
        </w:rPr>
      </w:pPr>
      <w:r>
        <w:rPr>
          <w:rFonts w:hint="eastAsia" w:ascii="仿宋" w:hAnsi="仿宋" w:eastAsia="仿宋"/>
          <w:bCs/>
          <w:sz w:val="20"/>
          <w:szCs w:val="20"/>
        </w:rPr>
        <w:t>参与人所投商品报价应包含税费、整体实施、安装调试费、售后服务等一切费用。</w:t>
      </w:r>
    </w:p>
    <w:p>
      <w:pPr>
        <w:numPr>
          <w:ilvl w:val="0"/>
          <w:numId w:val="7"/>
        </w:numPr>
        <w:spacing w:after="0" w:line="440" w:lineRule="exact"/>
        <w:rPr>
          <w:rFonts w:ascii="仿宋" w:hAnsi="仿宋" w:eastAsia="仿宋"/>
          <w:bCs/>
          <w:sz w:val="20"/>
          <w:szCs w:val="20"/>
        </w:rPr>
      </w:pPr>
      <w:r>
        <w:rPr>
          <w:rFonts w:hint="eastAsia" w:ascii="仿宋" w:hAnsi="仿宋" w:eastAsia="仿宋"/>
          <w:b/>
          <w:sz w:val="20"/>
          <w:szCs w:val="20"/>
        </w:rPr>
        <w:t>参与人须提供管理平台演示及试用。</w:t>
      </w:r>
    </w:p>
    <w:p>
      <w:pPr>
        <w:numPr>
          <w:ilvl w:val="0"/>
          <w:numId w:val="7"/>
        </w:numPr>
        <w:spacing w:after="0" w:line="440" w:lineRule="exact"/>
        <w:rPr>
          <w:rFonts w:ascii="仿宋" w:hAnsi="仿宋" w:eastAsia="仿宋"/>
          <w:bCs/>
          <w:sz w:val="20"/>
          <w:szCs w:val="20"/>
        </w:rPr>
      </w:pPr>
      <w:r>
        <w:rPr>
          <w:rFonts w:hint="eastAsia" w:ascii="仿宋" w:hAnsi="仿宋" w:eastAsia="仿宋"/>
          <w:bCs/>
          <w:sz w:val="20"/>
          <w:szCs w:val="20"/>
        </w:rPr>
        <w:t>付款方式：系统安装完成正常使用一个月后进行验收，验收合格并收到全额发票后二十个工作日内支付合同金额95%</w:t>
      </w:r>
      <w:r>
        <w:rPr>
          <w:rFonts w:ascii="仿宋" w:hAnsi="仿宋" w:eastAsia="仿宋"/>
          <w:bCs/>
          <w:sz w:val="20"/>
          <w:szCs w:val="20"/>
        </w:rPr>
        <w:t xml:space="preserve"> </w:t>
      </w:r>
      <w:r>
        <w:rPr>
          <w:rFonts w:hint="eastAsia" w:ascii="仿宋" w:hAnsi="仿宋" w:eastAsia="仿宋"/>
          <w:bCs/>
          <w:sz w:val="20"/>
          <w:szCs w:val="20"/>
        </w:rPr>
        <w:t>，余款5%作为质保金在验收合格日算起一年后经二次验收合格后无息支付。</w:t>
      </w:r>
    </w:p>
    <w:p>
      <w:pPr>
        <w:rPr>
          <w:rFonts w:ascii="仿宋" w:hAnsi="仿宋" w:eastAsia="仿宋"/>
          <w:b/>
          <w:color w:val="FF0000"/>
          <w:sz w:val="36"/>
          <w:szCs w:val="36"/>
        </w:rPr>
        <w:sectPr>
          <w:headerReference r:id="rId6" w:type="first"/>
          <w:headerReference r:id="rId5" w:type="default"/>
          <w:pgSz w:w="11906" w:h="16838"/>
          <w:pgMar w:top="1440" w:right="1133" w:bottom="1440" w:left="993" w:header="851" w:footer="227" w:gutter="0"/>
          <w:cols w:space="425" w:num="1"/>
          <w:titlePg/>
          <w:docGrid w:type="lines" w:linePitch="312" w:charSpace="0"/>
        </w:sectPr>
      </w:pPr>
      <w:r>
        <w:rPr>
          <w:rFonts w:ascii="仿宋" w:hAnsi="仿宋" w:eastAsia="仿宋"/>
          <w:b/>
          <w:color w:val="FF0000"/>
          <w:sz w:val="36"/>
          <w:szCs w:val="36"/>
        </w:rPr>
        <w:br w:type="page"/>
      </w:r>
    </w:p>
    <w:p>
      <w:pPr>
        <w:rPr>
          <w:rFonts w:ascii="仿宋" w:hAnsi="仿宋" w:eastAsia="仿宋"/>
          <w:b/>
          <w:color w:val="FF0000"/>
          <w:sz w:val="36"/>
          <w:szCs w:val="36"/>
        </w:rPr>
      </w:pPr>
      <w:r>
        <w:rPr>
          <w:rFonts w:ascii="宋体" w:hAnsi="宋体" w:eastAsia="黑体" w:cs="Times New Roman"/>
          <w:sz w:val="24"/>
          <w:szCs w:val="20"/>
        </w:rPr>
        <w:drawing>
          <wp:anchor distT="0" distB="0" distL="114300" distR="114300" simplePos="0" relativeHeight="251660288" behindDoc="0" locked="0" layoutInCell="1" allowOverlap="1">
            <wp:simplePos x="0" y="0"/>
            <wp:positionH relativeFrom="column">
              <wp:posOffset>1440180</wp:posOffset>
            </wp:positionH>
            <wp:positionV relativeFrom="paragraph">
              <wp:posOffset>472440</wp:posOffset>
            </wp:positionV>
            <wp:extent cx="3086100" cy="644525"/>
            <wp:effectExtent l="0" t="0" r="0" b="317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086100" cy="644525"/>
                    </a:xfrm>
                    <a:prstGeom prst="rect">
                      <a:avLst/>
                    </a:prstGeom>
                    <a:noFill/>
                    <a:ln>
                      <a:noFill/>
                    </a:ln>
                  </pic:spPr>
                </pic:pic>
              </a:graphicData>
            </a:graphic>
          </wp:anchor>
        </w:drawing>
      </w:r>
    </w:p>
    <w:p>
      <w:pPr>
        <w:spacing w:line="1000" w:lineRule="exact"/>
        <w:rPr>
          <w:rFonts w:ascii="仿宋" w:hAnsi="仿宋" w:eastAsia="仿宋"/>
          <w:b/>
          <w:sz w:val="72"/>
          <w:szCs w:val="72"/>
        </w:rPr>
      </w:pPr>
    </w:p>
    <w:p>
      <w:pPr>
        <w:spacing w:line="1000" w:lineRule="exact"/>
        <w:jc w:val="center"/>
        <w:rPr>
          <w:rFonts w:ascii="仿宋" w:hAnsi="仿宋" w:eastAsia="仿宋"/>
          <w:b/>
          <w:sz w:val="56"/>
          <w:szCs w:val="56"/>
        </w:rPr>
      </w:pPr>
      <w:r>
        <w:rPr>
          <w:rFonts w:hint="eastAsia" w:ascii="仿宋" w:hAnsi="仿宋" w:eastAsia="仿宋"/>
          <w:b/>
          <w:sz w:val="56"/>
          <w:szCs w:val="56"/>
        </w:rPr>
        <w:t>广东白云学院</w:t>
      </w:r>
    </w:p>
    <w:p>
      <w:pPr>
        <w:spacing w:line="1000" w:lineRule="exact"/>
        <w:jc w:val="center"/>
        <w:rPr>
          <w:rFonts w:ascii="仿宋" w:hAnsi="仿宋" w:eastAsia="仿宋"/>
          <w:b/>
          <w:sz w:val="44"/>
          <w:szCs w:val="44"/>
        </w:rPr>
      </w:pPr>
      <w:r>
        <w:rPr>
          <w:rFonts w:hint="eastAsia" w:ascii="仿宋" w:hAnsi="仿宋" w:eastAsia="仿宋"/>
          <w:b/>
          <w:sz w:val="44"/>
          <w:szCs w:val="44"/>
        </w:rPr>
        <w:t>关于资源统一管理平台建设项目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sz w:val="24"/>
          <w:szCs w:val="24"/>
        </w:rPr>
      </w:pPr>
      <w:bookmarkStart w:id="48" w:name="_Toc267059806"/>
      <w:bookmarkStart w:id="49" w:name="_Toc192663835"/>
      <w:bookmarkStart w:id="50" w:name="_Toc223146608"/>
      <w:bookmarkStart w:id="51" w:name="_Toc253066614"/>
      <w:bookmarkStart w:id="52" w:name="_Toc230071147"/>
      <w:bookmarkStart w:id="53" w:name="_Toc227058530"/>
      <w:bookmarkStart w:id="54" w:name="_Toc267059030"/>
      <w:bookmarkStart w:id="55" w:name="_Toc232302115"/>
      <w:bookmarkStart w:id="56" w:name="_Toc267059653"/>
      <w:bookmarkStart w:id="57" w:name="_Toc255975007"/>
      <w:bookmarkStart w:id="58" w:name="_Toc191789329"/>
      <w:bookmarkStart w:id="59" w:name="_Toc219800243"/>
      <w:bookmarkStart w:id="60" w:name="_Toc235437991"/>
      <w:bookmarkStart w:id="61" w:name="_Toc267060321"/>
      <w:bookmarkStart w:id="62" w:name="_Toc267060208"/>
      <w:bookmarkStart w:id="63" w:name="_Toc266870907"/>
      <w:bookmarkStart w:id="64" w:name="_Toc192663686"/>
      <w:bookmarkStart w:id="65" w:name="_Toc213208766"/>
      <w:bookmarkStart w:id="66" w:name="_Toc177985469"/>
      <w:bookmarkStart w:id="67" w:name="_Toc160880529"/>
      <w:bookmarkStart w:id="68" w:name="_Toc249325711"/>
      <w:bookmarkStart w:id="69" w:name="_Toc225669322"/>
      <w:bookmarkStart w:id="70" w:name="_Toc180302913"/>
      <w:bookmarkStart w:id="71" w:name="_Toc213756051"/>
      <w:bookmarkStart w:id="72" w:name="_Toc170798793"/>
      <w:bookmarkStart w:id="73" w:name="_Toc193160448"/>
      <w:bookmarkStart w:id="74" w:name="_Toc169332838"/>
      <w:bookmarkStart w:id="75" w:name="_Toc213755995"/>
      <w:bookmarkStart w:id="76" w:name="_Toc191802690"/>
      <w:bookmarkStart w:id="77" w:name="_Toc182805217"/>
      <w:bookmarkStart w:id="78" w:name="_Toc169332949"/>
      <w:bookmarkStart w:id="79" w:name="_Toc217891402"/>
      <w:bookmarkStart w:id="80" w:name="_Toc266868670"/>
      <w:bookmarkStart w:id="81" w:name="_Toc254790899"/>
      <w:bookmarkStart w:id="82" w:name="_Toc191783222"/>
      <w:bookmarkStart w:id="83" w:name="_Toc160880160"/>
      <w:bookmarkStart w:id="84" w:name="_Toc259520865"/>
      <w:bookmarkStart w:id="85" w:name="_Toc266868937"/>
      <w:bookmarkStart w:id="86" w:name="_Toc266870833"/>
      <w:bookmarkStart w:id="87" w:name="_Toc259692647"/>
      <w:bookmarkStart w:id="88" w:name="_Toc182372782"/>
      <w:bookmarkStart w:id="89" w:name="_Toc181436461"/>
      <w:bookmarkStart w:id="90" w:name="_Toc251613829"/>
      <w:bookmarkStart w:id="91" w:name="_Toc258401256"/>
      <w:bookmarkStart w:id="92" w:name="_Toc211917116"/>
      <w:bookmarkStart w:id="93" w:name="_Toc259692740"/>
      <w:bookmarkStart w:id="94" w:name="_Toc213755858"/>
      <w:bookmarkStart w:id="95" w:name="_Toc181436565"/>
      <w:bookmarkStart w:id="96" w:name="_Toc191803626"/>
      <w:bookmarkStart w:id="97" w:name="_Toc251586231"/>
      <w:bookmarkStart w:id="98" w:name="_Toc203355733"/>
      <w:bookmarkStart w:id="99" w:name="_Toc192996446"/>
      <w:bookmarkStart w:id="100" w:name="_Toc213755939"/>
      <w:bookmarkStart w:id="101" w:name="_Toc267060068"/>
      <w:bookmarkStart w:id="102" w:name="_Toc267060453"/>
      <w:bookmarkStart w:id="103" w:name="_Toc235438274"/>
      <w:bookmarkStart w:id="104" w:name="_Toc273178698"/>
      <w:bookmarkStart w:id="105" w:name="_Toc236021449"/>
      <w:bookmarkStart w:id="106" w:name="_Toc266870432"/>
      <w:bookmarkStart w:id="107" w:name="_Toc235438344"/>
      <w:bookmarkStart w:id="108" w:name="_Toc267059181"/>
      <w:bookmarkStart w:id="109" w:name="_Toc192664153"/>
      <w:bookmarkStart w:id="110" w:name="_Toc192996338"/>
      <w:bookmarkStart w:id="111" w:name="_Toc267059919"/>
      <w:bookmarkStart w:id="112" w:name="_Toc193165734"/>
      <w:bookmarkStart w:id="113" w:name="_Toc267059539"/>
      <w:r>
        <w:rPr>
          <w:rFonts w:hint="eastAsia" w:ascii="仿宋" w:hAnsi="仿宋" w:eastAsia="仿宋"/>
          <w:b/>
          <w:bCs/>
          <w:sz w:val="24"/>
          <w:szCs w:val="24"/>
        </w:rPr>
        <w:t>1、</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ascii="仿宋" w:hAnsi="仿宋" w:eastAsia="仿宋"/>
          <w:b/>
          <w:bCs/>
          <w:sz w:val="24"/>
          <w:szCs w:val="24"/>
        </w:rPr>
        <w:t>询价响应函</w:t>
      </w:r>
    </w:p>
    <w:p>
      <w:pPr>
        <w:spacing w:after="0" w:line="480" w:lineRule="exact"/>
        <w:rPr>
          <w:rFonts w:ascii="仿宋" w:hAnsi="仿宋" w:eastAsia="仿宋"/>
          <w:sz w:val="24"/>
          <w:szCs w:val="24"/>
        </w:rPr>
      </w:pPr>
      <w:r>
        <w:rPr>
          <w:rFonts w:hint="eastAsia" w:ascii="仿宋" w:hAnsi="仿宋" w:eastAsia="仿宋"/>
          <w:sz w:val="24"/>
          <w:szCs w:val="24"/>
        </w:rPr>
        <w:t>致：广东白云学院</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FF0000"/>
          <w:sz w:val="24"/>
          <w:szCs w:val="24"/>
        </w:rPr>
      </w:pPr>
      <w:r>
        <w:rPr>
          <w:rFonts w:ascii="仿宋" w:hAnsi="仿宋" w:eastAsia="仿宋"/>
          <w:sz w:val="24"/>
          <w:szCs w:val="24"/>
        </w:rPr>
        <w:t>6.</w:t>
      </w:r>
      <w:r>
        <w:rPr>
          <w:rFonts w:hint="eastAsia" w:ascii="仿宋" w:hAnsi="仿宋" w:eastAsia="仿宋"/>
          <w:color w:val="FF0000"/>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6"/>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3"/>
        <w:tblW w:w="4701" w:type="pct"/>
        <w:tblInd w:w="0" w:type="dxa"/>
        <w:tblLayout w:type="fixed"/>
        <w:tblCellMar>
          <w:top w:w="0" w:type="dxa"/>
          <w:left w:w="108" w:type="dxa"/>
          <w:bottom w:w="0" w:type="dxa"/>
          <w:right w:w="108" w:type="dxa"/>
        </w:tblCellMar>
      </w:tblPr>
      <w:tblGrid>
        <w:gridCol w:w="718"/>
        <w:gridCol w:w="1159"/>
        <w:gridCol w:w="2716"/>
        <w:gridCol w:w="736"/>
        <w:gridCol w:w="785"/>
        <w:gridCol w:w="1073"/>
        <w:gridCol w:w="1048"/>
        <w:gridCol w:w="765"/>
      </w:tblGrid>
      <w:tr>
        <w:tblPrEx>
          <w:tblCellMar>
            <w:top w:w="0" w:type="dxa"/>
            <w:left w:w="108" w:type="dxa"/>
            <w:bottom w:w="0" w:type="dxa"/>
            <w:right w:w="108" w:type="dxa"/>
          </w:tblCellMar>
        </w:tblPrEx>
        <w:trPr>
          <w:trHeight w:val="492" w:hRule="atLeast"/>
        </w:trPr>
        <w:tc>
          <w:tcPr>
            <w:tcW w:w="39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64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150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规格型号（技术参数）</w:t>
            </w:r>
          </w:p>
        </w:tc>
        <w:tc>
          <w:tcPr>
            <w:tcW w:w="40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43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59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58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794" w:hRule="atLeast"/>
        </w:trPr>
        <w:tc>
          <w:tcPr>
            <w:tcW w:w="399"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64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50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40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9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8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99"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64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50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40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9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8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99"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64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50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40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9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8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99"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64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50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40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9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8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99"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64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50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40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9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8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99"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64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50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40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9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8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99"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64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50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40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9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8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99"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64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507"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409"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95"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8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4" w:name="_Toc213755945"/>
      <w:bookmarkStart w:id="115" w:name="_Toc192664158"/>
      <w:bookmarkStart w:id="116" w:name="_Toc160880165"/>
      <w:bookmarkStart w:id="117" w:name="_Toc181436466"/>
      <w:bookmarkStart w:id="118" w:name="_Toc255975016"/>
      <w:bookmarkStart w:id="119" w:name="_Toc267060216"/>
      <w:bookmarkStart w:id="120" w:name="_Toc169332843"/>
      <w:bookmarkStart w:id="121" w:name="_Toc177985474"/>
      <w:bookmarkStart w:id="122" w:name="_Toc259692656"/>
      <w:bookmarkStart w:id="123" w:name="_Toc219800249"/>
      <w:bookmarkStart w:id="124" w:name="_Toc193160453"/>
      <w:bookmarkStart w:id="125" w:name="_Toc193165739"/>
      <w:bookmarkStart w:id="126" w:name="_Toc266868943"/>
      <w:bookmarkStart w:id="127" w:name="_Toc232302122"/>
      <w:bookmarkStart w:id="128" w:name="_Toc191803631"/>
      <w:bookmarkStart w:id="129" w:name="_Toc267059186"/>
      <w:bookmarkStart w:id="130" w:name="_Toc191789334"/>
      <w:bookmarkStart w:id="131" w:name="_Toc182372787"/>
      <w:bookmarkStart w:id="132" w:name="_Toc192663691"/>
      <w:bookmarkStart w:id="133" w:name="_Toc181436570"/>
      <w:bookmarkStart w:id="134" w:name="_Toc266870839"/>
      <w:bookmarkStart w:id="135" w:name="_Toc211917121"/>
      <w:bookmarkStart w:id="136" w:name="_Toc267060076"/>
      <w:bookmarkStart w:id="137" w:name="_Toc235438281"/>
      <w:bookmarkStart w:id="138" w:name="_Toc213755864"/>
      <w:bookmarkStart w:id="139" w:name="_Toc267059035"/>
      <w:bookmarkStart w:id="140" w:name="_Toc192663840"/>
      <w:bookmarkStart w:id="141" w:name="_Toc192996343"/>
      <w:bookmarkStart w:id="142" w:name="_Toc170798798"/>
      <w:bookmarkStart w:id="143" w:name="_Toc266870441"/>
      <w:bookmarkStart w:id="144" w:name="_Toc253066624"/>
      <w:bookmarkStart w:id="145" w:name="_Toc259692749"/>
      <w:bookmarkStart w:id="146" w:name="_Toc217891408"/>
      <w:bookmarkStart w:id="147" w:name="_Toc160880534"/>
      <w:bookmarkStart w:id="148" w:name="_Toc236021457"/>
      <w:bookmarkStart w:id="149" w:name="_Toc267059811"/>
      <w:bookmarkStart w:id="150" w:name="_Toc267060326"/>
      <w:bookmarkStart w:id="151" w:name="_Toc225669328"/>
      <w:bookmarkStart w:id="152" w:name="_Toc230071153"/>
      <w:bookmarkStart w:id="153" w:name="_Toc191802695"/>
      <w:bookmarkStart w:id="154" w:name="_Toc266868679"/>
      <w:bookmarkStart w:id="155" w:name="_Toc191783227"/>
      <w:bookmarkStart w:id="156" w:name="_Toc251613839"/>
      <w:bookmarkStart w:id="157" w:name="_Toc254790909"/>
      <w:bookmarkStart w:id="158" w:name="_Toc249325720"/>
      <w:bookmarkStart w:id="159" w:name="_Toc267059658"/>
      <w:bookmarkStart w:id="160" w:name="_Toc169332954"/>
      <w:bookmarkStart w:id="161" w:name="_Toc213756001"/>
      <w:bookmarkStart w:id="162" w:name="_Toc182805222"/>
      <w:bookmarkStart w:id="163" w:name="_Toc213756057"/>
      <w:bookmarkStart w:id="164" w:name="_Toc227058536"/>
      <w:bookmarkStart w:id="165" w:name="_Toc273178703"/>
      <w:bookmarkStart w:id="166" w:name="_Toc266870916"/>
      <w:bookmarkStart w:id="167" w:name="_Toc180302918"/>
      <w:bookmarkStart w:id="168" w:name="_Toc259520874"/>
      <w:bookmarkStart w:id="169" w:name="_Toc267059924"/>
      <w:bookmarkStart w:id="170" w:name="_Toc223146614"/>
      <w:bookmarkStart w:id="171" w:name="_Toc267059544"/>
      <w:bookmarkStart w:id="172" w:name="_Toc235438352"/>
      <w:bookmarkStart w:id="173" w:name="_Toc258401265"/>
      <w:bookmarkStart w:id="174" w:name="_Toc235437998"/>
      <w:bookmarkStart w:id="175" w:name="_Toc251586241"/>
      <w:bookmarkStart w:id="176" w:name="_Toc192996451"/>
      <w:bookmarkStart w:id="177" w:name="_Toc267060461"/>
      <w:bookmarkStart w:id="178" w:name="_Toc203355738"/>
      <w:bookmarkStart w:id="179" w:name="_Toc213208771"/>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hint="eastAsia" w:ascii="仿宋" w:hAnsi="仿宋" w:eastAsia="仿宋"/>
          <w:b/>
          <w:bCs/>
          <w:sz w:val="24"/>
          <w:szCs w:val="24"/>
        </w:rPr>
        <w:t>参与人资质材料</w:t>
      </w:r>
    </w:p>
    <w:p>
      <w:pPr>
        <w:pStyle w:val="39"/>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4"/>
        <w:numPr>
          <w:ilvl w:val="0"/>
          <w:numId w:val="8"/>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4"/>
        <w:numPr>
          <w:ilvl w:val="0"/>
          <w:numId w:val="8"/>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4"/>
        <w:numPr>
          <w:ilvl w:val="0"/>
          <w:numId w:val="8"/>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pStyle w:val="54"/>
        <w:numPr>
          <w:ilvl w:val="0"/>
          <w:numId w:val="8"/>
        </w:numPr>
        <w:spacing w:after="0" w:line="500" w:lineRule="exact"/>
        <w:ind w:firstLineChars="0"/>
        <w:rPr>
          <w:rFonts w:ascii="仿宋" w:hAnsi="仿宋" w:eastAsia="仿宋"/>
          <w:sz w:val="24"/>
          <w:szCs w:val="24"/>
        </w:rPr>
      </w:pPr>
      <w:r>
        <w:rPr>
          <w:rFonts w:hint="eastAsia" w:ascii="仿宋" w:hAnsi="仿宋" w:eastAsia="仿宋"/>
          <w:sz w:val="24"/>
          <w:szCs w:val="24"/>
        </w:rPr>
        <w:t>提供管理平台和服务的资格及能力证明材料复印件</w:t>
      </w:r>
    </w:p>
    <w:p>
      <w:pPr>
        <w:spacing w:line="380" w:lineRule="exact"/>
        <w:rPr>
          <w:rFonts w:ascii="仿宋" w:hAnsi="仿宋" w:eastAsia="仿宋"/>
          <w:b/>
          <w:bCs/>
          <w:sz w:val="24"/>
          <w:szCs w:val="24"/>
        </w:rPr>
      </w:pPr>
      <w:bookmarkStart w:id="180" w:name="_GoBack"/>
      <w:bookmarkEnd w:id="180"/>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sdtPr>
    <w:sdtContent>
      <w:sdt>
        <w:sdtPr>
          <w:id w:val="455225834"/>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ascii="宋体" w:hAnsi="宋体" w:eastAsia="黑体" w:cs="Times New Roman"/>
        <w:sz w:val="24"/>
        <w:szCs w:val="20"/>
      </w:rPr>
      <w:drawing>
        <wp:anchor distT="0" distB="0" distL="114300" distR="114300" simplePos="0" relativeHeight="251661312" behindDoc="0" locked="0" layoutInCell="1" allowOverlap="1">
          <wp:simplePos x="0" y="0"/>
          <wp:positionH relativeFrom="column">
            <wp:posOffset>2216785</wp:posOffset>
          </wp:positionH>
          <wp:positionV relativeFrom="paragraph">
            <wp:posOffset>-138430</wp:posOffset>
          </wp:positionV>
          <wp:extent cx="1809115" cy="295275"/>
          <wp:effectExtent l="0" t="0" r="635" b="952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09115" cy="2952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ascii="宋体" w:hAnsi="宋体" w:eastAsia="黑体" w:cs="Times New Roman"/>
        <w:sz w:val="24"/>
        <w:szCs w:val="20"/>
      </w:rPr>
      <w:drawing>
        <wp:anchor distT="0" distB="0" distL="114300" distR="114300" simplePos="0" relativeHeight="251659264" behindDoc="0" locked="0" layoutInCell="1" allowOverlap="1">
          <wp:simplePos x="0" y="0"/>
          <wp:positionH relativeFrom="column">
            <wp:posOffset>2216785</wp:posOffset>
          </wp:positionH>
          <wp:positionV relativeFrom="paragraph">
            <wp:posOffset>-138430</wp:posOffset>
          </wp:positionV>
          <wp:extent cx="1732915" cy="295275"/>
          <wp:effectExtent l="0" t="0" r="635" b="952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32915" cy="2952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91AB98"/>
    <w:multiLevelType w:val="singleLevel"/>
    <w:tmpl w:val="3E91AB98"/>
    <w:lvl w:ilvl="0" w:tentative="0">
      <w:start w:val="1"/>
      <w:numFmt w:val="chineseCounting"/>
      <w:suff w:val="nothing"/>
      <w:lvlText w:val="%1、"/>
      <w:lvlJc w:val="left"/>
      <w:rPr>
        <w:rFonts w:hint="eastAsia"/>
      </w:rPr>
    </w:lvl>
  </w:abstractNum>
  <w:abstractNum w:abstractNumId="3">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4">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20"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5"/>
  </w:num>
  <w:num w:numId="4">
    <w:abstractNumId w:val="6"/>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3788B"/>
    <w:rsid w:val="000569E1"/>
    <w:rsid w:val="00057A51"/>
    <w:rsid w:val="00074B20"/>
    <w:rsid w:val="00082572"/>
    <w:rsid w:val="000934D4"/>
    <w:rsid w:val="000C3E2B"/>
    <w:rsid w:val="000F4F45"/>
    <w:rsid w:val="001037BF"/>
    <w:rsid w:val="0013118F"/>
    <w:rsid w:val="00136A53"/>
    <w:rsid w:val="001561E9"/>
    <w:rsid w:val="00176CD4"/>
    <w:rsid w:val="001772BC"/>
    <w:rsid w:val="00182C6E"/>
    <w:rsid w:val="001A5B43"/>
    <w:rsid w:val="001A7645"/>
    <w:rsid w:val="001B16D6"/>
    <w:rsid w:val="001B719E"/>
    <w:rsid w:val="001C6943"/>
    <w:rsid w:val="00235C32"/>
    <w:rsid w:val="00244E90"/>
    <w:rsid w:val="002657F7"/>
    <w:rsid w:val="002772BB"/>
    <w:rsid w:val="002A0474"/>
    <w:rsid w:val="002A633A"/>
    <w:rsid w:val="002B6EF4"/>
    <w:rsid w:val="002C2C3D"/>
    <w:rsid w:val="002C4297"/>
    <w:rsid w:val="00306C9B"/>
    <w:rsid w:val="00320C30"/>
    <w:rsid w:val="0033335F"/>
    <w:rsid w:val="00334E6F"/>
    <w:rsid w:val="003570A0"/>
    <w:rsid w:val="003625B6"/>
    <w:rsid w:val="0036595B"/>
    <w:rsid w:val="0038676F"/>
    <w:rsid w:val="003B4853"/>
    <w:rsid w:val="003C09AD"/>
    <w:rsid w:val="003C60EF"/>
    <w:rsid w:val="003E6439"/>
    <w:rsid w:val="003F20A6"/>
    <w:rsid w:val="00404FA2"/>
    <w:rsid w:val="004242F4"/>
    <w:rsid w:val="0043243C"/>
    <w:rsid w:val="00441955"/>
    <w:rsid w:val="00447890"/>
    <w:rsid w:val="0045117A"/>
    <w:rsid w:val="0045571D"/>
    <w:rsid w:val="004B66B1"/>
    <w:rsid w:val="004F6AE0"/>
    <w:rsid w:val="00502F52"/>
    <w:rsid w:val="00520B4D"/>
    <w:rsid w:val="0053766E"/>
    <w:rsid w:val="00582530"/>
    <w:rsid w:val="00590957"/>
    <w:rsid w:val="005914DC"/>
    <w:rsid w:val="005A5A4D"/>
    <w:rsid w:val="005B5A2D"/>
    <w:rsid w:val="005E3E63"/>
    <w:rsid w:val="005F125A"/>
    <w:rsid w:val="005F1FC8"/>
    <w:rsid w:val="005F7D3E"/>
    <w:rsid w:val="00630374"/>
    <w:rsid w:val="0064362D"/>
    <w:rsid w:val="00667BCF"/>
    <w:rsid w:val="00694E60"/>
    <w:rsid w:val="0069669C"/>
    <w:rsid w:val="006B47F4"/>
    <w:rsid w:val="006D2FCE"/>
    <w:rsid w:val="006F3C71"/>
    <w:rsid w:val="006F5FBA"/>
    <w:rsid w:val="007033CB"/>
    <w:rsid w:val="00740E85"/>
    <w:rsid w:val="00754818"/>
    <w:rsid w:val="007A6B0D"/>
    <w:rsid w:val="007B0F09"/>
    <w:rsid w:val="007B2319"/>
    <w:rsid w:val="00820908"/>
    <w:rsid w:val="00820F76"/>
    <w:rsid w:val="00865B30"/>
    <w:rsid w:val="00874219"/>
    <w:rsid w:val="0087518C"/>
    <w:rsid w:val="00884BF1"/>
    <w:rsid w:val="008902DC"/>
    <w:rsid w:val="008A71B5"/>
    <w:rsid w:val="008C000D"/>
    <w:rsid w:val="008C7622"/>
    <w:rsid w:val="008C7FF6"/>
    <w:rsid w:val="008E5D51"/>
    <w:rsid w:val="009123D7"/>
    <w:rsid w:val="00916532"/>
    <w:rsid w:val="00916EFC"/>
    <w:rsid w:val="00923C7E"/>
    <w:rsid w:val="00936704"/>
    <w:rsid w:val="0093697D"/>
    <w:rsid w:val="0094170D"/>
    <w:rsid w:val="009606BC"/>
    <w:rsid w:val="00967E57"/>
    <w:rsid w:val="00981D35"/>
    <w:rsid w:val="00994E59"/>
    <w:rsid w:val="009B3CA3"/>
    <w:rsid w:val="009B7DAD"/>
    <w:rsid w:val="009E0F85"/>
    <w:rsid w:val="009F6A34"/>
    <w:rsid w:val="00A066FB"/>
    <w:rsid w:val="00A148CE"/>
    <w:rsid w:val="00A24465"/>
    <w:rsid w:val="00A313B2"/>
    <w:rsid w:val="00A40610"/>
    <w:rsid w:val="00A4220E"/>
    <w:rsid w:val="00A44A63"/>
    <w:rsid w:val="00A45704"/>
    <w:rsid w:val="00A64A5B"/>
    <w:rsid w:val="00AA3427"/>
    <w:rsid w:val="00AC4579"/>
    <w:rsid w:val="00AD29A3"/>
    <w:rsid w:val="00AE22F5"/>
    <w:rsid w:val="00AF3C2A"/>
    <w:rsid w:val="00B14C37"/>
    <w:rsid w:val="00B51EE9"/>
    <w:rsid w:val="00B54440"/>
    <w:rsid w:val="00B554E7"/>
    <w:rsid w:val="00B556FC"/>
    <w:rsid w:val="00B7278F"/>
    <w:rsid w:val="00B72EA9"/>
    <w:rsid w:val="00B8370E"/>
    <w:rsid w:val="00B83714"/>
    <w:rsid w:val="00B87E5D"/>
    <w:rsid w:val="00BD49FB"/>
    <w:rsid w:val="00BD51D2"/>
    <w:rsid w:val="00BD7232"/>
    <w:rsid w:val="00BE1921"/>
    <w:rsid w:val="00C035B5"/>
    <w:rsid w:val="00C56F2C"/>
    <w:rsid w:val="00C66E1E"/>
    <w:rsid w:val="00C676BA"/>
    <w:rsid w:val="00C81AB4"/>
    <w:rsid w:val="00C857BF"/>
    <w:rsid w:val="00CA25CB"/>
    <w:rsid w:val="00CA6CB6"/>
    <w:rsid w:val="00CA786D"/>
    <w:rsid w:val="00D02C2F"/>
    <w:rsid w:val="00D2102C"/>
    <w:rsid w:val="00D260D0"/>
    <w:rsid w:val="00D36D52"/>
    <w:rsid w:val="00D56DEA"/>
    <w:rsid w:val="00D57B8A"/>
    <w:rsid w:val="00D60F0E"/>
    <w:rsid w:val="00D9150A"/>
    <w:rsid w:val="00DC516E"/>
    <w:rsid w:val="00E11567"/>
    <w:rsid w:val="00E3310A"/>
    <w:rsid w:val="00E33B9E"/>
    <w:rsid w:val="00E33C1C"/>
    <w:rsid w:val="00E34C27"/>
    <w:rsid w:val="00E40327"/>
    <w:rsid w:val="00E47041"/>
    <w:rsid w:val="00E77225"/>
    <w:rsid w:val="00E95973"/>
    <w:rsid w:val="00EB749E"/>
    <w:rsid w:val="00EC5ADC"/>
    <w:rsid w:val="00ED2437"/>
    <w:rsid w:val="00EE3803"/>
    <w:rsid w:val="00EF0982"/>
    <w:rsid w:val="00F0149B"/>
    <w:rsid w:val="00F03D28"/>
    <w:rsid w:val="00F21640"/>
    <w:rsid w:val="00F24554"/>
    <w:rsid w:val="00F8646A"/>
    <w:rsid w:val="00F876DE"/>
    <w:rsid w:val="00FC4F79"/>
    <w:rsid w:val="00FC5C73"/>
    <w:rsid w:val="00FF1750"/>
    <w:rsid w:val="00FF655F"/>
    <w:rsid w:val="07ED64FD"/>
    <w:rsid w:val="0FC21884"/>
    <w:rsid w:val="111A5F86"/>
    <w:rsid w:val="11FA587E"/>
    <w:rsid w:val="13BB51A2"/>
    <w:rsid w:val="1B69364D"/>
    <w:rsid w:val="1BCD70C6"/>
    <w:rsid w:val="224756FE"/>
    <w:rsid w:val="3F9D3CF8"/>
    <w:rsid w:val="41106989"/>
    <w:rsid w:val="493F74D5"/>
    <w:rsid w:val="49CD228A"/>
    <w:rsid w:val="4B154D62"/>
    <w:rsid w:val="4CCF1328"/>
    <w:rsid w:val="56D43705"/>
    <w:rsid w:val="59A821EB"/>
    <w:rsid w:val="5FAD1AA2"/>
    <w:rsid w:val="608157AF"/>
    <w:rsid w:val="67BB5392"/>
    <w:rsid w:val="6BEA4B5C"/>
    <w:rsid w:val="6D2124BE"/>
    <w:rsid w:val="719C00B6"/>
    <w:rsid w:val="77EE3E51"/>
    <w:rsid w:val="780B50FD"/>
    <w:rsid w:val="7D471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4">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styleId="27">
    <w:name w:val="Hyperlink"/>
    <w:basedOn w:val="24"/>
    <w:unhideWhenUsed/>
    <w:qFormat/>
    <w:uiPriority w:val="99"/>
    <w:rPr>
      <w:color w:val="F49100" w:themeColor="hyperlink"/>
      <w:u w:val="single"/>
      <w14:textFill>
        <w14:solidFill>
          <w14:schemeClr w14:val="hlink"/>
        </w14:solidFill>
      </w14:textFill>
    </w:rPr>
  </w:style>
  <w:style w:type="character" w:customStyle="1" w:styleId="28">
    <w:name w:val="标题 1 Char"/>
    <w:basedOn w:val="24"/>
    <w:link w:val="2"/>
    <w:qFormat/>
    <w:uiPriority w:val="9"/>
    <w:rPr>
      <w:rFonts w:asciiTheme="majorHAnsi" w:hAnsiTheme="majorHAnsi" w:eastAsiaTheme="majorEastAsia" w:cstheme="majorBidi"/>
      <w:b/>
      <w:bCs/>
      <w:caps/>
      <w:spacing w:val="4"/>
      <w:sz w:val="28"/>
      <w:szCs w:val="28"/>
    </w:rPr>
  </w:style>
  <w:style w:type="character" w:customStyle="1" w:styleId="29">
    <w:name w:val="标题 2 Char"/>
    <w:basedOn w:val="24"/>
    <w:link w:val="3"/>
    <w:semiHidden/>
    <w:qFormat/>
    <w:uiPriority w:val="9"/>
    <w:rPr>
      <w:rFonts w:asciiTheme="majorHAnsi" w:hAnsiTheme="majorHAnsi" w:eastAsiaTheme="majorEastAsia" w:cstheme="majorBidi"/>
      <w:b/>
      <w:bCs/>
      <w:sz w:val="28"/>
      <w:szCs w:val="28"/>
    </w:rPr>
  </w:style>
  <w:style w:type="character" w:customStyle="1" w:styleId="30">
    <w:name w:val="标题 3 Char"/>
    <w:basedOn w:val="24"/>
    <w:link w:val="4"/>
    <w:semiHidden/>
    <w:qFormat/>
    <w:uiPriority w:val="9"/>
    <w:rPr>
      <w:rFonts w:asciiTheme="majorHAnsi" w:hAnsiTheme="majorHAnsi" w:eastAsiaTheme="majorEastAsia" w:cstheme="majorBidi"/>
      <w:spacing w:val="4"/>
      <w:sz w:val="24"/>
      <w:szCs w:val="24"/>
    </w:rPr>
  </w:style>
  <w:style w:type="character" w:customStyle="1" w:styleId="31">
    <w:name w:val="标题 4 Char"/>
    <w:basedOn w:val="24"/>
    <w:link w:val="5"/>
    <w:semiHidden/>
    <w:qFormat/>
    <w:uiPriority w:val="9"/>
    <w:rPr>
      <w:rFonts w:asciiTheme="majorHAnsi" w:hAnsiTheme="majorHAnsi" w:eastAsiaTheme="majorEastAsia" w:cstheme="majorBidi"/>
      <w:i/>
      <w:iCs/>
      <w:sz w:val="24"/>
      <w:szCs w:val="24"/>
    </w:rPr>
  </w:style>
  <w:style w:type="character" w:customStyle="1" w:styleId="32">
    <w:name w:val="标题 5 Char"/>
    <w:basedOn w:val="24"/>
    <w:link w:val="6"/>
    <w:semiHidden/>
    <w:qFormat/>
    <w:uiPriority w:val="9"/>
    <w:rPr>
      <w:rFonts w:asciiTheme="majorHAnsi" w:hAnsiTheme="majorHAnsi" w:eastAsiaTheme="majorEastAsia" w:cstheme="majorBidi"/>
      <w:b/>
      <w:bCs/>
    </w:rPr>
  </w:style>
  <w:style w:type="character" w:customStyle="1" w:styleId="33">
    <w:name w:val="标题 6 Char"/>
    <w:basedOn w:val="24"/>
    <w:link w:val="7"/>
    <w:semiHidden/>
    <w:qFormat/>
    <w:uiPriority w:val="9"/>
    <w:rPr>
      <w:rFonts w:asciiTheme="majorHAnsi" w:hAnsiTheme="majorHAnsi" w:eastAsiaTheme="majorEastAsia" w:cstheme="majorBidi"/>
      <w:b/>
      <w:bCs/>
      <w:i/>
      <w:iCs/>
    </w:rPr>
  </w:style>
  <w:style w:type="character" w:customStyle="1" w:styleId="34">
    <w:name w:val="标题 7 Char"/>
    <w:basedOn w:val="24"/>
    <w:link w:val="8"/>
    <w:semiHidden/>
    <w:qFormat/>
    <w:uiPriority w:val="9"/>
    <w:rPr>
      <w:i/>
      <w:iCs/>
    </w:rPr>
  </w:style>
  <w:style w:type="character" w:customStyle="1" w:styleId="35">
    <w:name w:val="标题 8 Char"/>
    <w:basedOn w:val="24"/>
    <w:link w:val="9"/>
    <w:semiHidden/>
    <w:qFormat/>
    <w:uiPriority w:val="9"/>
    <w:rPr>
      <w:b/>
      <w:bCs/>
    </w:rPr>
  </w:style>
  <w:style w:type="character" w:customStyle="1" w:styleId="36">
    <w:name w:val="标题 9 Char"/>
    <w:basedOn w:val="24"/>
    <w:link w:val="10"/>
    <w:semiHidden/>
    <w:qFormat/>
    <w:uiPriority w:val="9"/>
    <w:rPr>
      <w:i/>
      <w:iCs/>
    </w:rPr>
  </w:style>
  <w:style w:type="character" w:customStyle="1" w:styleId="37">
    <w:name w:val="标题 Char"/>
    <w:basedOn w:val="24"/>
    <w:link w:val="22"/>
    <w:qFormat/>
    <w:uiPriority w:val="10"/>
    <w:rPr>
      <w:rFonts w:asciiTheme="majorHAnsi" w:hAnsiTheme="majorHAnsi" w:eastAsiaTheme="majorEastAsia" w:cstheme="majorBidi"/>
      <w:b/>
      <w:bCs/>
      <w:spacing w:val="-7"/>
      <w:sz w:val="48"/>
      <w:szCs w:val="48"/>
    </w:rPr>
  </w:style>
  <w:style w:type="character" w:customStyle="1" w:styleId="38">
    <w:name w:val="副标题 Char"/>
    <w:basedOn w:val="24"/>
    <w:link w:val="19"/>
    <w:qFormat/>
    <w:uiPriority w:val="11"/>
    <w:rPr>
      <w:rFonts w:asciiTheme="majorHAnsi" w:hAnsiTheme="majorHAnsi" w:eastAsiaTheme="majorEastAsia" w:cstheme="majorBidi"/>
      <w:sz w:val="24"/>
      <w:szCs w:val="24"/>
    </w:rPr>
  </w:style>
  <w:style w:type="paragraph" w:styleId="39">
    <w:name w:val="No Spacing"/>
    <w:link w:val="50"/>
    <w:qFormat/>
    <w:uiPriority w:val="1"/>
    <w:pPr>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Char"/>
    <w:basedOn w:val="24"/>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Char"/>
    <w:basedOn w:val="24"/>
    <w:link w:val="42"/>
    <w:qFormat/>
    <w:uiPriority w:val="30"/>
    <w:rPr>
      <w:rFonts w:asciiTheme="majorHAnsi" w:hAnsiTheme="majorHAnsi" w:eastAsiaTheme="majorEastAsia" w:cstheme="majorBidi"/>
      <w:sz w:val="26"/>
      <w:szCs w:val="26"/>
    </w:rPr>
  </w:style>
  <w:style w:type="character" w:customStyle="1" w:styleId="44">
    <w:name w:val="不明显强调1"/>
    <w:basedOn w:val="24"/>
    <w:qFormat/>
    <w:uiPriority w:val="19"/>
    <w:rPr>
      <w:i/>
      <w:iCs/>
      <w:color w:val="auto"/>
    </w:rPr>
  </w:style>
  <w:style w:type="character" w:customStyle="1" w:styleId="45">
    <w:name w:val="明显强调1"/>
    <w:basedOn w:val="24"/>
    <w:qFormat/>
    <w:uiPriority w:val="21"/>
    <w:rPr>
      <w:b/>
      <w:bCs/>
      <w:i/>
      <w:iCs/>
      <w:color w:val="auto"/>
    </w:rPr>
  </w:style>
  <w:style w:type="character" w:customStyle="1" w:styleId="46">
    <w:name w:val="不明显参考1"/>
    <w:basedOn w:val="24"/>
    <w:qFormat/>
    <w:uiPriority w:val="31"/>
    <w:rPr>
      <w:smallCaps/>
      <w:color w:val="auto"/>
      <w:u w:val="single" w:color="7E7E7E" w:themeColor="text1" w:themeTint="80"/>
    </w:rPr>
  </w:style>
  <w:style w:type="character" w:customStyle="1" w:styleId="47">
    <w:name w:val="明显参考1"/>
    <w:basedOn w:val="24"/>
    <w:qFormat/>
    <w:uiPriority w:val="32"/>
    <w:rPr>
      <w:b/>
      <w:bCs/>
      <w:smallCaps/>
      <w:color w:val="auto"/>
      <w:u w:val="single"/>
    </w:rPr>
  </w:style>
  <w:style w:type="character" w:customStyle="1" w:styleId="48">
    <w:name w:val="书籍标题1"/>
    <w:basedOn w:val="24"/>
    <w:qFormat/>
    <w:uiPriority w:val="33"/>
    <w:rPr>
      <w:b/>
      <w:bCs/>
      <w:smallCaps/>
      <w:color w:val="auto"/>
    </w:rPr>
  </w:style>
  <w:style w:type="paragraph" w:customStyle="1" w:styleId="49">
    <w:name w:val="TOC 标题1"/>
    <w:basedOn w:val="2"/>
    <w:next w:val="1"/>
    <w:unhideWhenUsed/>
    <w:qFormat/>
    <w:uiPriority w:val="39"/>
    <w:pPr>
      <w:outlineLvl w:val="9"/>
    </w:pPr>
  </w:style>
  <w:style w:type="character" w:customStyle="1" w:styleId="50">
    <w:name w:val="无间隔 Char"/>
    <w:basedOn w:val="24"/>
    <w:link w:val="39"/>
    <w:qFormat/>
    <w:uiPriority w:val="1"/>
  </w:style>
  <w:style w:type="paragraph" w:customStyle="1" w:styleId="5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2">
    <w:name w:val="页眉 Char"/>
    <w:basedOn w:val="24"/>
    <w:link w:val="17"/>
    <w:qFormat/>
    <w:uiPriority w:val="99"/>
    <w:rPr>
      <w:sz w:val="18"/>
      <w:szCs w:val="18"/>
    </w:rPr>
  </w:style>
  <w:style w:type="character" w:customStyle="1" w:styleId="53">
    <w:name w:val="页脚 Char"/>
    <w:basedOn w:val="24"/>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Char"/>
    <w:basedOn w:val="24"/>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Char1"/>
    <w:basedOn w:val="24"/>
    <w:link w:val="15"/>
    <w:semiHidden/>
    <w:qFormat/>
    <w:uiPriority w:val="99"/>
    <w:rPr>
      <w:rFonts w:hAnsi="Courier New" w:cs="Courier New" w:asciiTheme="minorEastAsia"/>
    </w:rPr>
  </w:style>
  <w:style w:type="character" w:customStyle="1" w:styleId="58">
    <w:name w:val="正文文本 Char"/>
    <w:basedOn w:val="24"/>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BF0782-9F72-4867-847B-814DBAF2897A}">
  <ds:schemaRefs/>
</ds:datastoreItem>
</file>

<file path=docProps/app.xml><?xml version="1.0" encoding="utf-8"?>
<Properties xmlns="http://schemas.openxmlformats.org/officeDocument/2006/extended-properties" xmlns:vt="http://schemas.openxmlformats.org/officeDocument/2006/docPropsVTypes">
  <Template>Normal</Template>
  <Pages>9</Pages>
  <Words>4138</Words>
  <Characters>4389</Characters>
  <Lines>34</Lines>
  <Paragraphs>9</Paragraphs>
  <TotalTime>1</TotalTime>
  <ScaleCrop>false</ScaleCrop>
  <LinksUpToDate>false</LinksUpToDate>
  <CharactersWithSpaces>4599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2022-04-19T02:38:00Z</dcterms:created>
  <dc:creator>树亮 门</dc:creator>
  <cp:lastModifiedBy>蔡君君</cp:lastModifiedBy>
  <dcterms:modified xsi:type="dcterms:W3CDTF">2022-04-19T07:03:56Z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7C9C37E12CD0483AAED58A7F7FE22725</vt:lpwstr>
  </property>
</Properties>
</file>