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仿宋" w:hAnsi="仿宋" w:eastAsia="仿宋"/>
          <w:b/>
          <w:sz w:val="72"/>
          <w:szCs w:val="72"/>
        </w:rPr>
      </w:pPr>
      <w:bookmarkStart w:id="0" w:name="_Hlk38472698"/>
      <w:r>
        <w:rPr>
          <w:rFonts w:hint="eastAsia" w:ascii="仿宋" w:hAnsi="仿宋" w:eastAsia="仿宋"/>
          <w:b/>
          <w:sz w:val="72"/>
          <w:szCs w:val="72"/>
        </w:rPr>
        <w:drawing>
          <wp:anchor distT="0" distB="0" distL="114300" distR="114300" simplePos="0" relativeHeight="251660288" behindDoc="0" locked="0" layoutInCell="1" allowOverlap="1">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rPr>
          <w:rFonts w:ascii="仿宋" w:hAnsi="仿宋" w:eastAsia="仿宋"/>
          <w:b/>
          <w:bCs w:val="0"/>
          <w:color w:val="auto"/>
          <w:sz w:val="44"/>
          <w:szCs w:val="44"/>
        </w:rPr>
      </w:pPr>
      <w:r>
        <w:rPr>
          <w:rFonts w:hint="eastAsia" w:ascii="仿宋" w:hAnsi="仿宋" w:eastAsia="仿宋"/>
          <w:b/>
          <w:bCs w:val="0"/>
          <w:color w:val="auto"/>
          <w:sz w:val="44"/>
          <w:szCs w:val="44"/>
        </w:rPr>
        <w:t>江西科技学院关于</w:t>
      </w:r>
      <w:bookmarkEnd w:id="0"/>
      <w:r>
        <w:rPr>
          <w:rFonts w:hint="eastAsia" w:ascii="仿宋" w:hAnsi="仿宋" w:eastAsia="仿宋"/>
          <w:b/>
          <w:bCs w:val="0"/>
          <w:color w:val="auto"/>
          <w:sz w:val="44"/>
          <w:szCs w:val="44"/>
          <w:lang w:val="en-US" w:eastAsia="zh-CN"/>
        </w:rPr>
        <w:t>2022年秋季招生简章印制</w:t>
      </w:r>
      <w:r>
        <w:rPr>
          <w:rFonts w:hint="eastAsia" w:ascii="仿宋" w:hAnsi="仿宋" w:eastAsia="仿宋"/>
          <w:b/>
          <w:bCs w:val="0"/>
          <w:color w:val="auto"/>
          <w:sz w:val="44"/>
          <w:szCs w:val="44"/>
        </w:rPr>
        <w:t>采购项目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1943" w:firstLineChars="645"/>
        <w:rPr>
          <w:rFonts w:hint="eastAsia" w:ascii="仿宋" w:hAnsi="仿宋" w:eastAsia="仿宋"/>
          <w:b/>
          <w:color w:val="auto"/>
          <w:sz w:val="30"/>
          <w:szCs w:val="30"/>
          <w:lang w:val="en-US" w:eastAsia="zh-CN"/>
        </w:rPr>
      </w:pPr>
      <w:r>
        <w:rPr>
          <w:rFonts w:hint="eastAsia" w:ascii="仿宋" w:hAnsi="仿宋" w:eastAsia="仿宋"/>
          <w:b/>
          <w:color w:val="auto"/>
          <w:sz w:val="30"/>
          <w:szCs w:val="30"/>
        </w:rPr>
        <w:t>项目编号：</w:t>
      </w:r>
      <w:bookmarkStart w:id="1" w:name="_Toc160880118"/>
      <w:bookmarkStart w:id="2" w:name="_Toc169332792"/>
      <w:bookmarkStart w:id="3" w:name="_Toc160880485"/>
      <w:r>
        <w:rPr>
          <w:rFonts w:hint="eastAsia" w:ascii="仿宋" w:hAnsi="仿宋" w:eastAsia="仿宋"/>
          <w:b/>
          <w:color w:val="auto"/>
          <w:sz w:val="30"/>
          <w:szCs w:val="30"/>
        </w:rPr>
        <w:t>JK202</w:t>
      </w:r>
      <w:r>
        <w:rPr>
          <w:rFonts w:hint="eastAsia" w:ascii="仿宋" w:hAnsi="仿宋" w:eastAsia="仿宋"/>
          <w:b/>
          <w:color w:val="auto"/>
          <w:sz w:val="30"/>
          <w:szCs w:val="30"/>
          <w:lang w:val="en-US" w:eastAsia="zh-CN"/>
        </w:rPr>
        <w:t>20506001</w:t>
      </w:r>
    </w:p>
    <w:p>
      <w:pPr>
        <w:spacing w:line="500" w:lineRule="exact"/>
        <w:ind w:firstLine="1943" w:firstLineChars="645"/>
        <w:rPr>
          <w:rFonts w:ascii="仿宋" w:hAnsi="仿宋" w:eastAsia="仿宋"/>
          <w:b/>
          <w:color w:val="auto"/>
          <w:sz w:val="32"/>
          <w:szCs w:val="32"/>
        </w:rPr>
      </w:pPr>
      <w:r>
        <w:rPr>
          <w:rFonts w:hint="eastAsia" w:ascii="仿宋" w:hAnsi="仿宋" w:eastAsia="仿宋"/>
          <w:b/>
          <w:color w:val="auto"/>
          <w:sz w:val="30"/>
          <w:szCs w:val="30"/>
        </w:rPr>
        <w:t>项目名称</w:t>
      </w:r>
      <w:bookmarkEnd w:id="1"/>
      <w:bookmarkEnd w:id="2"/>
      <w:bookmarkEnd w:id="3"/>
      <w:r>
        <w:rPr>
          <w:rFonts w:hint="eastAsia" w:ascii="仿宋" w:hAnsi="仿宋" w:eastAsia="仿宋"/>
          <w:b/>
          <w:color w:val="auto"/>
          <w:sz w:val="30"/>
          <w:szCs w:val="30"/>
        </w:rPr>
        <w:t>：</w:t>
      </w:r>
      <w:bookmarkStart w:id="4" w:name="_Toc212530253"/>
      <w:bookmarkStart w:id="5" w:name="_Toc236021402"/>
      <w:bookmarkStart w:id="6" w:name="_Toc160880487"/>
      <w:bookmarkStart w:id="7" w:name="_Toc259692693"/>
      <w:bookmarkStart w:id="8" w:name="_Toc266868624"/>
      <w:bookmarkStart w:id="9" w:name="_Toc212526081"/>
      <w:bookmarkStart w:id="10" w:name="_Toc253066567"/>
      <w:bookmarkStart w:id="11" w:name="_Toc267059161"/>
      <w:bookmarkStart w:id="12" w:name="_Toc227058483"/>
      <w:bookmarkStart w:id="13" w:name="_Toc251586187"/>
      <w:bookmarkStart w:id="14" w:name="_Toc273178686"/>
      <w:bookmarkStart w:id="15" w:name="_Toc212456146"/>
      <w:bookmarkStart w:id="16" w:name="_Toc266870386"/>
      <w:bookmarkStart w:id="17" w:name="_Toc267060022"/>
      <w:bookmarkStart w:id="18" w:name="_Toc207014580"/>
      <w:bookmarkStart w:id="19" w:name="_Toc235438297"/>
      <w:bookmarkStart w:id="20" w:name="_Toc211937196"/>
      <w:bookmarkStart w:id="21" w:name="_Toc251613780"/>
      <w:bookmarkStart w:id="22" w:name="_Toc235437942"/>
      <w:bookmarkStart w:id="23" w:name="_Toc258401210"/>
      <w:bookmarkStart w:id="24" w:name="_Toc267060162"/>
      <w:bookmarkStart w:id="25" w:name="_Toc254790852"/>
      <w:bookmarkStart w:id="26" w:name="_Toc216241307"/>
      <w:bookmarkStart w:id="27" w:name="_Toc266868924"/>
      <w:bookmarkStart w:id="28" w:name="_Toc267059899"/>
      <w:bookmarkStart w:id="29" w:name="_Toc212454753"/>
      <w:bookmarkStart w:id="30" w:name="_Toc170798743"/>
      <w:bookmarkStart w:id="31" w:name="_Toc225669277"/>
      <w:bookmarkStart w:id="32" w:name="_Toc267060407"/>
      <w:bookmarkStart w:id="33" w:name="_Toc259520819"/>
      <w:bookmarkStart w:id="34" w:name="_Toc267059010"/>
      <w:bookmarkStart w:id="35" w:name="_Toc259692600"/>
      <w:bookmarkStart w:id="36" w:name="_Toc219800200"/>
      <w:bookmarkStart w:id="37" w:name="_Toc235438227"/>
      <w:bookmarkStart w:id="38" w:name="_Toc249325665"/>
      <w:bookmarkStart w:id="39" w:name="_Toc169332794"/>
      <w:bookmarkStart w:id="40" w:name="_Toc266870861"/>
      <w:bookmarkStart w:id="41" w:name="_Toc267059786"/>
      <w:bookmarkStart w:id="42" w:name="_Toc223146565"/>
      <w:bookmarkStart w:id="43" w:name="_Toc169332904"/>
      <w:bookmarkStart w:id="44" w:name="_Toc255974963"/>
      <w:bookmarkStart w:id="45" w:name="_Toc177985424"/>
      <w:bookmarkStart w:id="46" w:name="_Toc267059633"/>
      <w:bookmarkStart w:id="47" w:name="_Toc267059519"/>
      <w:bookmarkStart w:id="48" w:name="_Toc217891359"/>
      <w:r>
        <w:rPr>
          <w:rFonts w:hint="eastAsia" w:ascii="仿宋" w:hAnsi="仿宋" w:eastAsia="仿宋"/>
          <w:b/>
          <w:color w:val="auto"/>
          <w:sz w:val="30"/>
          <w:szCs w:val="30"/>
          <w:lang w:val="en-US" w:eastAsia="zh-CN"/>
        </w:rPr>
        <w:t>2022年秋季招生简章印制</w:t>
      </w:r>
      <w:r>
        <w:rPr>
          <w:rFonts w:hint="eastAsia" w:ascii="仿宋" w:hAnsi="仿宋" w:eastAsia="仿宋"/>
          <w:b/>
          <w:color w:val="auto"/>
          <w:sz w:val="32"/>
          <w:szCs w:val="32"/>
        </w:rPr>
        <w:t>采购项目</w:t>
      </w:r>
    </w:p>
    <w:p>
      <w:pPr>
        <w:spacing w:line="500" w:lineRule="exact"/>
        <w:ind w:firstLine="1943" w:firstLineChars="645"/>
        <w:rPr>
          <w:rFonts w:ascii="仿宋" w:hAnsi="仿宋" w:eastAsia="仿宋"/>
          <w:b/>
          <w:color w:val="auto"/>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6" w:bottom="1440" w:left="1134" w:header="851" w:footer="680" w:gutter="0"/>
          <w:cols w:space="425" w:num="1"/>
          <w:titlePg/>
          <w:docGrid w:type="lines" w:linePitch="312" w:charSpace="0"/>
        </w:sectPr>
      </w:pP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jc w:val="left"/>
        <w:rPr>
          <w:rFonts w:ascii="仿宋" w:hAnsi="仿宋" w:eastAsia="仿宋" w:cs="Times New Roman"/>
          <w:color w:val="auto"/>
          <w:sz w:val="28"/>
          <w:szCs w:val="28"/>
        </w:rPr>
      </w:pPr>
      <w:bookmarkStart w:id="49" w:name="_Hlk10840310"/>
      <w:r>
        <w:rPr>
          <w:rFonts w:hint="eastAsia" w:ascii="仿宋" w:hAnsi="仿宋" w:eastAsia="仿宋" w:cs="仿宋"/>
          <w:i w:val="0"/>
          <w:iCs w:val="0"/>
          <w:caps w:val="0"/>
          <w:color w:val="auto"/>
          <w:spacing w:val="0"/>
          <w:sz w:val="28"/>
          <w:szCs w:val="28"/>
          <w:shd w:val="clear" w:fill="FFFFFF"/>
        </w:rPr>
        <w:t>江西科技学院是一所以工学、管理学、艺术学为主，多学科协调发展的全日制民办普通本科高校，具有颁发国家承认的统招本、专科学历资格，并具有学士学位授予权。学校坐落在享有“英雄城”美誉的江南历史文化名城、江西省省会城市——南昌。校园占地面积2000余亩，建筑面积约85万平方米。</w:t>
      </w:r>
      <w:r>
        <w:rPr>
          <w:rFonts w:hint="eastAsia" w:ascii="仿宋" w:hAnsi="仿宋" w:eastAsia="仿宋" w:cs="仿宋"/>
          <w:color w:val="auto"/>
          <w:sz w:val="28"/>
          <w:szCs w:val="28"/>
        </w:rPr>
        <w:t>按照公开、公平、公正的原则，经学校研究决定，将江西科技学院</w:t>
      </w:r>
      <w:r>
        <w:rPr>
          <w:rFonts w:hint="eastAsia" w:ascii="仿宋" w:hAnsi="仿宋" w:eastAsia="仿宋" w:cs="仿宋"/>
          <w:b w:val="0"/>
          <w:bCs w:val="0"/>
          <w:color w:val="auto"/>
          <w:sz w:val="28"/>
          <w:szCs w:val="28"/>
          <w:lang w:val="en-US" w:eastAsia="zh-CN"/>
        </w:rPr>
        <w:t>2022年秋季招生简章印制采购项目</w:t>
      </w:r>
      <w:r>
        <w:rPr>
          <w:rFonts w:hint="eastAsia" w:ascii="仿宋" w:hAnsi="仿宋" w:eastAsia="仿宋" w:cs="仿宋"/>
          <w:color w:val="auto"/>
          <w:sz w:val="28"/>
          <w:szCs w:val="28"/>
        </w:rPr>
        <w:t>公开询价信息公布，欢迎国内合格的供应商参与,校内教职工均可推荐符合条件的供应商来参与。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ind w:left="859" w:leftChars="0" w:firstLineChars="0"/>
        <w:rPr>
          <w:rFonts w:hint="default" w:ascii="仿宋" w:hAnsi="仿宋" w:eastAsia="仿宋"/>
          <w:b w:val="0"/>
          <w:bCs w:val="0"/>
          <w:color w:val="auto"/>
          <w:sz w:val="28"/>
          <w:szCs w:val="28"/>
          <w:lang w:val="en-US"/>
        </w:rPr>
      </w:pPr>
      <w:r>
        <w:rPr>
          <w:rFonts w:hint="eastAsia" w:ascii="仿宋" w:hAnsi="仿宋" w:eastAsia="仿宋"/>
          <w:b w:val="0"/>
          <w:bCs w:val="0"/>
          <w:color w:val="auto"/>
          <w:sz w:val="28"/>
          <w:szCs w:val="28"/>
        </w:rPr>
        <w:t>项目编号：JK202</w:t>
      </w:r>
      <w:r>
        <w:rPr>
          <w:rFonts w:hint="eastAsia" w:ascii="仿宋" w:hAnsi="仿宋" w:eastAsia="仿宋"/>
          <w:b w:val="0"/>
          <w:bCs w:val="0"/>
          <w:color w:val="auto"/>
          <w:sz w:val="28"/>
          <w:szCs w:val="28"/>
          <w:lang w:val="en-US" w:eastAsia="zh-CN"/>
        </w:rPr>
        <w:t>20506001</w:t>
      </w:r>
    </w:p>
    <w:p>
      <w:pPr>
        <w:widowControl w:val="0"/>
        <w:numPr>
          <w:ilvl w:val="1"/>
          <w:numId w:val="1"/>
        </w:numPr>
        <w:spacing w:after="0" w:line="500" w:lineRule="exact"/>
        <w:ind w:left="859" w:leftChars="0" w:firstLineChars="0"/>
        <w:rPr>
          <w:rFonts w:hint="default" w:ascii="仿宋" w:hAnsi="仿宋" w:eastAsia="仿宋"/>
          <w:b w:val="0"/>
          <w:bCs w:val="0"/>
          <w:color w:val="auto"/>
          <w:sz w:val="28"/>
          <w:szCs w:val="28"/>
          <w:lang w:val="en-US"/>
        </w:rPr>
      </w:pPr>
      <w:r>
        <w:rPr>
          <w:rFonts w:hint="eastAsia" w:ascii="仿宋" w:hAnsi="仿宋" w:eastAsia="仿宋"/>
          <w:b w:val="0"/>
          <w:bCs w:val="0"/>
          <w:color w:val="auto"/>
          <w:sz w:val="28"/>
          <w:szCs w:val="28"/>
          <w:lang w:val="en-US" w:eastAsia="zh-CN"/>
        </w:rPr>
        <w:t>项目名称：2022年秋季招生简章印制采购项目</w:t>
      </w:r>
    </w:p>
    <w:p>
      <w:pPr>
        <w:widowControl w:val="0"/>
        <w:numPr>
          <w:ilvl w:val="1"/>
          <w:numId w:val="1"/>
        </w:numPr>
        <w:spacing w:after="0" w:line="500" w:lineRule="exact"/>
        <w:ind w:left="859" w:leftChars="0" w:firstLineChars="0"/>
        <w:rPr>
          <w:rFonts w:ascii="仿宋" w:hAnsi="仿宋" w:eastAsia="仿宋"/>
          <w:color w:val="auto"/>
          <w:sz w:val="28"/>
          <w:szCs w:val="28"/>
        </w:rPr>
      </w:pPr>
      <w:r>
        <w:rPr>
          <w:rFonts w:hint="eastAsia" w:ascii="仿宋" w:hAnsi="仿宋" w:eastAsia="仿宋"/>
          <w:color w:val="auto"/>
          <w:sz w:val="28"/>
          <w:szCs w:val="28"/>
        </w:rPr>
        <w:t>数量及主要技术要求:详见附件。</w:t>
      </w:r>
    </w:p>
    <w:p>
      <w:pPr>
        <w:widowControl w:val="0"/>
        <w:numPr>
          <w:ilvl w:val="1"/>
          <w:numId w:val="1"/>
        </w:numPr>
        <w:spacing w:after="0" w:line="500" w:lineRule="exact"/>
        <w:ind w:left="859" w:leftChars="0" w:firstLineChars="0"/>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（1）参与人应具有独立法人资格，具有独立承担民事责任能力的生产厂商或授权代理商。</w:t>
      </w:r>
    </w:p>
    <w:p>
      <w:pPr>
        <w:spacing w:after="0" w:line="500" w:lineRule="exact"/>
        <w:ind w:left="1410" w:leftChars="322" w:hanging="702" w:hangingChars="251"/>
        <w:jc w:val="left"/>
        <w:rPr>
          <w:rFonts w:hint="eastAsia" w:ascii="仿宋" w:hAnsi="仿宋" w:eastAsia="仿宋" w:cs="Times New Roman"/>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w:t>
      </w:r>
      <w:r>
        <w:rPr>
          <w:rFonts w:hint="eastAsia" w:ascii="仿宋" w:hAnsi="仿宋" w:eastAsia="仿宋" w:cs="Times New Roman"/>
          <w:color w:val="auto"/>
          <w:sz w:val="28"/>
          <w:szCs w:val="28"/>
        </w:rPr>
        <w:t>提供广告、设计、宣传等业务资质能力</w:t>
      </w:r>
      <w:r>
        <w:rPr>
          <w:rFonts w:hint="eastAsia" w:ascii="仿宋" w:hAnsi="仿宋" w:eastAsia="仿宋" w:cs="Times New Roman"/>
          <w:color w:val="auto"/>
          <w:sz w:val="28"/>
          <w:szCs w:val="28"/>
          <w:lang w:eastAsia="zh-CN"/>
        </w:rPr>
        <w:t>证明材料</w:t>
      </w:r>
      <w:r>
        <w:rPr>
          <w:rFonts w:hint="eastAsia" w:ascii="仿宋" w:hAnsi="仿宋" w:eastAsia="仿宋" w:cs="Times New Roman"/>
          <w:color w:val="auto"/>
          <w:sz w:val="28"/>
          <w:szCs w:val="28"/>
        </w:rPr>
        <w:t>。在南昌市范围有固定服务机构。</w:t>
      </w:r>
    </w:p>
    <w:p>
      <w:pPr>
        <w:spacing w:after="0" w:line="500" w:lineRule="exact"/>
        <w:ind w:left="1410" w:leftChars="322" w:hanging="702" w:hangingChars="251"/>
        <w:jc w:val="left"/>
        <w:rPr>
          <w:rFonts w:hint="eastAsia" w:ascii="仿宋" w:hAnsi="仿宋" w:eastAsia="仿宋" w:cs="Times New Roman"/>
          <w:color w:val="auto"/>
          <w:sz w:val="28"/>
          <w:szCs w:val="28"/>
        </w:rPr>
      </w:pPr>
      <w:r>
        <w:rPr>
          <w:rFonts w:hint="eastAsia" w:ascii="仿宋" w:hAnsi="仿宋" w:eastAsia="仿宋" w:cs="Times New Roman"/>
          <w:color w:val="auto"/>
          <w:sz w:val="28"/>
          <w:szCs w:val="28"/>
        </w:rPr>
        <w:t>（3）参与人应遵守中国的有关法律、法规和规章的规定。</w:t>
      </w:r>
    </w:p>
    <w:p>
      <w:pPr>
        <w:spacing w:after="0" w:line="500" w:lineRule="exact"/>
        <w:ind w:left="1410" w:leftChars="322" w:hanging="702" w:hangingChars="251"/>
        <w:jc w:val="left"/>
        <w:rPr>
          <w:rFonts w:hint="eastAsia" w:ascii="仿宋" w:hAnsi="仿宋" w:eastAsia="仿宋" w:cs="Times New Roman"/>
          <w:color w:val="auto"/>
          <w:sz w:val="28"/>
          <w:szCs w:val="28"/>
        </w:rPr>
      </w:pPr>
      <w:r>
        <w:rPr>
          <w:rFonts w:hint="eastAsia" w:ascii="仿宋" w:hAnsi="仿宋" w:eastAsia="仿宋" w:cs="Times New Roman"/>
          <w:color w:val="auto"/>
          <w:sz w:val="28"/>
          <w:szCs w:val="28"/>
        </w:rPr>
        <w:t>（4）参与人具有</w:t>
      </w:r>
      <w:r>
        <w:rPr>
          <w:rFonts w:hint="eastAsia" w:ascii="仿宋" w:hAnsi="仿宋" w:eastAsia="仿宋" w:cs="Times New Roman"/>
          <w:color w:val="auto"/>
          <w:sz w:val="28"/>
          <w:szCs w:val="28"/>
          <w:lang w:eastAsia="zh-CN"/>
        </w:rPr>
        <w:t>高校招生简章印制</w:t>
      </w:r>
      <w:r>
        <w:rPr>
          <w:rFonts w:hint="eastAsia" w:ascii="仿宋" w:hAnsi="仿宋" w:eastAsia="仿宋" w:cs="Times New Roman"/>
          <w:color w:val="auto"/>
          <w:sz w:val="28"/>
          <w:szCs w:val="28"/>
        </w:rPr>
        <w:t>类项目和良好的售后服务应用成功案例,近三年未发生重大安全或质量事故。</w:t>
      </w:r>
    </w:p>
    <w:p>
      <w:pPr>
        <w:spacing w:after="0" w:line="500" w:lineRule="exact"/>
        <w:ind w:left="1410" w:leftChars="322" w:hanging="702" w:hangingChars="251"/>
        <w:jc w:val="left"/>
        <w:rPr>
          <w:rFonts w:hint="eastAsia" w:ascii="仿宋" w:hAnsi="仿宋" w:eastAsia="仿宋" w:cs="Times New Roman"/>
          <w:color w:val="auto"/>
          <w:sz w:val="28"/>
          <w:szCs w:val="28"/>
        </w:rPr>
      </w:pPr>
      <w:r>
        <w:rPr>
          <w:rFonts w:hint="eastAsia" w:ascii="仿宋" w:hAnsi="仿宋" w:eastAsia="仿宋" w:cs="Times New Roman"/>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（6）参与人有依法缴纳税金的良好记录。</w:t>
      </w:r>
    </w:p>
    <w:p>
      <w:pPr>
        <w:widowControl w:val="0"/>
        <w:numPr>
          <w:ilvl w:val="1"/>
          <w:numId w:val="1"/>
        </w:numPr>
        <w:spacing w:after="0" w:line="500" w:lineRule="exact"/>
        <w:ind w:left="859" w:leftChars="0" w:firstLineChars="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rPr>
        <w:t>报价响应文件递交方式：密封报价，按规定时间送达或邮寄。</w:t>
      </w:r>
    </w:p>
    <w:p>
      <w:pPr>
        <w:widowControl w:val="0"/>
        <w:numPr>
          <w:ilvl w:val="1"/>
          <w:numId w:val="1"/>
        </w:numPr>
        <w:spacing w:after="0" w:line="500" w:lineRule="exact"/>
        <w:ind w:left="859" w:leftChars="0" w:firstLineChars="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rPr>
        <w:t>报价响应文件递交截止时间</w:t>
      </w:r>
      <w:r>
        <w:rPr>
          <w:rFonts w:hint="eastAsia" w:ascii="仿宋" w:hAnsi="仿宋" w:eastAsia="仿宋" w:cs="仿宋"/>
          <w:color w:val="auto"/>
          <w:sz w:val="28"/>
          <w:szCs w:val="28"/>
          <w:shd w:val="clear" w:color="auto" w:fill="FFFFFF"/>
        </w:rPr>
        <w:t>：</w:t>
      </w:r>
      <w:r>
        <w:rPr>
          <w:rFonts w:hint="eastAsia" w:ascii="仿宋" w:hAnsi="仿宋" w:eastAsia="仿宋" w:cs="仿宋"/>
          <w:color w:val="auto"/>
          <w:sz w:val="28"/>
          <w:szCs w:val="28"/>
          <w:shd w:val="clear" w:color="auto" w:fill="FFFFFF"/>
          <w:lang w:val="en-US" w:eastAsia="zh-CN"/>
        </w:rPr>
        <w:t>2022</w:t>
      </w:r>
      <w:r>
        <w:rPr>
          <w:rFonts w:hint="eastAsia" w:ascii="仿宋" w:hAnsi="仿宋" w:eastAsia="仿宋" w:cs="仿宋"/>
          <w:color w:val="auto"/>
          <w:sz w:val="28"/>
          <w:szCs w:val="28"/>
          <w:shd w:val="clear" w:color="auto" w:fill="FFFFFF"/>
        </w:rPr>
        <w:t>年</w:t>
      </w:r>
      <w:r>
        <w:rPr>
          <w:rFonts w:hint="eastAsia" w:ascii="仿宋" w:hAnsi="仿宋" w:eastAsia="仿宋" w:cs="仿宋"/>
          <w:color w:val="auto"/>
          <w:sz w:val="28"/>
          <w:szCs w:val="28"/>
          <w:shd w:val="clear" w:color="auto" w:fill="FFFFFF"/>
          <w:lang w:val="en-US" w:eastAsia="zh-CN"/>
        </w:rPr>
        <w:t>5</w:t>
      </w:r>
      <w:r>
        <w:rPr>
          <w:rFonts w:hint="eastAsia" w:ascii="仿宋" w:hAnsi="仿宋" w:eastAsia="仿宋" w:cs="仿宋"/>
          <w:color w:val="auto"/>
          <w:sz w:val="28"/>
          <w:szCs w:val="28"/>
          <w:shd w:val="clear" w:color="auto" w:fill="FFFFFF"/>
        </w:rPr>
        <w:t>月</w:t>
      </w:r>
      <w:r>
        <w:rPr>
          <w:rFonts w:hint="eastAsia" w:ascii="仿宋" w:hAnsi="仿宋" w:eastAsia="仿宋" w:cs="仿宋"/>
          <w:color w:val="auto"/>
          <w:sz w:val="28"/>
          <w:szCs w:val="28"/>
          <w:shd w:val="clear" w:color="auto" w:fill="FFFFFF"/>
          <w:lang w:val="en-US" w:eastAsia="zh-CN"/>
        </w:rPr>
        <w:t>13</w:t>
      </w:r>
      <w:r>
        <w:rPr>
          <w:rFonts w:hint="eastAsia" w:ascii="仿宋" w:hAnsi="仿宋" w:eastAsia="仿宋" w:cs="仿宋"/>
          <w:color w:val="auto"/>
          <w:sz w:val="28"/>
          <w:szCs w:val="28"/>
          <w:shd w:val="clear" w:color="auto" w:fill="FFFFFF"/>
        </w:rPr>
        <w:t>日下午16:00前</w:t>
      </w:r>
    </w:p>
    <w:p>
      <w:pPr>
        <w:pStyle w:val="56"/>
        <w:numPr>
          <w:ilvl w:val="1"/>
          <w:numId w:val="1"/>
        </w:numPr>
        <w:spacing w:after="0" w:line="500" w:lineRule="exact"/>
        <w:ind w:left="859" w:leftChars="0" w:firstLineChars="0"/>
        <w:rPr>
          <w:rFonts w:hint="eastAsia" w:ascii="仿宋" w:hAnsi="仿宋" w:eastAsia="仿宋" w:cs="仿宋"/>
          <w:color w:val="auto"/>
          <w:sz w:val="28"/>
          <w:szCs w:val="28"/>
        </w:rPr>
      </w:pPr>
      <w:r>
        <w:rPr>
          <w:rFonts w:hint="eastAsia" w:ascii="仿宋" w:hAnsi="仿宋" w:eastAsia="仿宋" w:cs="仿宋"/>
          <w:color w:val="auto"/>
          <w:sz w:val="28"/>
          <w:szCs w:val="28"/>
        </w:rPr>
        <w:t>报价响应文件递交地点：</w:t>
      </w:r>
      <w:r>
        <w:rPr>
          <w:rFonts w:hint="eastAsia" w:ascii="仿宋" w:hAnsi="仿宋" w:eastAsia="仿宋" w:cs="仿宋"/>
          <w:color w:val="auto"/>
          <w:sz w:val="28"/>
          <w:szCs w:val="28"/>
          <w:lang w:eastAsia="zh-CN"/>
        </w:rPr>
        <w:t>后勤中心</w:t>
      </w:r>
      <w:r>
        <w:rPr>
          <w:rFonts w:hint="eastAsia" w:ascii="仿宋" w:hAnsi="仿宋" w:eastAsia="仿宋" w:cs="仿宋"/>
          <w:color w:val="auto"/>
          <w:sz w:val="28"/>
          <w:szCs w:val="28"/>
          <w:lang w:val="en-US" w:eastAsia="zh-CN"/>
        </w:rPr>
        <w:t>306</w:t>
      </w:r>
    </w:p>
    <w:p>
      <w:pPr>
        <w:pStyle w:val="56"/>
        <w:spacing w:after="0" w:line="500" w:lineRule="exact"/>
        <w:ind w:left="839"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eastAsia="zh-CN"/>
        </w:rPr>
        <w:t>吴礼平</w:t>
      </w: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18070125196</w:t>
      </w:r>
    </w:p>
    <w:p>
      <w:pPr>
        <w:pStyle w:val="56"/>
        <w:spacing w:after="0" w:line="500" w:lineRule="exact"/>
        <w:ind w:left="480" w:leftChars="218" w:firstLine="0" w:firstLineChars="0"/>
        <w:rPr>
          <w:rFonts w:hint="default" w:ascii="仿宋" w:hAnsi="仿宋" w:eastAsia="仿宋" w:cs="仿宋"/>
          <w:color w:val="auto"/>
          <w:sz w:val="28"/>
          <w:szCs w:val="28"/>
          <w:lang w:val="en-US" w:eastAsia="zh-CN"/>
        </w:rPr>
      </w:pPr>
      <w:r>
        <w:rPr>
          <w:rFonts w:hint="eastAsia" w:ascii="仿宋" w:hAnsi="仿宋" w:eastAsia="仿宋"/>
          <w:color w:val="auto"/>
          <w:sz w:val="28"/>
          <w:szCs w:val="28"/>
          <w:lang w:val="en-US" w:eastAsia="zh-CN"/>
        </w:rPr>
        <w:t>8.</w:t>
      </w:r>
      <w:r>
        <w:rPr>
          <w:rFonts w:hint="eastAsia" w:ascii="仿宋" w:hAnsi="仿宋" w:eastAsia="仿宋"/>
          <w:color w:val="auto"/>
          <w:sz w:val="28"/>
          <w:szCs w:val="28"/>
        </w:rPr>
        <w:t>本项目需参与人在递交响应文件同时提供所投产品样品，成交参与人样品视情况予以封存或退回。</w:t>
      </w:r>
    </w:p>
    <w:p>
      <w:pPr>
        <w:widowControl w:val="0"/>
        <w:numPr>
          <w:ilvl w:val="0"/>
          <w:numId w:val="0"/>
        </w:numPr>
        <w:spacing w:after="0" w:line="500" w:lineRule="exact"/>
        <w:ind w:left="440" w:leftChars="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参加本项目的参与人如对</w:t>
      </w:r>
      <w:r>
        <w:rPr>
          <w:rFonts w:hint="eastAsia" w:ascii="仿宋" w:hAnsi="仿宋" w:eastAsia="仿宋" w:cs="仿宋"/>
          <w:b/>
          <w:bCs/>
          <w:color w:val="auto"/>
          <w:sz w:val="28"/>
          <w:szCs w:val="28"/>
        </w:rPr>
        <w:t>公开询价邀请函列示内容存有疑问的</w:t>
      </w:r>
      <w:r>
        <w:rPr>
          <w:rFonts w:hint="eastAsia" w:ascii="仿宋" w:hAnsi="仿宋" w:eastAsia="仿宋" w:cs="仿宋"/>
          <w:color w:val="auto"/>
          <w:sz w:val="28"/>
          <w:szCs w:val="28"/>
        </w:rPr>
        <w:t>，请在报价响应文件递交截止之日前，将问题以书面形式（有效签署的原件并加盖公章）提交至学校业务对接人，联系人：</w:t>
      </w:r>
      <w:r>
        <w:rPr>
          <w:rFonts w:hint="eastAsia" w:ascii="仿宋" w:hAnsi="仿宋" w:eastAsia="仿宋" w:cs="仿宋"/>
          <w:color w:val="auto"/>
          <w:sz w:val="28"/>
          <w:szCs w:val="28"/>
          <w:lang w:eastAsia="zh-CN"/>
        </w:rPr>
        <w:t>李若书</w:t>
      </w:r>
      <w:r>
        <w:rPr>
          <w:rFonts w:hint="eastAsia" w:ascii="仿宋" w:hAnsi="仿宋" w:eastAsia="仿宋" w:cs="仿宋"/>
          <w:color w:val="auto"/>
          <w:sz w:val="28"/>
          <w:szCs w:val="28"/>
        </w:rPr>
        <w:t>，电话：</w:t>
      </w:r>
      <w:r>
        <w:rPr>
          <w:rFonts w:hint="eastAsia" w:ascii="仿宋" w:hAnsi="仿宋" w:eastAsia="仿宋" w:cs="仿宋"/>
          <w:color w:val="auto"/>
          <w:sz w:val="28"/>
          <w:szCs w:val="28"/>
          <w:lang w:val="en-US" w:eastAsia="zh-CN"/>
        </w:rPr>
        <w:t>18382066136</w:t>
      </w:r>
      <w:r>
        <w:rPr>
          <w:rFonts w:hint="eastAsia" w:ascii="仿宋" w:hAnsi="仿宋" w:eastAsia="仿宋" w:cs="仿宋"/>
          <w:color w:val="auto"/>
          <w:sz w:val="28"/>
          <w:szCs w:val="28"/>
        </w:rPr>
        <w:t>。采购人不对超时提交及未加盖公章的质疑文件进行回复。</w:t>
      </w:r>
    </w:p>
    <w:p>
      <w:pPr>
        <w:widowControl w:val="0"/>
        <w:numPr>
          <w:ilvl w:val="0"/>
          <w:numId w:val="0"/>
        </w:numPr>
        <w:spacing w:after="0" w:line="460" w:lineRule="exact"/>
        <w:ind w:left="440" w:leftChars="0"/>
        <w:rPr>
          <w:rFonts w:hint="eastAsia" w:ascii="仿宋" w:hAnsi="仿宋" w:eastAsia="仿宋" w:cs="仿宋"/>
          <w:color w:val="auto"/>
          <w:sz w:val="28"/>
          <w:szCs w:val="28"/>
        </w:rPr>
      </w:pPr>
      <w:bookmarkStart w:id="50" w:name="_Hlk97917519"/>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本项目最终成交结果会在中教集团后勤贤知平台“中标信息公示”板块公示，网址：</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"http://www.ceghqxz.com" </w:instrText>
      </w:r>
      <w:r>
        <w:rPr>
          <w:rFonts w:hint="eastAsia" w:ascii="仿宋" w:hAnsi="仿宋" w:eastAsia="仿宋" w:cs="仿宋"/>
          <w:color w:val="auto"/>
          <w:sz w:val="28"/>
          <w:szCs w:val="28"/>
        </w:rPr>
        <w:fldChar w:fldCharType="separate"/>
      </w:r>
      <w:r>
        <w:rPr>
          <w:rStyle w:val="29"/>
          <w:rFonts w:hint="eastAsia" w:ascii="仿宋" w:hAnsi="仿宋" w:eastAsia="仿宋" w:cs="仿宋"/>
          <w:color w:val="auto"/>
          <w:sz w:val="28"/>
          <w:szCs w:val="28"/>
        </w:rPr>
        <w:t>www.ceghqxz.com</w:t>
      </w:r>
      <w:r>
        <w:rPr>
          <w:rStyle w:val="29"/>
          <w:rFonts w:hint="eastAsia" w:ascii="仿宋" w:hAnsi="仿宋" w:eastAsia="仿宋" w:cs="仿宋"/>
          <w:color w:val="auto"/>
          <w:sz w:val="28"/>
          <w:szCs w:val="28"/>
        </w:rPr>
        <w:fldChar w:fldCharType="end"/>
      </w:r>
      <w:r>
        <w:rPr>
          <w:rFonts w:hint="eastAsia" w:ascii="仿宋" w:hAnsi="仿宋" w:eastAsia="仿宋" w:cs="仿宋"/>
          <w:color w:val="auto"/>
          <w:sz w:val="28"/>
          <w:szCs w:val="28"/>
        </w:rPr>
        <w:t>。参加本项目的参与人如对</w:t>
      </w:r>
      <w:r>
        <w:rPr>
          <w:rFonts w:hint="eastAsia" w:ascii="仿宋" w:hAnsi="仿宋" w:eastAsia="仿宋" w:cs="仿宋"/>
          <w:b/>
          <w:bCs/>
          <w:color w:val="auto"/>
          <w:sz w:val="28"/>
          <w:szCs w:val="28"/>
        </w:rPr>
        <w:t>采购过程和成交结果有异议的，</w:t>
      </w:r>
      <w:bookmarkEnd w:id="50"/>
      <w:r>
        <w:rPr>
          <w:rFonts w:hint="eastAsia" w:ascii="仿宋" w:hAnsi="仿宋" w:eastAsia="仿宋" w:cs="仿宋"/>
          <w:color w:val="auto"/>
          <w:sz w:val="28"/>
          <w:szCs w:val="28"/>
        </w:rPr>
        <w:t>请以书面形式（有效签署的原件并加盖公章），并附有相关的证据材料，提交至集团内控部。</w:t>
      </w:r>
    </w:p>
    <w:p>
      <w:pPr>
        <w:widowControl w:val="0"/>
        <w:tabs>
          <w:tab w:val="left" w:pos="839"/>
        </w:tabs>
        <w:spacing w:after="0" w:line="460" w:lineRule="exact"/>
        <w:ind w:left="839"/>
        <w:rPr>
          <w:rFonts w:hint="eastAsia" w:ascii="仿宋" w:hAnsi="仿宋" w:eastAsia="仿宋" w:cs="仿宋"/>
          <w:color w:val="auto"/>
          <w:sz w:val="28"/>
          <w:szCs w:val="28"/>
        </w:rPr>
      </w:pPr>
      <w:r>
        <w:rPr>
          <w:rFonts w:hint="eastAsia" w:ascii="仿宋" w:hAnsi="仿宋" w:eastAsia="仿宋" w:cs="仿宋"/>
          <w:color w:val="auto"/>
          <w:sz w:val="28"/>
          <w:szCs w:val="28"/>
        </w:rPr>
        <w:t>投诉受理部门：中教集团内控部，投诉电话： 0791-88106510 /0791-88102608</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2.报价响应文件2份，报价响应文件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，须由参与人填写并加盖公章（正本1份副本1份）；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2</w:t>
      </w:r>
      <w:r>
        <w:rPr>
          <w:rFonts w:hint="eastAsia" w:ascii="仿宋" w:hAnsi="仿宋" w:eastAsia="仿宋"/>
          <w:color w:val="auto"/>
          <w:sz w:val="28"/>
          <w:szCs w:val="28"/>
        </w:rPr>
        <w:t>.</w:t>
      </w:r>
      <w:r>
        <w:rPr>
          <w:rFonts w:hint="eastAsia" w:ascii="仿宋" w:hAnsi="仿宋" w:eastAsia="仿宋"/>
          <w:color w:val="auto"/>
          <w:sz w:val="28"/>
          <w:szCs w:val="28"/>
          <w:lang w:val="en-US" w:eastAsia="zh-CN"/>
        </w:rPr>
        <w:t>售后</w:t>
      </w:r>
      <w:r>
        <w:rPr>
          <w:rFonts w:hint="eastAsia" w:ascii="仿宋" w:hAnsi="仿宋" w:eastAsia="仿宋"/>
          <w:color w:val="auto"/>
          <w:sz w:val="28"/>
          <w:szCs w:val="28"/>
        </w:rPr>
        <w:t>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w:t>
      </w:r>
      <w:r>
        <w:rPr>
          <w:rFonts w:hint="eastAsia" w:ascii="仿宋" w:hAnsi="仿宋" w:eastAsia="仿宋"/>
          <w:color w:val="auto"/>
          <w:sz w:val="28"/>
          <w:szCs w:val="28"/>
          <w:lang w:val="en-US" w:eastAsia="zh-CN"/>
        </w:rPr>
        <w:t>供应商</w:t>
      </w:r>
      <w:r>
        <w:rPr>
          <w:rFonts w:hint="eastAsia" w:ascii="仿宋" w:hAnsi="仿宋" w:eastAsia="仿宋"/>
          <w:color w:val="auto"/>
          <w:sz w:val="28"/>
          <w:szCs w:val="28"/>
        </w:rPr>
        <w:t>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pStyle w:val="56"/>
        <w:numPr>
          <w:ilvl w:val="0"/>
          <w:numId w:val="2"/>
        </w:numPr>
        <w:spacing w:after="0" w:line="500" w:lineRule="exact"/>
        <w:ind w:left="851" w:hanging="425" w:firstLineChars="0"/>
        <w:jc w:val="left"/>
        <w:rPr>
          <w:rFonts w:ascii="仿宋" w:hAnsi="仿宋" w:eastAsia="仿宋"/>
          <w:color w:val="auto"/>
          <w:sz w:val="28"/>
          <w:szCs w:val="28"/>
        </w:rPr>
      </w:pPr>
      <w:r>
        <w:rPr>
          <w:rFonts w:hint="eastAsia" w:ascii="仿宋" w:hAnsi="仿宋" w:eastAsia="仿宋"/>
          <w:color w:val="auto"/>
          <w:sz w:val="28"/>
          <w:szCs w:val="28"/>
        </w:rPr>
        <w:t>本项目为自有资金而非财政性资金采购，采购人按企业内部规定的标准进行评定</w:t>
      </w:r>
      <w:r>
        <w:rPr>
          <w:rFonts w:ascii="仿宋" w:hAnsi="仿宋" w:eastAsia="仿宋"/>
          <w:color w:val="auto"/>
          <w:sz w:val="28"/>
          <w:szCs w:val="28"/>
        </w:rPr>
        <w:t xml:space="preserve"> </w:t>
      </w:r>
      <w:r>
        <w:rPr>
          <w:rFonts w:hint="eastAsia" w:ascii="仿宋" w:hAnsi="仿宋" w:eastAsia="仿宋"/>
          <w:color w:val="auto"/>
          <w:sz w:val="28"/>
          <w:szCs w:val="28"/>
        </w:rPr>
        <w:t>。</w:t>
      </w:r>
    </w:p>
    <w:p>
      <w:pPr>
        <w:pStyle w:val="56"/>
        <w:numPr>
          <w:ilvl w:val="0"/>
          <w:numId w:val="2"/>
        </w:numPr>
        <w:spacing w:after="0" w:line="500" w:lineRule="exact"/>
        <w:ind w:left="851" w:hanging="425" w:firstLineChars="0"/>
        <w:jc w:val="left"/>
        <w:rPr>
          <w:rFonts w:ascii="仿宋" w:hAnsi="仿宋" w:eastAsia="仿宋"/>
          <w:color w:val="auto"/>
          <w:sz w:val="28"/>
          <w:szCs w:val="28"/>
        </w:rPr>
      </w:pPr>
      <w:r>
        <w:rPr>
          <w:rFonts w:hint="eastAsia" w:ascii="仿宋" w:hAnsi="仿宋" w:eastAsia="仿宋"/>
          <w:color w:val="auto"/>
          <w:sz w:val="28"/>
          <w:szCs w:val="28"/>
        </w:rPr>
        <w:t>参与人所投物品符合需求、质量和服务等的要求,经过磋商所报价格为合理价格的参与人为成交参与人。</w:t>
      </w:r>
    </w:p>
    <w:p>
      <w:pPr>
        <w:pStyle w:val="56"/>
        <w:numPr>
          <w:ilvl w:val="0"/>
          <w:numId w:val="2"/>
        </w:numPr>
        <w:spacing w:after="0" w:line="500" w:lineRule="exact"/>
        <w:ind w:left="851" w:hanging="425" w:firstLineChars="0"/>
        <w:jc w:val="left"/>
        <w:rPr>
          <w:rFonts w:ascii="仿宋" w:hAnsi="仿宋" w:eastAsia="仿宋"/>
          <w:color w:val="auto"/>
          <w:sz w:val="28"/>
          <w:szCs w:val="28"/>
        </w:rPr>
      </w:pPr>
      <w:r>
        <w:rPr>
          <w:rFonts w:hint="eastAsia" w:ascii="仿宋" w:hAnsi="仿宋" w:eastAsia="仿宋"/>
          <w:color w:val="auto"/>
          <w:sz w:val="28"/>
          <w:szCs w:val="28"/>
        </w:rPr>
        <w:t>最低报价不作为成交的保证。</w:t>
      </w:r>
    </w:p>
    <w:p>
      <w:pPr>
        <w:pStyle w:val="56"/>
        <w:numPr>
          <w:ilvl w:val="0"/>
          <w:numId w:val="0"/>
        </w:numPr>
        <w:spacing w:after="0" w:line="500" w:lineRule="exact"/>
        <w:jc w:val="left"/>
        <w:rPr>
          <w:rFonts w:hint="eastAsia" w:ascii="仿宋" w:hAnsi="仿宋" w:eastAsia="仿宋"/>
          <w:color w:val="auto"/>
          <w:sz w:val="28"/>
          <w:szCs w:val="28"/>
        </w:rPr>
      </w:pPr>
    </w:p>
    <w:p>
      <w:pPr>
        <w:pStyle w:val="56"/>
        <w:numPr>
          <w:ilvl w:val="0"/>
          <w:numId w:val="0"/>
        </w:numPr>
        <w:spacing w:after="0" w:line="500" w:lineRule="exact"/>
        <w:jc w:val="left"/>
        <w:rPr>
          <w:rFonts w:hint="eastAsia" w:ascii="仿宋" w:hAnsi="仿宋" w:eastAsia="仿宋"/>
          <w:color w:val="auto"/>
          <w:sz w:val="28"/>
          <w:szCs w:val="28"/>
        </w:rPr>
      </w:pPr>
    </w:p>
    <w:p>
      <w:pPr>
        <w:pStyle w:val="56"/>
        <w:numPr>
          <w:ilvl w:val="0"/>
          <w:numId w:val="0"/>
        </w:numPr>
        <w:spacing w:after="0" w:line="500" w:lineRule="exact"/>
        <w:jc w:val="left"/>
        <w:rPr>
          <w:rFonts w:hint="eastAsia" w:ascii="仿宋" w:hAnsi="仿宋" w:eastAsia="仿宋"/>
          <w:color w:val="auto"/>
          <w:sz w:val="28"/>
          <w:szCs w:val="28"/>
        </w:rPr>
      </w:pPr>
    </w:p>
    <w:p>
      <w:pPr>
        <w:pStyle w:val="56"/>
        <w:numPr>
          <w:ilvl w:val="0"/>
          <w:numId w:val="0"/>
        </w:numPr>
        <w:spacing w:after="0" w:line="500" w:lineRule="exact"/>
        <w:jc w:val="left"/>
        <w:rPr>
          <w:rFonts w:hint="eastAsia" w:ascii="仿宋" w:hAnsi="仿宋" w:eastAsia="仿宋"/>
          <w:color w:val="auto"/>
          <w:sz w:val="28"/>
          <w:szCs w:val="28"/>
        </w:rPr>
      </w:pPr>
    </w:p>
    <w:p>
      <w:pPr>
        <w:pStyle w:val="56"/>
        <w:numPr>
          <w:ilvl w:val="0"/>
          <w:numId w:val="0"/>
        </w:numPr>
        <w:spacing w:after="0" w:line="500" w:lineRule="exact"/>
        <w:jc w:val="left"/>
        <w:rPr>
          <w:rFonts w:hint="eastAsia" w:ascii="仿宋" w:hAnsi="仿宋" w:eastAsia="仿宋"/>
          <w:color w:val="auto"/>
          <w:sz w:val="28"/>
          <w:szCs w:val="28"/>
        </w:rPr>
      </w:pPr>
    </w:p>
    <w:p>
      <w:pPr>
        <w:pStyle w:val="56"/>
        <w:numPr>
          <w:ilvl w:val="0"/>
          <w:numId w:val="0"/>
        </w:numPr>
        <w:spacing w:after="0" w:line="500" w:lineRule="exact"/>
        <w:jc w:val="left"/>
        <w:rPr>
          <w:rFonts w:hint="eastAsia" w:ascii="仿宋" w:hAnsi="仿宋" w:eastAsia="仿宋"/>
          <w:color w:val="auto"/>
          <w:sz w:val="28"/>
          <w:szCs w:val="28"/>
        </w:rPr>
      </w:pPr>
    </w:p>
    <w:p>
      <w:pPr>
        <w:pStyle w:val="56"/>
        <w:numPr>
          <w:ilvl w:val="0"/>
          <w:numId w:val="0"/>
        </w:numPr>
        <w:spacing w:after="0" w:line="500" w:lineRule="exact"/>
        <w:jc w:val="left"/>
        <w:rPr>
          <w:rFonts w:hint="eastAsia" w:ascii="仿宋" w:hAnsi="仿宋" w:eastAsia="仿宋"/>
          <w:color w:val="auto"/>
          <w:sz w:val="28"/>
          <w:szCs w:val="28"/>
        </w:rPr>
      </w:pPr>
    </w:p>
    <w:p>
      <w:pPr>
        <w:pStyle w:val="56"/>
        <w:spacing w:after="0" w:line="500" w:lineRule="exact"/>
        <w:ind w:left="7371" w:firstLine="0" w:firstLineChars="0"/>
        <w:jc w:val="left"/>
        <w:rPr>
          <w:rFonts w:hint="eastAsia" w:ascii="仿宋" w:hAnsi="仿宋" w:eastAsia="仿宋"/>
          <w:color w:val="auto"/>
          <w:sz w:val="24"/>
          <w:szCs w:val="24"/>
          <w:lang w:eastAsia="zh-CN"/>
        </w:rPr>
      </w:pPr>
    </w:p>
    <w:p>
      <w:pPr>
        <w:pStyle w:val="56"/>
        <w:spacing w:after="0" w:line="500" w:lineRule="exact"/>
        <w:ind w:left="7371" w:firstLine="0" w:firstLineChars="0"/>
        <w:jc w:val="left"/>
        <w:rPr>
          <w:rFonts w:hint="eastAsia" w:ascii="仿宋" w:hAnsi="仿宋" w:eastAsia="仿宋"/>
          <w:color w:val="auto"/>
          <w:sz w:val="24"/>
          <w:szCs w:val="24"/>
          <w:lang w:eastAsia="zh-CN"/>
        </w:rPr>
      </w:pPr>
    </w:p>
    <w:p>
      <w:pPr>
        <w:pStyle w:val="56"/>
        <w:spacing w:after="0" w:line="500" w:lineRule="exact"/>
        <w:ind w:left="7371" w:firstLine="0" w:firstLineChars="0"/>
        <w:jc w:val="left"/>
        <w:rPr>
          <w:rFonts w:hint="eastAsia" w:ascii="仿宋" w:hAnsi="仿宋" w:eastAsia="仿宋"/>
          <w:color w:val="auto"/>
          <w:sz w:val="24"/>
          <w:szCs w:val="24"/>
          <w:lang w:eastAsia="zh-CN"/>
        </w:rPr>
      </w:pPr>
    </w:p>
    <w:p>
      <w:pPr>
        <w:pStyle w:val="56"/>
        <w:spacing w:after="0" w:line="500" w:lineRule="exact"/>
        <w:ind w:left="7371" w:firstLine="0" w:firstLineChars="0"/>
        <w:jc w:val="left"/>
        <w:rPr>
          <w:rFonts w:hint="eastAsia" w:ascii="仿宋" w:hAnsi="仿宋" w:eastAsia="仿宋"/>
          <w:color w:val="auto"/>
          <w:sz w:val="24"/>
          <w:szCs w:val="24"/>
          <w:lang w:eastAsia="zh-CN"/>
        </w:rPr>
      </w:pPr>
    </w:p>
    <w:p>
      <w:pPr>
        <w:pStyle w:val="56"/>
        <w:spacing w:after="0" w:line="500" w:lineRule="exact"/>
        <w:ind w:left="7371" w:firstLine="0" w:firstLineChars="0"/>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江西科技学院</w:t>
      </w:r>
    </w:p>
    <w:p>
      <w:pPr>
        <w:pStyle w:val="56"/>
        <w:spacing w:after="0" w:line="500" w:lineRule="exact"/>
        <w:ind w:firstLine="7000" w:firstLineChars="25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2022</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日</w:t>
      </w:r>
    </w:p>
    <w:p>
      <w:pPr>
        <w:pStyle w:val="56"/>
        <w:numPr>
          <w:ilvl w:val="0"/>
          <w:numId w:val="0"/>
        </w:numPr>
        <w:spacing w:after="0" w:line="500" w:lineRule="exact"/>
        <w:jc w:val="left"/>
        <w:rPr>
          <w:rFonts w:hint="eastAsia" w:ascii="仿宋" w:hAnsi="仿宋" w:eastAsia="仿宋"/>
          <w:color w:val="auto"/>
          <w:sz w:val="28"/>
          <w:szCs w:val="28"/>
        </w:rPr>
      </w:pPr>
    </w:p>
    <w:p>
      <w:pPr>
        <w:pStyle w:val="56"/>
        <w:numPr>
          <w:ilvl w:val="0"/>
          <w:numId w:val="0"/>
        </w:numPr>
        <w:spacing w:after="0" w:line="500" w:lineRule="exact"/>
        <w:jc w:val="left"/>
        <w:rPr>
          <w:rFonts w:hint="eastAsia" w:ascii="仿宋" w:hAnsi="仿宋" w:eastAsia="仿宋"/>
          <w:color w:val="auto"/>
          <w:sz w:val="28"/>
          <w:szCs w:val="28"/>
        </w:rPr>
      </w:pPr>
    </w:p>
    <w:p>
      <w:pPr>
        <w:pStyle w:val="53"/>
        <w:spacing w:line="360" w:lineRule="auto"/>
        <w:jc w:val="center"/>
        <w:outlineLvl w:val="0"/>
        <w:rPr>
          <w:rFonts w:hint="eastAsia" w:ascii="仿宋" w:hAnsi="仿宋" w:eastAsia="仿宋"/>
          <w:b/>
          <w:color w:val="auto"/>
          <w:sz w:val="44"/>
          <w:szCs w:val="44"/>
        </w:rPr>
      </w:pPr>
    </w:p>
    <w:p>
      <w:pPr>
        <w:pStyle w:val="53"/>
        <w:spacing w:line="360" w:lineRule="auto"/>
        <w:jc w:val="center"/>
        <w:outlineLvl w:val="0"/>
        <w:rPr>
          <w:rFonts w:hint="eastAsia" w:ascii="仿宋" w:hAnsi="仿宋" w:eastAsia="仿宋"/>
          <w:b/>
          <w:color w:val="auto"/>
          <w:sz w:val="44"/>
          <w:szCs w:val="44"/>
        </w:rPr>
      </w:pPr>
    </w:p>
    <w:p>
      <w:pPr>
        <w:pStyle w:val="53"/>
        <w:spacing w:line="360" w:lineRule="auto"/>
        <w:jc w:val="center"/>
        <w:outlineLvl w:val="0"/>
        <w:rPr>
          <w:rFonts w:hint="eastAsia" w:ascii="仿宋" w:hAnsi="仿宋" w:eastAsia="仿宋"/>
          <w:b/>
          <w:color w:val="auto"/>
          <w:sz w:val="44"/>
          <w:szCs w:val="44"/>
        </w:rPr>
      </w:pPr>
    </w:p>
    <w:p>
      <w:pPr>
        <w:pStyle w:val="53"/>
        <w:spacing w:line="360" w:lineRule="auto"/>
        <w:jc w:val="center"/>
        <w:outlineLvl w:val="0"/>
        <w:rPr>
          <w:rFonts w:hint="eastAsia" w:ascii="仿宋" w:hAnsi="仿宋" w:eastAsia="仿宋"/>
          <w:b/>
          <w:color w:val="auto"/>
          <w:sz w:val="44"/>
          <w:szCs w:val="44"/>
        </w:rPr>
      </w:pP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二、</w:t>
      </w:r>
      <w:bookmarkEnd w:id="49"/>
      <w:r>
        <w:rPr>
          <w:rFonts w:hint="eastAsia" w:ascii="仿宋" w:hAnsi="仿宋" w:eastAsia="仿宋"/>
          <w:b/>
          <w:color w:val="auto"/>
          <w:sz w:val="44"/>
          <w:szCs w:val="44"/>
        </w:rPr>
        <w:t>公开询价货物一览表</w:t>
      </w:r>
    </w:p>
    <w:tbl>
      <w:tblPr>
        <w:tblStyle w:val="24"/>
        <w:tblW w:w="10327" w:type="dxa"/>
        <w:jc w:val="center"/>
        <w:tblLayout w:type="fixed"/>
        <w:tblCellMar>
          <w:top w:w="0" w:type="dxa"/>
          <w:left w:w="108" w:type="dxa"/>
          <w:bottom w:w="0" w:type="dxa"/>
          <w:right w:w="108" w:type="dxa"/>
        </w:tblCellMar>
      </w:tblPr>
      <w:tblGrid>
        <w:gridCol w:w="612"/>
        <w:gridCol w:w="1048"/>
        <w:gridCol w:w="2285"/>
        <w:gridCol w:w="637"/>
        <w:gridCol w:w="1013"/>
        <w:gridCol w:w="1114"/>
        <w:gridCol w:w="1140"/>
        <w:gridCol w:w="1263"/>
        <w:gridCol w:w="1215"/>
      </w:tblGrid>
      <w:tr>
        <w:tblPrEx>
          <w:tblCellMar>
            <w:top w:w="0" w:type="dxa"/>
            <w:left w:w="108" w:type="dxa"/>
            <w:bottom w:w="0" w:type="dxa"/>
            <w:right w:w="108" w:type="dxa"/>
          </w:tblCellMar>
        </w:tblPrEx>
        <w:trPr>
          <w:trHeight w:val="75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olor w:val="auto"/>
              </w:rPr>
              <w:t>序号</w:t>
            </w:r>
          </w:p>
        </w:tc>
        <w:tc>
          <w:tcPr>
            <w:tcW w:w="104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olor w:val="auto"/>
                <w:lang w:val="en-US" w:eastAsia="zh-CN"/>
              </w:rPr>
              <w:t>货物</w:t>
            </w:r>
            <w:r>
              <w:rPr>
                <w:rFonts w:hint="eastAsia" w:ascii="仿宋" w:hAnsi="仿宋" w:eastAsia="仿宋"/>
                <w:color w:val="auto"/>
              </w:rPr>
              <w:t>名称</w:t>
            </w:r>
          </w:p>
        </w:tc>
        <w:tc>
          <w:tcPr>
            <w:tcW w:w="228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olor w:val="auto"/>
              </w:rPr>
              <w:t>规格型号</w:t>
            </w:r>
          </w:p>
        </w:tc>
        <w:tc>
          <w:tcPr>
            <w:tcW w:w="637"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olor w:val="auto"/>
              </w:rPr>
              <w:t>单位</w:t>
            </w:r>
          </w:p>
        </w:tc>
        <w:tc>
          <w:tcPr>
            <w:tcW w:w="1013"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olor w:val="auto"/>
              </w:rPr>
              <w:t>数量</w:t>
            </w:r>
          </w:p>
        </w:tc>
        <w:tc>
          <w:tcPr>
            <w:tcW w:w="111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olor w:val="auto"/>
              </w:rPr>
              <w:t>单价（元）</w:t>
            </w:r>
          </w:p>
        </w:tc>
        <w:tc>
          <w:tcPr>
            <w:tcW w:w="114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olor w:val="auto"/>
              </w:rPr>
              <w:t>总价（元）</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s="Tahoma"/>
                <w:b/>
                <w:bCs/>
                <w:color w:val="auto"/>
                <w:sz w:val="20"/>
                <w:szCs w:val="20"/>
              </w:rPr>
              <w:t>是否提供样品</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auto"/>
                <w:lang w:eastAsia="zh-CN"/>
              </w:rPr>
            </w:pPr>
            <w:r>
              <w:rPr>
                <w:rFonts w:hint="eastAsia" w:ascii="仿宋" w:hAnsi="仿宋" w:eastAsia="仿宋"/>
                <w:color w:val="auto"/>
                <w:lang w:eastAsia="zh-CN"/>
              </w:rPr>
              <w:t>备注</w:t>
            </w:r>
          </w:p>
        </w:tc>
      </w:tr>
      <w:tr>
        <w:tblPrEx>
          <w:tblCellMar>
            <w:top w:w="0" w:type="dxa"/>
            <w:left w:w="108" w:type="dxa"/>
            <w:bottom w:w="0" w:type="dxa"/>
            <w:right w:w="108" w:type="dxa"/>
          </w:tblCellMar>
        </w:tblPrEx>
        <w:trPr>
          <w:trHeight w:val="1950" w:hRule="atLeast"/>
          <w:jc w:val="center"/>
        </w:trPr>
        <w:tc>
          <w:tcPr>
            <w:tcW w:w="61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olor w:val="auto"/>
                <w:lang w:val="en-US" w:eastAsia="zh-CN"/>
              </w:rPr>
            </w:pPr>
            <w:r>
              <w:rPr>
                <w:rFonts w:hint="eastAsia" w:ascii="仿宋" w:hAnsi="仿宋" w:eastAsia="仿宋"/>
                <w:color w:val="auto"/>
                <w:lang w:val="en-US" w:eastAsia="zh-CN"/>
              </w:rPr>
              <w:t>1</w:t>
            </w:r>
          </w:p>
        </w:tc>
        <w:tc>
          <w:tcPr>
            <w:tcW w:w="1048" w:type="dxa"/>
            <w:tcBorders>
              <w:top w:val="nil"/>
              <w:left w:val="nil"/>
              <w:bottom w:val="single" w:color="auto" w:sz="4" w:space="0"/>
              <w:right w:val="single" w:color="auto" w:sz="4" w:space="0"/>
            </w:tcBorders>
            <w:shd w:val="clear" w:color="auto" w:fill="auto"/>
            <w:noWrap w:val="0"/>
            <w:vAlign w:val="center"/>
          </w:tcPr>
          <w:p>
            <w:pPr>
              <w:jc w:val="center"/>
              <w:rPr>
                <w:rFonts w:ascii="仿宋" w:hAnsi="仿宋" w:eastAsia="仿宋"/>
                <w:color w:val="auto"/>
              </w:rPr>
            </w:pPr>
            <w:r>
              <w:rPr>
                <w:rFonts w:hint="eastAsia" w:ascii="仿宋" w:hAnsi="仿宋" w:eastAsia="仿宋"/>
                <w:color w:val="auto"/>
              </w:rPr>
              <w:t>招生简章</w:t>
            </w:r>
          </w:p>
        </w:tc>
        <w:tc>
          <w:tcPr>
            <w:tcW w:w="2285" w:type="dxa"/>
            <w:tcBorders>
              <w:top w:val="nil"/>
              <w:left w:val="nil"/>
              <w:bottom w:val="single" w:color="auto" w:sz="4" w:space="0"/>
              <w:right w:val="single" w:color="auto" w:sz="4" w:space="0"/>
            </w:tcBorders>
            <w:shd w:val="clear" w:color="auto" w:fill="FFFFFF"/>
            <w:noWrap w:val="0"/>
            <w:vAlign w:val="center"/>
          </w:tcPr>
          <w:p>
            <w:pPr>
              <w:rPr>
                <w:rFonts w:hint="eastAsia" w:ascii="仿宋" w:hAnsi="仿宋" w:eastAsia="仿宋"/>
                <w:color w:val="auto"/>
                <w:lang w:eastAsia="zh-CN"/>
              </w:rPr>
            </w:pPr>
            <w:r>
              <w:rPr>
                <w:rFonts w:hint="eastAsia" w:ascii="仿宋" w:hAnsi="仿宋" w:eastAsia="仿宋"/>
                <w:color w:val="auto"/>
              </w:rPr>
              <w:t>规格型号：202</w:t>
            </w:r>
            <w:r>
              <w:rPr>
                <w:rFonts w:hint="eastAsia" w:ascii="仿宋" w:hAnsi="仿宋" w:eastAsia="仿宋"/>
                <w:color w:val="auto"/>
                <w:lang w:val="en-US" w:eastAsia="zh-CN"/>
              </w:rPr>
              <w:t>2</w:t>
            </w:r>
            <w:r>
              <w:rPr>
                <w:rFonts w:hint="eastAsia" w:ascii="仿宋" w:hAnsi="仿宋" w:eastAsia="仿宋"/>
                <w:color w:val="auto"/>
              </w:rPr>
              <w:t>年秋季，</w:t>
            </w:r>
            <w:r>
              <w:rPr>
                <w:rFonts w:hint="eastAsia" w:ascii="仿宋" w:hAnsi="仿宋" w:eastAsia="仿宋"/>
                <w:color w:val="auto"/>
                <w:lang w:eastAsia="zh-CN"/>
              </w:rPr>
              <w:t>28P，14张29.7CM×42CM</w:t>
            </w:r>
            <w:r>
              <w:rPr>
                <w:rFonts w:hint="eastAsia" w:ascii="仿宋" w:hAnsi="仿宋" w:eastAsia="仿宋"/>
                <w:color w:val="auto"/>
              </w:rPr>
              <w:t>（</w:t>
            </w:r>
            <w:r>
              <w:rPr>
                <w:rFonts w:hint="eastAsia" w:ascii="仿宋" w:hAnsi="仿宋" w:eastAsia="仿宋"/>
                <w:color w:val="auto"/>
                <w:lang w:eastAsia="zh-CN"/>
              </w:rPr>
              <w:t>全本</w:t>
            </w:r>
            <w:r>
              <w:rPr>
                <w:rFonts w:hint="eastAsia" w:ascii="仿宋" w:hAnsi="仿宋" w:eastAsia="仿宋"/>
                <w:color w:val="auto"/>
              </w:rPr>
              <w:t>157g铜</w:t>
            </w:r>
            <w:r>
              <w:rPr>
                <w:rFonts w:hint="eastAsia" w:ascii="仿宋" w:hAnsi="仿宋" w:eastAsia="仿宋"/>
                <w:color w:val="auto"/>
                <w:lang w:val="en-US" w:eastAsia="zh-CN"/>
              </w:rPr>
              <w:t>板纸双面彩印，封面覆亚膜，骑马装订</w:t>
            </w:r>
            <w:r>
              <w:rPr>
                <w:rFonts w:hint="eastAsia" w:ascii="仿宋" w:hAnsi="仿宋" w:eastAsia="仿宋"/>
                <w:color w:val="auto"/>
              </w:rPr>
              <w:t>）</w:t>
            </w:r>
            <w:r>
              <w:rPr>
                <w:rFonts w:hint="eastAsia" w:ascii="仿宋" w:hAnsi="仿宋" w:eastAsia="仿宋"/>
                <w:color w:val="auto"/>
                <w:lang w:eastAsia="zh-CN"/>
              </w:rPr>
              <w:t xml:space="preserve">； </w:t>
            </w:r>
          </w:p>
        </w:tc>
        <w:tc>
          <w:tcPr>
            <w:tcW w:w="637" w:type="dxa"/>
            <w:tcBorders>
              <w:top w:val="nil"/>
              <w:left w:val="nil"/>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olor w:val="auto"/>
              </w:rPr>
              <w:t>份</w:t>
            </w:r>
          </w:p>
        </w:tc>
        <w:tc>
          <w:tcPr>
            <w:tcW w:w="1013" w:type="dxa"/>
            <w:tcBorders>
              <w:top w:val="nil"/>
              <w:left w:val="nil"/>
              <w:bottom w:val="single" w:color="auto" w:sz="4" w:space="0"/>
              <w:right w:val="single" w:color="auto" w:sz="4" w:space="0"/>
            </w:tcBorders>
            <w:noWrap w:val="0"/>
            <w:vAlign w:val="center"/>
          </w:tcPr>
          <w:p>
            <w:pPr>
              <w:jc w:val="left"/>
              <w:rPr>
                <w:rFonts w:hint="eastAsia" w:ascii="仿宋" w:hAnsi="仿宋" w:eastAsia="仿宋"/>
                <w:color w:val="auto"/>
              </w:rPr>
            </w:pPr>
          </w:p>
          <w:p>
            <w:pPr>
              <w:jc w:val="left"/>
              <w:rPr>
                <w:rFonts w:hint="eastAsia" w:ascii="仿宋" w:hAnsi="仿宋" w:eastAsia="仿宋"/>
                <w:color w:val="auto"/>
              </w:rPr>
            </w:pPr>
            <w:r>
              <w:rPr>
                <w:rFonts w:hint="eastAsia" w:ascii="仿宋" w:hAnsi="仿宋" w:eastAsia="仿宋"/>
                <w:color w:val="auto"/>
              </w:rPr>
              <w:t>100000</w:t>
            </w:r>
          </w:p>
          <w:p>
            <w:pPr>
              <w:jc w:val="center"/>
              <w:rPr>
                <w:rFonts w:ascii="仿宋" w:hAnsi="仿宋" w:eastAsia="仿宋"/>
                <w:color w:val="auto"/>
              </w:rPr>
            </w:pPr>
          </w:p>
        </w:tc>
        <w:tc>
          <w:tcPr>
            <w:tcW w:w="1114" w:type="dxa"/>
            <w:tcBorders>
              <w:top w:val="nil"/>
              <w:left w:val="nil"/>
              <w:bottom w:val="single" w:color="auto" w:sz="4" w:space="0"/>
              <w:right w:val="single" w:color="auto" w:sz="4" w:space="0"/>
            </w:tcBorders>
            <w:noWrap w:val="0"/>
            <w:vAlign w:val="center"/>
          </w:tcPr>
          <w:p>
            <w:pPr>
              <w:jc w:val="center"/>
              <w:rPr>
                <w:rFonts w:ascii="仿宋" w:hAnsi="仿宋" w:eastAsia="仿宋"/>
                <w:color w:val="auto"/>
              </w:rPr>
            </w:pPr>
          </w:p>
        </w:tc>
        <w:tc>
          <w:tcPr>
            <w:tcW w:w="1140" w:type="dxa"/>
            <w:tcBorders>
              <w:top w:val="nil"/>
              <w:left w:val="nil"/>
              <w:bottom w:val="single" w:color="auto" w:sz="4" w:space="0"/>
              <w:right w:val="single" w:color="auto" w:sz="4" w:space="0"/>
            </w:tcBorders>
            <w:noWrap w:val="0"/>
            <w:vAlign w:val="center"/>
          </w:tcPr>
          <w:p>
            <w:pPr>
              <w:jc w:val="center"/>
              <w:rPr>
                <w:rFonts w:ascii="仿宋" w:hAnsi="仿宋" w:eastAsia="仿宋"/>
                <w:color w:val="auto"/>
              </w:rPr>
            </w:pPr>
          </w:p>
        </w:tc>
        <w:tc>
          <w:tcPr>
            <w:tcW w:w="1263" w:type="dxa"/>
            <w:tcBorders>
              <w:top w:val="nil"/>
              <w:left w:val="nil"/>
              <w:bottom w:val="single" w:color="auto" w:sz="4" w:space="0"/>
              <w:right w:val="single" w:color="auto" w:sz="4" w:space="0"/>
            </w:tcBorders>
            <w:noWrap w:val="0"/>
            <w:vAlign w:val="center"/>
          </w:tcPr>
          <w:p>
            <w:pPr>
              <w:jc w:val="center"/>
              <w:rPr>
                <w:rFonts w:hint="eastAsia" w:ascii="仿宋" w:hAnsi="仿宋" w:eastAsia="仿宋"/>
                <w:color w:val="auto"/>
                <w:lang w:eastAsia="zh-CN"/>
              </w:rPr>
            </w:pPr>
            <w:r>
              <w:rPr>
                <w:rFonts w:hint="eastAsia" w:ascii="仿宋" w:hAnsi="仿宋" w:eastAsia="仿宋" w:cs="Tahoma"/>
                <w:color w:val="auto"/>
                <w:sz w:val="20"/>
                <w:szCs w:val="20"/>
              </w:rPr>
              <w:t>是</w:t>
            </w:r>
          </w:p>
        </w:tc>
        <w:tc>
          <w:tcPr>
            <w:tcW w:w="1215" w:type="dxa"/>
            <w:tcBorders>
              <w:top w:val="nil"/>
              <w:left w:val="nil"/>
              <w:bottom w:val="single" w:color="auto" w:sz="4" w:space="0"/>
              <w:right w:val="single" w:color="auto" w:sz="4" w:space="0"/>
            </w:tcBorders>
            <w:noWrap w:val="0"/>
            <w:vAlign w:val="center"/>
          </w:tcPr>
          <w:p>
            <w:pPr>
              <w:jc w:val="left"/>
              <w:rPr>
                <w:rFonts w:hint="eastAsia" w:ascii="仿宋" w:hAnsi="仿宋" w:eastAsia="仿宋"/>
                <w:color w:val="auto"/>
                <w:lang w:eastAsia="zh-CN"/>
              </w:rPr>
            </w:pPr>
            <w:r>
              <w:rPr>
                <w:rFonts w:hint="eastAsia" w:ascii="仿宋" w:hAnsi="仿宋" w:eastAsia="仿宋"/>
                <w:color w:val="auto"/>
                <w:lang w:eastAsia="zh-CN"/>
              </w:rPr>
              <w:t>有设计稿，见样品；具体咨询学校业务对接人</w:t>
            </w:r>
          </w:p>
        </w:tc>
      </w:tr>
    </w:tbl>
    <w:p>
      <w:pPr>
        <w:spacing w:after="0" w:line="500" w:lineRule="exact"/>
        <w:ind w:firstLine="560" w:firstLineChars="200"/>
        <w:rPr>
          <w:rFonts w:hint="eastAsia" w:ascii="仿宋" w:hAnsi="仿宋" w:eastAsia="仿宋"/>
          <w:color w:val="auto"/>
          <w:sz w:val="28"/>
          <w:szCs w:val="28"/>
        </w:rPr>
      </w:pPr>
    </w:p>
    <w:p>
      <w:pPr>
        <w:spacing w:line="400" w:lineRule="exact"/>
        <w:rPr>
          <w:rFonts w:ascii="仿宋" w:hAnsi="仿宋" w:eastAsia="仿宋"/>
          <w:color w:val="auto"/>
          <w:sz w:val="28"/>
          <w:szCs w:val="28"/>
        </w:rPr>
      </w:pPr>
      <w:r>
        <w:rPr>
          <w:rFonts w:hint="eastAsia" w:ascii="仿宋" w:hAnsi="仿宋" w:eastAsia="仿宋"/>
          <w:color w:val="auto"/>
          <w:sz w:val="28"/>
          <w:szCs w:val="28"/>
        </w:rPr>
        <w:t>注：</w:t>
      </w:r>
    </w:p>
    <w:p>
      <w:pPr>
        <w:numPr>
          <w:ilvl w:val="0"/>
          <w:numId w:val="3"/>
        </w:numPr>
        <w:spacing w:after="0" w:line="440" w:lineRule="exact"/>
        <w:rPr>
          <w:rFonts w:ascii="仿宋" w:hAnsi="仿宋" w:eastAsia="仿宋"/>
          <w:b w:val="0"/>
          <w:bCs/>
          <w:color w:val="auto"/>
          <w:sz w:val="28"/>
          <w:szCs w:val="28"/>
        </w:rPr>
      </w:pPr>
      <w:r>
        <w:rPr>
          <w:rFonts w:hint="eastAsia" w:ascii="仿宋" w:hAnsi="仿宋" w:eastAsia="仿宋"/>
          <w:b w:val="0"/>
          <w:bCs/>
          <w:color w:val="auto"/>
          <w:sz w:val="28"/>
          <w:szCs w:val="28"/>
        </w:rPr>
        <w:t>本项目采用“公开询价”方式进行，《公开询价货物一览表》中所描述的“</w:t>
      </w:r>
      <w:r>
        <w:rPr>
          <w:rFonts w:hint="eastAsia" w:ascii="仿宋" w:hAnsi="仿宋" w:eastAsia="仿宋"/>
          <w:b w:val="0"/>
          <w:bCs/>
          <w:color w:val="auto"/>
          <w:sz w:val="28"/>
          <w:szCs w:val="28"/>
          <w:lang w:eastAsia="zh-CN"/>
        </w:rPr>
        <w:t>货物</w:t>
      </w:r>
      <w:r>
        <w:rPr>
          <w:rFonts w:hint="eastAsia" w:ascii="仿宋" w:hAnsi="仿宋" w:eastAsia="仿宋"/>
          <w:b w:val="0"/>
          <w:bCs/>
          <w:color w:val="auto"/>
          <w:sz w:val="28"/>
          <w:szCs w:val="28"/>
        </w:rPr>
        <w:t>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3"/>
        </w:numPr>
        <w:spacing w:after="0" w:line="440" w:lineRule="exact"/>
        <w:rPr>
          <w:rFonts w:ascii="仿宋" w:hAnsi="仿宋" w:eastAsia="仿宋"/>
          <w:b w:val="0"/>
          <w:bCs/>
          <w:color w:val="auto"/>
          <w:sz w:val="28"/>
          <w:szCs w:val="28"/>
          <w:highlight w:val="none"/>
        </w:rPr>
      </w:pPr>
      <w:r>
        <w:rPr>
          <w:rFonts w:hint="eastAsia" w:ascii="仿宋" w:hAnsi="仿宋" w:eastAsia="仿宋"/>
          <w:b w:val="0"/>
          <w:bCs/>
          <w:color w:val="auto"/>
          <w:sz w:val="28"/>
          <w:szCs w:val="28"/>
        </w:rPr>
        <w:t>参与人所投商品需要提供品牌、规格型号等真实详细信息，禁止复制采购人所提供的参考参数</w:t>
      </w:r>
      <w:r>
        <w:rPr>
          <w:rFonts w:hint="eastAsia" w:ascii="仿宋" w:hAnsi="仿宋" w:eastAsia="仿宋"/>
          <w:b w:val="0"/>
          <w:bCs/>
          <w:color w:val="auto"/>
          <w:sz w:val="28"/>
          <w:szCs w:val="28"/>
          <w:lang w:eastAsia="zh-CN"/>
        </w:rPr>
        <w:t>，</w:t>
      </w:r>
      <w:r>
        <w:rPr>
          <w:rFonts w:hint="eastAsia" w:ascii="仿宋" w:hAnsi="仿宋" w:eastAsia="仿宋"/>
          <w:b w:val="0"/>
          <w:bCs/>
          <w:color w:val="auto"/>
          <w:sz w:val="28"/>
          <w:szCs w:val="28"/>
          <w:highlight w:val="none"/>
        </w:rPr>
        <w:t>确保设备为原厂正品并按原厂提供质保。</w:t>
      </w:r>
    </w:p>
    <w:p>
      <w:pPr>
        <w:numPr>
          <w:ilvl w:val="0"/>
          <w:numId w:val="3"/>
        </w:numPr>
        <w:spacing w:after="0" w:line="440" w:lineRule="exact"/>
        <w:rPr>
          <w:rFonts w:ascii="仿宋" w:hAnsi="仿宋" w:eastAsia="仿宋"/>
          <w:b w:val="0"/>
          <w:bCs/>
          <w:color w:val="auto"/>
          <w:sz w:val="28"/>
          <w:szCs w:val="28"/>
        </w:rPr>
      </w:pPr>
      <w:r>
        <w:rPr>
          <w:rFonts w:hint="eastAsia" w:ascii="仿宋" w:hAnsi="仿宋" w:eastAsia="仿宋"/>
          <w:b w:val="0"/>
          <w:bCs/>
          <w:color w:val="auto"/>
          <w:sz w:val="28"/>
          <w:szCs w:val="28"/>
        </w:rPr>
        <w:t>参与人所投商品报价应包含税费、运输费、搬运费、整体实施、安装调试费、售后服务等一切费用</w:t>
      </w:r>
      <w:r>
        <w:rPr>
          <w:rFonts w:hint="eastAsia" w:ascii="仿宋" w:hAnsi="仿宋" w:eastAsia="仿宋" w:cs="仿宋"/>
          <w:b w:val="0"/>
          <w:bCs/>
          <w:i w:val="0"/>
          <w:iCs w:val="0"/>
          <w:color w:val="auto"/>
          <w:kern w:val="0"/>
          <w:sz w:val="28"/>
          <w:szCs w:val="28"/>
          <w:u w:val="none"/>
          <w:lang w:val="en-US" w:eastAsia="zh-CN" w:bidi="ar"/>
        </w:rPr>
        <w:t>。同时参与</w:t>
      </w:r>
      <w:r>
        <w:rPr>
          <w:rFonts w:hint="eastAsia" w:ascii="仿宋" w:hAnsi="仿宋" w:eastAsia="仿宋"/>
          <w:b w:val="0"/>
          <w:bCs/>
          <w:color w:val="auto"/>
          <w:sz w:val="28"/>
          <w:szCs w:val="28"/>
          <w:lang w:eastAsia="zh-CN"/>
        </w:rPr>
        <w:t>人应注明招生简章的</w:t>
      </w:r>
      <w:r>
        <w:rPr>
          <w:rFonts w:hint="eastAsia" w:ascii="仿宋" w:hAnsi="仿宋" w:eastAsia="仿宋"/>
          <w:b/>
          <w:bCs w:val="0"/>
          <w:color w:val="auto"/>
          <w:sz w:val="28"/>
          <w:szCs w:val="28"/>
          <w:lang w:eastAsia="zh-CN"/>
        </w:rPr>
        <w:t>生产周期并明确最早交货日期</w:t>
      </w:r>
      <w:r>
        <w:rPr>
          <w:rFonts w:hint="eastAsia" w:ascii="仿宋" w:hAnsi="仿宋" w:eastAsia="仿宋"/>
          <w:b w:val="0"/>
          <w:bCs/>
          <w:color w:val="auto"/>
          <w:sz w:val="28"/>
          <w:szCs w:val="28"/>
        </w:rPr>
        <w:t>。</w:t>
      </w:r>
    </w:p>
    <w:p>
      <w:pPr>
        <w:numPr>
          <w:ilvl w:val="0"/>
          <w:numId w:val="3"/>
        </w:numPr>
        <w:spacing w:after="0" w:line="440" w:lineRule="exact"/>
        <w:rPr>
          <w:rFonts w:ascii="仿宋" w:hAnsi="仿宋" w:eastAsia="仿宋"/>
          <w:b/>
          <w:color w:val="auto"/>
          <w:sz w:val="28"/>
          <w:szCs w:val="28"/>
          <w:highlight w:val="none"/>
        </w:rPr>
        <w:sectPr>
          <w:headerReference r:id="rId12" w:type="first"/>
          <w:headerReference r:id="rId11" w:type="default"/>
          <w:pgSz w:w="11906" w:h="16838"/>
          <w:pgMar w:top="1440" w:right="1416" w:bottom="1440" w:left="1134" w:header="851" w:footer="680" w:gutter="0"/>
          <w:cols w:space="425" w:num="1"/>
          <w:titlePg/>
          <w:docGrid w:type="lines" w:linePitch="312" w:charSpace="0"/>
        </w:sectPr>
      </w:pPr>
      <w:r>
        <w:rPr>
          <w:rFonts w:ascii="仿宋" w:hAnsi="仿宋" w:eastAsia="仿宋"/>
          <w:b/>
          <w:color w:val="auto"/>
          <w:sz w:val="28"/>
          <w:szCs w:val="28"/>
          <w:highlight w:val="none"/>
        </w:rPr>
        <w:br w:type="page"/>
      </w:r>
    </w:p>
    <w:p>
      <w:pPr>
        <w:spacing w:line="1000" w:lineRule="exact"/>
        <w:jc w:val="center"/>
        <w:rPr>
          <w:rFonts w:ascii="仿宋" w:hAnsi="仿宋" w:eastAsia="仿宋"/>
          <w:b/>
          <w:color w:val="auto"/>
          <w:sz w:val="72"/>
          <w:szCs w:val="72"/>
        </w:rPr>
      </w:pPr>
      <w:r>
        <w:rPr>
          <w:rFonts w:ascii="仿宋" w:hAnsi="仿宋" w:eastAsia="仿宋"/>
          <w:b/>
          <w:color w:val="auto"/>
          <w:sz w:val="72"/>
          <w:szCs w:val="72"/>
        </w:rPr>
        <w:drawing>
          <wp:anchor distT="0" distB="0" distL="114300" distR="114300" simplePos="0" relativeHeight="251661312" behindDoc="0" locked="0" layoutInCell="1" allowOverlap="1">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pPr>
        <w:spacing w:line="1000" w:lineRule="exact"/>
        <w:jc w:val="center"/>
        <w:rPr>
          <w:rFonts w:ascii="仿宋" w:hAnsi="仿宋" w:eastAsia="仿宋"/>
          <w:b/>
          <w:bCs w:val="0"/>
          <w:color w:val="auto"/>
          <w:sz w:val="44"/>
          <w:szCs w:val="44"/>
        </w:rPr>
      </w:pPr>
      <w:r>
        <w:rPr>
          <w:rFonts w:hint="eastAsia" w:ascii="仿宋" w:hAnsi="仿宋" w:eastAsia="仿宋"/>
          <w:b/>
          <w:bCs w:val="0"/>
          <w:color w:val="auto"/>
          <w:sz w:val="44"/>
          <w:szCs w:val="44"/>
        </w:rPr>
        <w:t>江西科技学院关于</w:t>
      </w:r>
      <w:r>
        <w:rPr>
          <w:rFonts w:hint="eastAsia" w:ascii="仿宋" w:hAnsi="仿宋" w:eastAsia="仿宋"/>
          <w:b/>
          <w:bCs w:val="0"/>
          <w:color w:val="auto"/>
          <w:sz w:val="44"/>
          <w:szCs w:val="44"/>
          <w:lang w:val="en-US" w:eastAsia="zh-CN"/>
        </w:rPr>
        <w:t>2022年秋季招生简章印制</w:t>
      </w:r>
      <w:r>
        <w:rPr>
          <w:rFonts w:hint="eastAsia" w:ascii="仿宋" w:hAnsi="仿宋" w:eastAsia="仿宋"/>
          <w:b/>
          <w:bCs w:val="0"/>
          <w:color w:val="auto"/>
          <w:sz w:val="44"/>
          <w:szCs w:val="44"/>
        </w:rPr>
        <w:t>采购项目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1943" w:firstLineChars="645"/>
        <w:rPr>
          <w:rFonts w:ascii="仿宋" w:hAnsi="仿宋" w:eastAsia="仿宋"/>
          <w:b/>
          <w:color w:val="auto"/>
          <w:sz w:val="30"/>
          <w:szCs w:val="30"/>
        </w:rPr>
      </w:pPr>
      <w:r>
        <w:rPr>
          <w:rFonts w:hint="eastAsia" w:ascii="仿宋" w:hAnsi="仿宋" w:eastAsia="仿宋"/>
          <w:b/>
          <w:color w:val="auto"/>
          <w:sz w:val="30"/>
          <w:szCs w:val="30"/>
        </w:rPr>
        <w:t>参与人名称（公司全称）：</w:t>
      </w:r>
      <w:r>
        <w:rPr>
          <w:rFonts w:ascii="仿宋" w:hAnsi="仿宋" w:eastAsia="仿宋"/>
          <w:b/>
          <w:color w:val="auto"/>
          <w:sz w:val="30"/>
          <w:szCs w:val="30"/>
        </w:rPr>
        <w:t>XXXX</w:t>
      </w:r>
    </w:p>
    <w:p>
      <w:pPr>
        <w:spacing w:line="500" w:lineRule="exact"/>
        <w:ind w:firstLine="1943" w:firstLineChars="645"/>
        <w:rPr>
          <w:rFonts w:ascii="仿宋" w:hAnsi="仿宋" w:eastAsia="仿宋"/>
          <w:b/>
          <w:color w:val="auto"/>
          <w:sz w:val="30"/>
          <w:szCs w:val="30"/>
        </w:rPr>
      </w:pPr>
      <w:r>
        <w:rPr>
          <w:rFonts w:hint="eastAsia" w:ascii="仿宋" w:hAnsi="仿宋" w:eastAsia="仿宋"/>
          <w:b/>
          <w:color w:val="auto"/>
          <w:sz w:val="30"/>
          <w:szCs w:val="30"/>
        </w:rPr>
        <w:t>参与人授权代表：X</w:t>
      </w:r>
      <w:r>
        <w:rPr>
          <w:rFonts w:ascii="仿宋" w:hAnsi="仿宋" w:eastAsia="仿宋"/>
          <w:b/>
          <w:color w:val="auto"/>
          <w:sz w:val="30"/>
          <w:szCs w:val="30"/>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14" w:type="first"/>
          <w:headerReference r:id="rId13" w:type="default"/>
          <w:type w:val="continuous"/>
          <w:pgSz w:w="11906" w:h="16838"/>
          <w:pgMar w:top="1440" w:right="1416" w:bottom="1440" w:left="1134" w:header="851" w:footer="680" w:gutter="0"/>
          <w:cols w:space="425" w:num="1"/>
          <w:titlePg/>
          <w:docGrid w:type="lines" w:linePitch="312" w:charSpace="0"/>
        </w:sectPr>
      </w:pPr>
    </w:p>
    <w:p>
      <w:pPr>
        <w:jc w:val="center"/>
        <w:outlineLvl w:val="1"/>
        <w:rPr>
          <w:rFonts w:hint="eastAsia" w:ascii="仿宋" w:hAnsi="仿宋" w:eastAsia="仿宋" w:cs="仿宋"/>
          <w:b/>
          <w:bCs/>
          <w:color w:val="auto"/>
          <w:sz w:val="28"/>
          <w:szCs w:val="28"/>
        </w:rPr>
      </w:pPr>
      <w:bookmarkStart w:id="51" w:name="_Toc267059919"/>
      <w:bookmarkStart w:id="52" w:name="_Toc219800243"/>
      <w:bookmarkStart w:id="53" w:name="_Toc267059030"/>
      <w:bookmarkStart w:id="54" w:name="_Toc223146608"/>
      <w:bookmarkStart w:id="55" w:name="_Toc213755995"/>
      <w:bookmarkStart w:id="56" w:name="_Toc160880160"/>
      <w:bookmarkStart w:id="57" w:name="_Toc217891402"/>
      <w:bookmarkStart w:id="58" w:name="_Toc225669322"/>
      <w:bookmarkStart w:id="59" w:name="_Toc213755858"/>
      <w:bookmarkStart w:id="60" w:name="_Toc191783222"/>
      <w:bookmarkStart w:id="61" w:name="_Toc191803626"/>
      <w:bookmarkStart w:id="62" w:name="_Toc191789329"/>
      <w:bookmarkStart w:id="63" w:name="_Toc213208766"/>
      <w:bookmarkStart w:id="64" w:name="_Toc192996338"/>
      <w:bookmarkStart w:id="65" w:name="_Toc211917116"/>
      <w:bookmarkStart w:id="66" w:name="_Toc192664153"/>
      <w:bookmarkStart w:id="67" w:name="_Toc266868937"/>
      <w:bookmarkStart w:id="68" w:name="_Toc203355733"/>
      <w:bookmarkStart w:id="69" w:name="_Toc267060068"/>
      <w:bookmarkStart w:id="70" w:name="_Toc213755939"/>
      <w:bookmarkStart w:id="71" w:name="_Toc266870833"/>
      <w:bookmarkStart w:id="72" w:name="_Toc266870432"/>
      <w:bookmarkStart w:id="73" w:name="_Toc192996446"/>
      <w:bookmarkStart w:id="74" w:name="_Toc213756051"/>
      <w:bookmarkStart w:id="75" w:name="_Toc267060208"/>
      <w:bookmarkStart w:id="76" w:name="_Toc193160448"/>
      <w:bookmarkStart w:id="77" w:name="_Toc255975007"/>
      <w:bookmarkStart w:id="78" w:name="_Toc181436461"/>
      <w:bookmarkStart w:id="79" w:name="_Toc235437991"/>
      <w:bookmarkStart w:id="80" w:name="_Toc267059539"/>
      <w:bookmarkStart w:id="81" w:name="_Toc193165734"/>
      <w:bookmarkStart w:id="82" w:name="_Toc235438274"/>
      <w:bookmarkStart w:id="83" w:name="_Toc267060321"/>
      <w:bookmarkStart w:id="84" w:name="_Toc192663686"/>
      <w:bookmarkStart w:id="85" w:name="_Toc192663835"/>
      <w:bookmarkStart w:id="86" w:name="_Toc191802690"/>
      <w:bookmarkStart w:id="87" w:name="_Toc267060453"/>
      <w:bookmarkStart w:id="88" w:name="_Toc182805217"/>
      <w:bookmarkStart w:id="89" w:name="_Toc253066614"/>
      <w:bookmarkStart w:id="90" w:name="_Toc232302115"/>
      <w:bookmarkStart w:id="91" w:name="_Toc267059181"/>
      <w:bookmarkStart w:id="92" w:name="_Toc180302913"/>
      <w:bookmarkStart w:id="93" w:name="_Toc266868670"/>
      <w:bookmarkStart w:id="94" w:name="_Toc251586231"/>
      <w:bookmarkStart w:id="95" w:name="_Toc266870907"/>
      <w:bookmarkStart w:id="96" w:name="_Toc254790899"/>
      <w:bookmarkStart w:id="97" w:name="_Toc236021449"/>
      <w:bookmarkStart w:id="98" w:name="_Toc259692740"/>
      <w:bookmarkStart w:id="99" w:name="_Toc258401256"/>
      <w:bookmarkStart w:id="100" w:name="_Toc230071147"/>
      <w:bookmarkStart w:id="101" w:name="_Toc249325711"/>
      <w:bookmarkStart w:id="102" w:name="_Toc259692647"/>
      <w:bookmarkStart w:id="103" w:name="_Toc235438344"/>
      <w:bookmarkStart w:id="104" w:name="_Toc227058530"/>
      <w:bookmarkStart w:id="105" w:name="_Toc181436565"/>
      <w:bookmarkStart w:id="106" w:name="_Toc251613829"/>
      <w:bookmarkStart w:id="107" w:name="_Toc259520865"/>
      <w:bookmarkStart w:id="108" w:name="_Toc267059653"/>
      <w:bookmarkStart w:id="109" w:name="_Toc177985469"/>
      <w:bookmarkStart w:id="110" w:name="_Toc160880529"/>
      <w:bookmarkStart w:id="111" w:name="_Toc170798793"/>
      <w:bookmarkStart w:id="112" w:name="_Toc267059806"/>
      <w:bookmarkStart w:id="113" w:name="_Toc182372782"/>
      <w:bookmarkStart w:id="114" w:name="_Toc273178698"/>
      <w:bookmarkStart w:id="115" w:name="_Toc169332838"/>
      <w:bookmarkStart w:id="116" w:name="_Toc169332949"/>
      <w:r>
        <w:rPr>
          <w:rFonts w:hint="eastAsia" w:ascii="仿宋" w:hAnsi="仿宋" w:eastAsia="仿宋" w:cs="仿宋"/>
          <w:b/>
          <w:bCs/>
          <w:color w:val="auto"/>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cs="仿宋"/>
          <w:b/>
          <w:bCs/>
          <w:color w:val="auto"/>
          <w:sz w:val="28"/>
          <w:szCs w:val="28"/>
        </w:rPr>
        <w:t>询价响应函</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致：XXX学校</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根据贵学校编号为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项目名称为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的公开询价邀请，本签字代表</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（全名、职务）正式授权并代表我方</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（参与人公司名称）提交下述文件。</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 报价一览表</w:t>
      </w:r>
    </w:p>
    <w:p>
      <w:pPr>
        <w:spacing w:after="0" w:line="480" w:lineRule="exact"/>
        <w:ind w:firstLine="425" w:firstLineChars="152"/>
        <w:rPr>
          <w:rFonts w:hint="eastAsia" w:ascii="仿宋" w:hAnsi="仿宋" w:eastAsia="仿宋" w:cs="仿宋"/>
          <w:color w:val="auto"/>
          <w:sz w:val="28"/>
          <w:szCs w:val="28"/>
        </w:rPr>
      </w:pPr>
      <w:r>
        <w:rPr>
          <w:rFonts w:hint="eastAsia" w:ascii="仿宋" w:hAnsi="仿宋" w:eastAsia="仿宋" w:cs="仿宋"/>
          <w:color w:val="auto"/>
          <w:sz w:val="28"/>
          <w:szCs w:val="28"/>
        </w:rPr>
        <w:t xml:space="preserve"> (2) 参与人资质证明</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据此函，签字代表宣布同意如下：</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1.所附详细报价表中规定的应提供和交付的货物及服务报价总价（国内现场交货价）为人民币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，即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（中文表述），交货期为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天 。</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3.保证遵守公开询价文件的全部规定，所提交的材料中所含的信息均为真实、准确、完整，且不具有任何误导性。</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4.同意按公开询价文件的规定履行合同责任和义务。</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5.同意提供按照贵方可能要求的与其公开询价有关的一切数据或资料</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560" w:firstLineChars="200"/>
        <w:rPr>
          <w:rFonts w:hint="eastAsia" w:ascii="仿宋" w:hAnsi="仿宋" w:eastAsia="仿宋" w:cs="仿宋"/>
          <w:color w:val="auto"/>
          <w:sz w:val="28"/>
          <w:szCs w:val="28"/>
        </w:rPr>
      </w:pPr>
    </w:p>
    <w:p>
      <w:pPr>
        <w:spacing w:after="0" w:line="48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w:t>
      </w:r>
    </w:p>
    <w:p>
      <w:pPr>
        <w:spacing w:after="0" w:line="48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w:t>
      </w:r>
    </w:p>
    <w:p>
      <w:pPr>
        <w:spacing w:after="0" w:line="480" w:lineRule="exact"/>
        <w:ind w:left="284" w:leftChars="129" w:firstLine="282" w:firstLineChars="101"/>
        <w:rPr>
          <w:rFonts w:hint="eastAsia" w:ascii="仿宋" w:hAnsi="仿宋" w:eastAsia="仿宋" w:cs="仿宋"/>
          <w:color w:val="auto"/>
          <w:sz w:val="28"/>
          <w:szCs w:val="28"/>
          <w:u w:val="single"/>
        </w:rPr>
      </w:pPr>
      <w:r>
        <w:rPr>
          <w:rFonts w:hint="eastAsia" w:ascii="仿宋" w:hAnsi="仿宋" w:eastAsia="仿宋" w:cs="仿宋"/>
          <w:color w:val="auto"/>
          <w:sz w:val="28"/>
          <w:szCs w:val="28"/>
        </w:rPr>
        <w:t>参与人（公司全称并加盖公章）：</w:t>
      </w:r>
      <w:r>
        <w:rPr>
          <w:rFonts w:hint="eastAsia" w:ascii="仿宋" w:hAnsi="仿宋" w:eastAsia="仿宋" w:cs="仿宋"/>
          <w:color w:val="auto"/>
          <w:sz w:val="28"/>
          <w:szCs w:val="28"/>
          <w:u w:val="single"/>
        </w:rPr>
        <w:t xml:space="preserve">                       </w:t>
      </w:r>
    </w:p>
    <w:p>
      <w:pPr>
        <w:spacing w:after="0" w:line="480" w:lineRule="exact"/>
        <w:ind w:left="284" w:leftChars="129" w:firstLine="282" w:firstLineChars="101"/>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参与人授权代表签字： </w:t>
      </w:r>
      <w:r>
        <w:rPr>
          <w:rFonts w:hint="eastAsia" w:ascii="仿宋" w:hAnsi="仿宋" w:eastAsia="仿宋" w:cs="仿宋"/>
          <w:color w:val="auto"/>
          <w:sz w:val="28"/>
          <w:szCs w:val="28"/>
          <w:u w:val="single"/>
        </w:rPr>
        <w:t xml:space="preserve">                </w:t>
      </w:r>
    </w:p>
    <w:p>
      <w:pPr>
        <w:spacing w:after="0" w:line="480" w:lineRule="exact"/>
        <w:ind w:left="284" w:leftChars="129" w:firstLine="282" w:firstLineChars="101"/>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电  话：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r>
        <w:rPr>
          <w:rFonts w:hint="eastAsia" w:ascii="仿宋" w:hAnsi="仿宋" w:eastAsia="仿宋" w:cs="仿宋"/>
          <w:b/>
          <w:bCs/>
          <w:color w:val="auto"/>
          <w:sz w:val="28"/>
          <w:szCs w:val="28"/>
        </w:rPr>
        <w:t>（手机号码）</w:t>
      </w:r>
    </w:p>
    <w:p>
      <w:pPr>
        <w:pStyle w:val="58"/>
        <w:spacing w:line="480" w:lineRule="exact"/>
        <w:ind w:firstLine="560" w:firstLineChars="200"/>
        <w:jc w:val="left"/>
        <w:outlineLvl w:val="9"/>
        <w:rPr>
          <w:rFonts w:hint="eastAsia" w:ascii="仿宋" w:hAnsi="仿宋" w:eastAsia="仿宋" w:cs="仿宋"/>
          <w:color w:val="auto"/>
          <w:sz w:val="28"/>
          <w:szCs w:val="28"/>
        </w:rPr>
      </w:pPr>
      <w:r>
        <w:rPr>
          <w:rFonts w:hint="eastAsia" w:ascii="仿宋" w:hAnsi="仿宋" w:eastAsia="仿宋" w:cs="仿宋"/>
          <w:color w:val="auto"/>
          <w:sz w:val="28"/>
          <w:szCs w:val="28"/>
        </w:rPr>
        <w:t xml:space="preserve">日  期：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年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月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rPr>
          <w:rFonts w:hint="eastAsia" w:ascii="仿宋" w:hAnsi="仿宋" w:eastAsia="仿宋" w:cs="仿宋"/>
          <w:color w:val="auto"/>
          <w:kern w:val="2"/>
          <w:sz w:val="28"/>
          <w:szCs w:val="28"/>
        </w:rPr>
      </w:pPr>
      <w:r>
        <w:rPr>
          <w:rFonts w:hint="eastAsia" w:ascii="仿宋" w:hAnsi="仿宋" w:eastAsia="仿宋" w:cs="仿宋"/>
          <w:color w:val="auto"/>
          <w:sz w:val="28"/>
          <w:szCs w:val="28"/>
        </w:rPr>
        <w:br w:type="page"/>
      </w:r>
    </w:p>
    <w:p>
      <w:pPr>
        <w:numPr>
          <w:ilvl w:val="0"/>
          <w:numId w:val="4"/>
        </w:numPr>
        <w:jc w:val="center"/>
        <w:outlineLvl w:val="1"/>
        <w:rPr>
          <w:rFonts w:hint="eastAsia" w:ascii="仿宋" w:hAnsi="仿宋" w:eastAsia="仿宋" w:cs="仿宋"/>
          <w:b/>
          <w:bCs/>
          <w:color w:val="auto"/>
          <w:sz w:val="24"/>
          <w:szCs w:val="24"/>
        </w:rPr>
      </w:pPr>
      <w:r>
        <w:rPr>
          <w:rFonts w:hint="eastAsia" w:ascii="仿宋" w:hAnsi="仿宋" w:eastAsia="仿宋" w:cs="仿宋"/>
          <w:b/>
          <w:bCs/>
          <w:color w:val="auto"/>
          <w:sz w:val="24"/>
          <w:szCs w:val="24"/>
        </w:rPr>
        <w:t>报价一览表</w:t>
      </w:r>
    </w:p>
    <w:tbl>
      <w:tblPr>
        <w:tblStyle w:val="24"/>
        <w:tblW w:w="10327" w:type="dxa"/>
        <w:jc w:val="center"/>
        <w:tblLayout w:type="fixed"/>
        <w:tblCellMar>
          <w:top w:w="0" w:type="dxa"/>
          <w:left w:w="108" w:type="dxa"/>
          <w:bottom w:w="0" w:type="dxa"/>
          <w:right w:w="108" w:type="dxa"/>
        </w:tblCellMar>
      </w:tblPr>
      <w:tblGrid>
        <w:gridCol w:w="612"/>
        <w:gridCol w:w="1048"/>
        <w:gridCol w:w="2285"/>
        <w:gridCol w:w="637"/>
        <w:gridCol w:w="1013"/>
        <w:gridCol w:w="1114"/>
        <w:gridCol w:w="1140"/>
        <w:gridCol w:w="1263"/>
        <w:gridCol w:w="1215"/>
      </w:tblGrid>
      <w:tr>
        <w:tblPrEx>
          <w:tblCellMar>
            <w:top w:w="0" w:type="dxa"/>
            <w:left w:w="108" w:type="dxa"/>
            <w:bottom w:w="0" w:type="dxa"/>
            <w:right w:w="108" w:type="dxa"/>
          </w:tblCellMar>
        </w:tblPrEx>
        <w:trPr>
          <w:trHeight w:val="750" w:hRule="atLeast"/>
          <w:jc w:val="center"/>
        </w:trPr>
        <w:tc>
          <w:tcPr>
            <w:tcW w:w="6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olor w:val="auto"/>
              </w:rPr>
              <w:t>序号</w:t>
            </w:r>
          </w:p>
        </w:tc>
        <w:tc>
          <w:tcPr>
            <w:tcW w:w="1048"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olor w:val="auto"/>
                <w:lang w:val="en-US" w:eastAsia="zh-CN"/>
              </w:rPr>
              <w:t>货物</w:t>
            </w:r>
            <w:r>
              <w:rPr>
                <w:rFonts w:hint="eastAsia" w:ascii="仿宋" w:hAnsi="仿宋" w:eastAsia="仿宋"/>
                <w:color w:val="auto"/>
              </w:rPr>
              <w:t>名称</w:t>
            </w:r>
          </w:p>
        </w:tc>
        <w:tc>
          <w:tcPr>
            <w:tcW w:w="2285"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olor w:val="auto"/>
              </w:rPr>
              <w:t>规格型号</w:t>
            </w:r>
          </w:p>
        </w:tc>
        <w:tc>
          <w:tcPr>
            <w:tcW w:w="637"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olor w:val="auto"/>
              </w:rPr>
              <w:t>单位</w:t>
            </w:r>
          </w:p>
        </w:tc>
        <w:tc>
          <w:tcPr>
            <w:tcW w:w="1013"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olor w:val="auto"/>
              </w:rPr>
              <w:t>数量</w:t>
            </w:r>
          </w:p>
        </w:tc>
        <w:tc>
          <w:tcPr>
            <w:tcW w:w="1114"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olor w:val="auto"/>
              </w:rPr>
              <w:t>单价（元）</w:t>
            </w:r>
          </w:p>
        </w:tc>
        <w:tc>
          <w:tcPr>
            <w:tcW w:w="1140"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olor w:val="auto"/>
              </w:rPr>
              <w:t>总价（元）</w:t>
            </w:r>
          </w:p>
        </w:tc>
        <w:tc>
          <w:tcPr>
            <w:tcW w:w="1263"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s="Tahoma"/>
                <w:b/>
                <w:bCs/>
                <w:color w:val="auto"/>
                <w:sz w:val="20"/>
                <w:szCs w:val="20"/>
              </w:rPr>
              <w:t>是否提供样品</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olor w:val="auto"/>
                <w:lang w:eastAsia="zh-CN"/>
              </w:rPr>
            </w:pPr>
            <w:r>
              <w:rPr>
                <w:rFonts w:hint="eastAsia" w:ascii="仿宋" w:hAnsi="仿宋" w:eastAsia="仿宋"/>
                <w:color w:val="auto"/>
                <w:lang w:eastAsia="zh-CN"/>
              </w:rPr>
              <w:t>备注</w:t>
            </w:r>
          </w:p>
        </w:tc>
      </w:tr>
      <w:tr>
        <w:tblPrEx>
          <w:tblCellMar>
            <w:top w:w="0" w:type="dxa"/>
            <w:left w:w="108" w:type="dxa"/>
            <w:bottom w:w="0" w:type="dxa"/>
            <w:right w:w="108" w:type="dxa"/>
          </w:tblCellMar>
        </w:tblPrEx>
        <w:trPr>
          <w:trHeight w:val="1950" w:hRule="atLeast"/>
          <w:jc w:val="center"/>
        </w:trPr>
        <w:tc>
          <w:tcPr>
            <w:tcW w:w="612"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ascii="仿宋" w:hAnsi="仿宋" w:eastAsia="仿宋"/>
                <w:color w:val="auto"/>
                <w:lang w:val="en-US" w:eastAsia="zh-CN"/>
              </w:rPr>
            </w:pPr>
            <w:r>
              <w:rPr>
                <w:rFonts w:hint="eastAsia" w:ascii="仿宋" w:hAnsi="仿宋" w:eastAsia="仿宋"/>
                <w:color w:val="auto"/>
                <w:lang w:val="en-US" w:eastAsia="zh-CN"/>
              </w:rPr>
              <w:t>1</w:t>
            </w:r>
          </w:p>
        </w:tc>
        <w:tc>
          <w:tcPr>
            <w:tcW w:w="1048" w:type="dxa"/>
            <w:tcBorders>
              <w:top w:val="nil"/>
              <w:left w:val="nil"/>
              <w:bottom w:val="single" w:color="auto" w:sz="4" w:space="0"/>
              <w:right w:val="single" w:color="auto" w:sz="4" w:space="0"/>
            </w:tcBorders>
            <w:shd w:val="clear" w:color="auto" w:fill="auto"/>
            <w:noWrap w:val="0"/>
            <w:vAlign w:val="center"/>
          </w:tcPr>
          <w:p>
            <w:pPr>
              <w:jc w:val="center"/>
              <w:rPr>
                <w:rFonts w:ascii="仿宋" w:hAnsi="仿宋" w:eastAsia="仿宋"/>
                <w:color w:val="auto"/>
              </w:rPr>
            </w:pPr>
            <w:r>
              <w:rPr>
                <w:rFonts w:hint="eastAsia" w:ascii="仿宋" w:hAnsi="仿宋" w:eastAsia="仿宋"/>
                <w:color w:val="auto"/>
              </w:rPr>
              <w:t>招生简章</w:t>
            </w:r>
          </w:p>
        </w:tc>
        <w:tc>
          <w:tcPr>
            <w:tcW w:w="2285" w:type="dxa"/>
            <w:tcBorders>
              <w:top w:val="nil"/>
              <w:left w:val="nil"/>
              <w:bottom w:val="single" w:color="auto" w:sz="4" w:space="0"/>
              <w:right w:val="single" w:color="auto" w:sz="4" w:space="0"/>
            </w:tcBorders>
            <w:shd w:val="clear" w:color="auto" w:fill="FFFFFF"/>
            <w:noWrap w:val="0"/>
            <w:vAlign w:val="center"/>
          </w:tcPr>
          <w:p>
            <w:pPr>
              <w:rPr>
                <w:rFonts w:hint="eastAsia" w:ascii="仿宋" w:hAnsi="仿宋" w:eastAsia="仿宋"/>
                <w:color w:val="auto"/>
                <w:lang w:eastAsia="zh-CN"/>
              </w:rPr>
            </w:pPr>
            <w:r>
              <w:rPr>
                <w:rFonts w:hint="eastAsia" w:ascii="仿宋" w:hAnsi="仿宋" w:eastAsia="仿宋"/>
                <w:color w:val="auto"/>
              </w:rPr>
              <w:t>规格型号：202</w:t>
            </w:r>
            <w:r>
              <w:rPr>
                <w:rFonts w:hint="eastAsia" w:ascii="仿宋" w:hAnsi="仿宋" w:eastAsia="仿宋"/>
                <w:color w:val="auto"/>
                <w:lang w:val="en-US" w:eastAsia="zh-CN"/>
              </w:rPr>
              <w:t>2</w:t>
            </w:r>
            <w:r>
              <w:rPr>
                <w:rFonts w:hint="eastAsia" w:ascii="仿宋" w:hAnsi="仿宋" w:eastAsia="仿宋"/>
                <w:color w:val="auto"/>
              </w:rPr>
              <w:t>年秋季，</w:t>
            </w:r>
            <w:r>
              <w:rPr>
                <w:rFonts w:hint="eastAsia" w:ascii="仿宋" w:hAnsi="仿宋" w:eastAsia="仿宋"/>
                <w:color w:val="auto"/>
                <w:lang w:eastAsia="zh-CN"/>
              </w:rPr>
              <w:t>28P，14张29.7CM×42CM</w:t>
            </w:r>
            <w:r>
              <w:rPr>
                <w:rFonts w:hint="eastAsia" w:ascii="仿宋" w:hAnsi="仿宋" w:eastAsia="仿宋"/>
                <w:color w:val="auto"/>
              </w:rPr>
              <w:t>（</w:t>
            </w:r>
            <w:r>
              <w:rPr>
                <w:rFonts w:hint="eastAsia" w:ascii="仿宋" w:hAnsi="仿宋" w:eastAsia="仿宋"/>
                <w:color w:val="auto"/>
                <w:lang w:eastAsia="zh-CN"/>
              </w:rPr>
              <w:t>全本</w:t>
            </w:r>
            <w:r>
              <w:rPr>
                <w:rFonts w:hint="eastAsia" w:ascii="仿宋" w:hAnsi="仿宋" w:eastAsia="仿宋"/>
                <w:color w:val="auto"/>
              </w:rPr>
              <w:t>157g铜</w:t>
            </w:r>
            <w:r>
              <w:rPr>
                <w:rFonts w:hint="eastAsia" w:ascii="仿宋" w:hAnsi="仿宋" w:eastAsia="仿宋"/>
                <w:color w:val="auto"/>
                <w:lang w:val="en-US" w:eastAsia="zh-CN"/>
              </w:rPr>
              <w:t>板纸双面彩印，封面覆亚膜，骑马装订</w:t>
            </w:r>
            <w:r>
              <w:rPr>
                <w:rFonts w:hint="eastAsia" w:ascii="仿宋" w:hAnsi="仿宋" w:eastAsia="仿宋"/>
                <w:color w:val="auto"/>
              </w:rPr>
              <w:t>）</w:t>
            </w:r>
            <w:r>
              <w:rPr>
                <w:rFonts w:hint="eastAsia" w:ascii="仿宋" w:hAnsi="仿宋" w:eastAsia="仿宋"/>
                <w:color w:val="auto"/>
                <w:lang w:eastAsia="zh-CN"/>
              </w:rPr>
              <w:t xml:space="preserve">； </w:t>
            </w:r>
          </w:p>
        </w:tc>
        <w:tc>
          <w:tcPr>
            <w:tcW w:w="637" w:type="dxa"/>
            <w:tcBorders>
              <w:top w:val="nil"/>
              <w:left w:val="nil"/>
              <w:bottom w:val="single" w:color="auto" w:sz="4" w:space="0"/>
              <w:right w:val="single" w:color="auto" w:sz="4" w:space="0"/>
            </w:tcBorders>
            <w:noWrap w:val="0"/>
            <w:vAlign w:val="center"/>
          </w:tcPr>
          <w:p>
            <w:pPr>
              <w:jc w:val="center"/>
              <w:rPr>
                <w:rFonts w:ascii="仿宋" w:hAnsi="仿宋" w:eastAsia="仿宋"/>
                <w:color w:val="auto"/>
              </w:rPr>
            </w:pPr>
            <w:r>
              <w:rPr>
                <w:rFonts w:hint="eastAsia" w:ascii="仿宋" w:hAnsi="仿宋" w:eastAsia="仿宋"/>
                <w:color w:val="auto"/>
              </w:rPr>
              <w:t>份</w:t>
            </w:r>
          </w:p>
        </w:tc>
        <w:tc>
          <w:tcPr>
            <w:tcW w:w="1013" w:type="dxa"/>
            <w:tcBorders>
              <w:top w:val="nil"/>
              <w:left w:val="nil"/>
              <w:bottom w:val="single" w:color="auto" w:sz="4" w:space="0"/>
              <w:right w:val="single" w:color="auto" w:sz="4" w:space="0"/>
            </w:tcBorders>
            <w:noWrap w:val="0"/>
            <w:vAlign w:val="center"/>
          </w:tcPr>
          <w:p>
            <w:pPr>
              <w:jc w:val="left"/>
              <w:rPr>
                <w:rFonts w:hint="eastAsia" w:ascii="仿宋" w:hAnsi="仿宋" w:eastAsia="仿宋"/>
                <w:color w:val="auto"/>
              </w:rPr>
            </w:pPr>
          </w:p>
          <w:p>
            <w:pPr>
              <w:jc w:val="left"/>
              <w:rPr>
                <w:rFonts w:hint="eastAsia" w:ascii="仿宋" w:hAnsi="仿宋" w:eastAsia="仿宋"/>
                <w:color w:val="auto"/>
              </w:rPr>
            </w:pPr>
            <w:r>
              <w:rPr>
                <w:rFonts w:hint="eastAsia" w:ascii="仿宋" w:hAnsi="仿宋" w:eastAsia="仿宋"/>
                <w:color w:val="auto"/>
              </w:rPr>
              <w:t>100000</w:t>
            </w:r>
          </w:p>
          <w:p>
            <w:pPr>
              <w:jc w:val="center"/>
              <w:rPr>
                <w:rFonts w:ascii="仿宋" w:hAnsi="仿宋" w:eastAsia="仿宋"/>
                <w:color w:val="auto"/>
              </w:rPr>
            </w:pPr>
          </w:p>
        </w:tc>
        <w:tc>
          <w:tcPr>
            <w:tcW w:w="1114" w:type="dxa"/>
            <w:tcBorders>
              <w:top w:val="nil"/>
              <w:left w:val="nil"/>
              <w:bottom w:val="single" w:color="auto" w:sz="4" w:space="0"/>
              <w:right w:val="single" w:color="auto" w:sz="4" w:space="0"/>
            </w:tcBorders>
            <w:noWrap w:val="0"/>
            <w:vAlign w:val="center"/>
          </w:tcPr>
          <w:p>
            <w:pPr>
              <w:jc w:val="center"/>
              <w:rPr>
                <w:rFonts w:ascii="仿宋" w:hAnsi="仿宋" w:eastAsia="仿宋"/>
                <w:color w:val="auto"/>
              </w:rPr>
            </w:pPr>
          </w:p>
        </w:tc>
        <w:tc>
          <w:tcPr>
            <w:tcW w:w="1140" w:type="dxa"/>
            <w:tcBorders>
              <w:top w:val="nil"/>
              <w:left w:val="nil"/>
              <w:bottom w:val="single" w:color="auto" w:sz="4" w:space="0"/>
              <w:right w:val="single" w:color="auto" w:sz="4" w:space="0"/>
            </w:tcBorders>
            <w:noWrap w:val="0"/>
            <w:vAlign w:val="center"/>
          </w:tcPr>
          <w:p>
            <w:pPr>
              <w:jc w:val="center"/>
              <w:rPr>
                <w:rFonts w:ascii="仿宋" w:hAnsi="仿宋" w:eastAsia="仿宋"/>
                <w:color w:val="auto"/>
              </w:rPr>
            </w:pPr>
          </w:p>
        </w:tc>
        <w:tc>
          <w:tcPr>
            <w:tcW w:w="1263" w:type="dxa"/>
            <w:tcBorders>
              <w:top w:val="nil"/>
              <w:left w:val="nil"/>
              <w:bottom w:val="single" w:color="auto" w:sz="4" w:space="0"/>
              <w:right w:val="single" w:color="auto" w:sz="4" w:space="0"/>
            </w:tcBorders>
            <w:noWrap w:val="0"/>
            <w:vAlign w:val="center"/>
          </w:tcPr>
          <w:p>
            <w:pPr>
              <w:jc w:val="center"/>
              <w:rPr>
                <w:rFonts w:hint="eastAsia" w:ascii="仿宋" w:hAnsi="仿宋" w:eastAsia="仿宋"/>
                <w:color w:val="auto"/>
                <w:lang w:eastAsia="zh-CN"/>
              </w:rPr>
            </w:pPr>
            <w:r>
              <w:rPr>
                <w:rFonts w:hint="eastAsia" w:ascii="仿宋" w:hAnsi="仿宋" w:eastAsia="仿宋" w:cs="Tahoma"/>
                <w:color w:val="auto"/>
                <w:sz w:val="20"/>
                <w:szCs w:val="20"/>
              </w:rPr>
              <w:t>是</w:t>
            </w:r>
          </w:p>
        </w:tc>
        <w:tc>
          <w:tcPr>
            <w:tcW w:w="1215" w:type="dxa"/>
            <w:tcBorders>
              <w:top w:val="nil"/>
              <w:left w:val="nil"/>
              <w:bottom w:val="single" w:color="auto" w:sz="4" w:space="0"/>
              <w:right w:val="single" w:color="auto" w:sz="4" w:space="0"/>
            </w:tcBorders>
            <w:noWrap w:val="0"/>
            <w:vAlign w:val="center"/>
          </w:tcPr>
          <w:p>
            <w:pPr>
              <w:jc w:val="left"/>
              <w:rPr>
                <w:rFonts w:hint="eastAsia" w:ascii="仿宋" w:hAnsi="仿宋" w:eastAsia="仿宋"/>
                <w:color w:val="auto"/>
                <w:lang w:eastAsia="zh-CN"/>
              </w:rPr>
            </w:pPr>
            <w:r>
              <w:rPr>
                <w:rFonts w:hint="eastAsia" w:ascii="仿宋" w:hAnsi="仿宋" w:eastAsia="仿宋"/>
                <w:color w:val="auto"/>
                <w:lang w:eastAsia="zh-CN"/>
              </w:rPr>
              <w:t>有设计稿，见样品；具体咨询学校业务对接人</w:t>
            </w:r>
          </w:p>
        </w:tc>
      </w:tr>
    </w:tbl>
    <w:p>
      <w:pPr>
        <w:numPr>
          <w:numId w:val="0"/>
        </w:numPr>
        <w:jc w:val="both"/>
        <w:outlineLvl w:val="1"/>
        <w:rPr>
          <w:rFonts w:hint="eastAsia" w:ascii="仿宋" w:hAnsi="仿宋" w:eastAsia="仿宋" w:cs="仿宋"/>
          <w:b/>
          <w:bCs/>
          <w:color w:val="auto"/>
          <w:sz w:val="24"/>
          <w:szCs w:val="24"/>
        </w:rPr>
      </w:pPr>
    </w:p>
    <w:p>
      <w:pPr>
        <w:numPr>
          <w:ilvl w:val="0"/>
          <w:numId w:val="0"/>
        </w:numPr>
        <w:jc w:val="both"/>
        <w:outlineLvl w:val="1"/>
        <w:rPr>
          <w:rFonts w:hint="eastAsia" w:ascii="仿宋" w:hAnsi="仿宋" w:eastAsia="仿宋" w:cs="仿宋"/>
          <w:b/>
          <w:bCs/>
          <w:color w:val="auto"/>
          <w:sz w:val="28"/>
          <w:szCs w:val="28"/>
        </w:rPr>
      </w:pPr>
    </w:p>
    <w:p>
      <w:pPr>
        <w:spacing w:line="380" w:lineRule="exact"/>
        <w:ind w:left="147" w:leftChars="67"/>
        <w:rPr>
          <w:rFonts w:hint="eastAsia" w:ascii="仿宋" w:hAnsi="仿宋" w:eastAsia="仿宋" w:cs="仿宋"/>
          <w:color w:val="auto"/>
          <w:sz w:val="28"/>
          <w:szCs w:val="28"/>
        </w:rPr>
      </w:pPr>
      <w:r>
        <w:rPr>
          <w:rFonts w:hint="eastAsia" w:ascii="仿宋" w:hAnsi="仿宋" w:eastAsia="仿宋" w:cs="仿宋"/>
          <w:color w:val="auto"/>
          <w:sz w:val="28"/>
          <w:szCs w:val="28"/>
        </w:rPr>
        <w:t>参与人：</w:t>
      </w:r>
      <w:r>
        <w:rPr>
          <w:rFonts w:hint="eastAsia" w:ascii="仿宋" w:hAnsi="仿宋" w:eastAsia="仿宋" w:cs="仿宋"/>
          <w:color w:val="auto"/>
          <w:sz w:val="28"/>
          <w:szCs w:val="28"/>
          <w:lang w:val="zh-CN"/>
        </w:rPr>
        <w:t>（公司全称并加盖公章）</w:t>
      </w:r>
      <w:r>
        <w:rPr>
          <w:rFonts w:hint="eastAsia" w:ascii="仿宋" w:hAnsi="仿宋" w:eastAsia="仿宋" w:cs="仿宋"/>
          <w:color w:val="auto"/>
          <w:sz w:val="28"/>
          <w:szCs w:val="28"/>
        </w:rPr>
        <w:t>项目编号：</w:t>
      </w:r>
    </w:p>
    <w:p>
      <w:pPr>
        <w:spacing w:line="380" w:lineRule="exact"/>
        <w:ind w:left="147" w:leftChars="67"/>
        <w:rPr>
          <w:rFonts w:hint="eastAsia" w:ascii="仿宋" w:hAnsi="仿宋" w:eastAsia="仿宋" w:cs="仿宋"/>
          <w:color w:val="auto"/>
          <w:sz w:val="28"/>
          <w:szCs w:val="28"/>
        </w:rPr>
      </w:pPr>
      <w:r>
        <w:rPr>
          <w:rFonts w:hint="eastAsia" w:ascii="仿宋" w:hAnsi="仿宋" w:eastAsia="仿宋" w:cs="仿宋"/>
          <w:color w:val="auto"/>
          <w:sz w:val="28"/>
          <w:szCs w:val="28"/>
        </w:rPr>
        <w:t>货币单位：</w:t>
      </w:r>
    </w:p>
    <w:p>
      <w:pPr>
        <w:spacing w:line="380" w:lineRule="exact"/>
        <w:ind w:left="147" w:leftChars="67"/>
        <w:rPr>
          <w:rFonts w:hint="eastAsia" w:ascii="仿宋" w:hAnsi="仿宋" w:eastAsia="仿宋" w:cs="仿宋"/>
          <w:color w:val="auto"/>
          <w:sz w:val="28"/>
          <w:szCs w:val="28"/>
        </w:rPr>
      </w:pPr>
    </w:p>
    <w:p>
      <w:pPr>
        <w:spacing w:line="380" w:lineRule="exact"/>
        <w:ind w:left="147" w:leftChars="67"/>
        <w:rPr>
          <w:rFonts w:hint="eastAsia" w:ascii="仿宋" w:hAnsi="仿宋" w:eastAsia="仿宋" w:cs="仿宋"/>
          <w:color w:val="auto"/>
          <w:sz w:val="28"/>
          <w:szCs w:val="28"/>
        </w:rPr>
      </w:pPr>
      <w:r>
        <w:rPr>
          <w:rFonts w:hint="eastAsia" w:ascii="仿宋" w:hAnsi="仿宋" w:eastAsia="仿宋" w:cs="仿宋"/>
          <w:color w:val="auto"/>
          <w:sz w:val="28"/>
          <w:szCs w:val="28"/>
        </w:rPr>
        <w:t>注：1.如果按单价计算的结果与总价不一致,以单价为准修正总价。</w:t>
      </w:r>
    </w:p>
    <w:p>
      <w:pPr>
        <w:spacing w:line="380" w:lineRule="exact"/>
        <w:ind w:left="147" w:leftChars="67"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2.如果不提供详细参数和报价将视为没有实质性响应公开询价文件。</w:t>
      </w:r>
    </w:p>
    <w:p>
      <w:pPr>
        <w:spacing w:after="0" w:line="300" w:lineRule="exact"/>
        <w:ind w:firstLine="560" w:firstLineChars="200"/>
        <w:rPr>
          <w:rFonts w:hint="eastAsia" w:ascii="仿宋" w:hAnsi="仿宋" w:eastAsia="仿宋" w:cs="仿宋"/>
          <w:color w:val="auto"/>
          <w:sz w:val="28"/>
          <w:szCs w:val="28"/>
          <w:lang w:val="zh-CN"/>
        </w:rPr>
      </w:pPr>
    </w:p>
    <w:p>
      <w:pPr>
        <w:spacing w:line="380" w:lineRule="exact"/>
        <w:rPr>
          <w:rFonts w:hint="eastAsia" w:ascii="仿宋" w:hAnsi="仿宋" w:eastAsia="仿宋" w:cs="仿宋"/>
          <w:color w:val="auto"/>
          <w:sz w:val="28"/>
          <w:szCs w:val="28"/>
          <w:lang w:val="zh-CN"/>
        </w:rPr>
      </w:pPr>
    </w:p>
    <w:p>
      <w:pPr>
        <w:spacing w:line="360" w:lineRule="auto"/>
        <w:ind w:right="960"/>
        <w:jc w:val="right"/>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参与人授权代表（签字或盖章）：</w:t>
      </w:r>
    </w:p>
    <w:p>
      <w:pPr>
        <w:spacing w:line="380" w:lineRule="exact"/>
        <w:ind w:right="1120" w:firstLine="4200" w:firstLineChars="1500"/>
        <w:outlineLvl w:val="2"/>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日 期：</w:t>
      </w:r>
      <w:bookmarkStart w:id="117" w:name="_Toc235438352"/>
      <w:bookmarkStart w:id="118" w:name="_Toc169332843"/>
      <w:bookmarkStart w:id="119" w:name="_Toc182805222"/>
      <w:bookmarkStart w:id="120" w:name="_Toc193165739"/>
      <w:bookmarkStart w:id="121" w:name="_Toc193160453"/>
      <w:bookmarkStart w:id="122" w:name="_Toc213755864"/>
      <w:bookmarkStart w:id="123" w:name="_Toc227058536"/>
      <w:bookmarkStart w:id="124" w:name="_Toc267060076"/>
      <w:bookmarkStart w:id="125" w:name="_Toc235437998"/>
      <w:bookmarkStart w:id="126" w:name="_Toc255975016"/>
      <w:bookmarkStart w:id="127" w:name="_Toc251613839"/>
      <w:bookmarkStart w:id="128" w:name="_Toc192663691"/>
      <w:bookmarkStart w:id="129" w:name="_Toc249325720"/>
      <w:bookmarkStart w:id="130" w:name="_Toc266870839"/>
      <w:bookmarkStart w:id="131" w:name="_Toc181436570"/>
      <w:bookmarkStart w:id="132" w:name="_Toc169332954"/>
      <w:bookmarkStart w:id="133" w:name="_Toc191803631"/>
      <w:bookmarkStart w:id="134" w:name="_Toc203355738"/>
      <w:bookmarkStart w:id="135" w:name="_Toc160880534"/>
      <w:bookmarkStart w:id="136" w:name="_Toc177985474"/>
      <w:bookmarkStart w:id="137" w:name="_Toc192996343"/>
      <w:bookmarkStart w:id="138" w:name="_Toc213756001"/>
      <w:bookmarkStart w:id="139" w:name="_Toc235438281"/>
      <w:bookmarkStart w:id="140" w:name="_Toc266868943"/>
      <w:bookmarkStart w:id="141" w:name="_Toc267059035"/>
      <w:bookmarkStart w:id="142" w:name="_Toc253066624"/>
      <w:bookmarkStart w:id="143" w:name="_Toc259692749"/>
      <w:bookmarkStart w:id="144" w:name="_Toc213756057"/>
      <w:bookmarkStart w:id="145" w:name="_Toc266870441"/>
      <w:bookmarkStart w:id="146" w:name="_Toc232302122"/>
      <w:bookmarkStart w:id="147" w:name="_Toc180302918"/>
      <w:bookmarkStart w:id="148" w:name="_Toc267060461"/>
      <w:bookmarkStart w:id="149" w:name="_Toc225669328"/>
      <w:bookmarkStart w:id="150" w:name="_Toc258401265"/>
      <w:bookmarkStart w:id="151" w:name="_Toc192664158"/>
      <w:bookmarkStart w:id="152" w:name="_Toc267059658"/>
      <w:bookmarkStart w:id="153" w:name="_Toc266868679"/>
      <w:bookmarkStart w:id="154" w:name="_Toc170798798"/>
      <w:bookmarkStart w:id="155" w:name="_Toc160880165"/>
      <w:bookmarkStart w:id="156" w:name="_Toc267059186"/>
      <w:bookmarkStart w:id="157" w:name="_Toc182372787"/>
      <w:bookmarkStart w:id="158" w:name="_Toc230071153"/>
      <w:bookmarkStart w:id="159" w:name="_Toc267059544"/>
      <w:bookmarkStart w:id="160" w:name="_Toc213755945"/>
      <w:bookmarkStart w:id="161" w:name="_Toc267060216"/>
      <w:bookmarkStart w:id="162" w:name="_Toc213208771"/>
      <w:bookmarkStart w:id="163" w:name="_Toc251586241"/>
      <w:bookmarkStart w:id="164" w:name="_Toc223146614"/>
      <w:bookmarkStart w:id="165" w:name="_Toc267060326"/>
      <w:bookmarkStart w:id="166" w:name="_Toc211917121"/>
      <w:bookmarkStart w:id="167" w:name="_Toc259692656"/>
      <w:bookmarkStart w:id="168" w:name="_Toc266870916"/>
      <w:bookmarkStart w:id="169" w:name="_Toc254790909"/>
      <w:bookmarkStart w:id="170" w:name="_Toc236021457"/>
      <w:bookmarkStart w:id="171" w:name="_Toc259520874"/>
      <w:bookmarkStart w:id="172" w:name="_Toc267059924"/>
      <w:bookmarkStart w:id="173" w:name="_Toc273178703"/>
      <w:bookmarkStart w:id="174" w:name="_Toc192663840"/>
      <w:bookmarkStart w:id="175" w:name="_Toc217891408"/>
      <w:bookmarkStart w:id="176" w:name="_Toc192996451"/>
      <w:bookmarkStart w:id="177" w:name="_Toc191802695"/>
      <w:bookmarkStart w:id="178" w:name="_Toc267059811"/>
      <w:bookmarkStart w:id="179" w:name="_Toc191789334"/>
      <w:bookmarkStart w:id="180" w:name="_Toc219800249"/>
      <w:bookmarkStart w:id="181" w:name="_Toc191783227"/>
      <w:bookmarkStart w:id="182" w:name="_Toc181436466"/>
    </w:p>
    <w:p>
      <w:pPr>
        <w:spacing w:line="380" w:lineRule="exact"/>
        <w:ind w:right="1120" w:firstLine="4200" w:firstLineChars="1500"/>
        <w:outlineLvl w:val="2"/>
        <w:rPr>
          <w:rFonts w:hint="eastAsia" w:ascii="仿宋" w:hAnsi="仿宋" w:eastAsia="仿宋" w:cs="仿宋"/>
          <w:bCs/>
          <w:color w:val="auto"/>
          <w:sz w:val="28"/>
          <w:szCs w:val="28"/>
          <w:u w:val="single"/>
        </w:rPr>
      </w:pPr>
    </w:p>
    <w:p>
      <w:pPr>
        <w:spacing w:line="380" w:lineRule="exact"/>
        <w:ind w:right="1120" w:firstLine="4200" w:firstLineChars="1500"/>
        <w:outlineLvl w:val="2"/>
        <w:rPr>
          <w:rFonts w:hint="eastAsia" w:ascii="仿宋" w:hAnsi="仿宋" w:eastAsia="仿宋" w:cs="仿宋"/>
          <w:bCs/>
          <w:color w:val="auto"/>
          <w:sz w:val="28"/>
          <w:szCs w:val="28"/>
          <w:u w:val="single"/>
        </w:rPr>
      </w:pPr>
    </w:p>
    <w:p>
      <w:pPr>
        <w:jc w:val="center"/>
        <w:outlineLvl w:val="1"/>
        <w:rPr>
          <w:rFonts w:hint="eastAsia" w:ascii="仿宋" w:hAnsi="仿宋" w:eastAsia="仿宋" w:cs="仿宋"/>
          <w:b/>
          <w:bCs/>
          <w:color w:val="auto"/>
          <w:sz w:val="28"/>
          <w:szCs w:val="28"/>
        </w:rPr>
      </w:pPr>
      <w:bookmarkStart w:id="183" w:name="_Toc255975018"/>
      <w:bookmarkStart w:id="184" w:name="_Toc253066626"/>
      <w:bookmarkStart w:id="185" w:name="_Toc259520876"/>
      <w:bookmarkStart w:id="186" w:name="_Toc254790911"/>
      <w:bookmarkStart w:id="187" w:name="_Toc251586243"/>
      <w:bookmarkStart w:id="188" w:name="_Toc235438000"/>
      <w:bookmarkStart w:id="189" w:name="_Toc236021459"/>
      <w:bookmarkStart w:id="190" w:name="_Toc266868681"/>
      <w:bookmarkStart w:id="191" w:name="_Toc223146616"/>
      <w:bookmarkStart w:id="192" w:name="_Toc251613841"/>
      <w:bookmarkStart w:id="193" w:name="_Toc235438354"/>
      <w:bookmarkStart w:id="194" w:name="_Toc266870443"/>
      <w:bookmarkStart w:id="195" w:name="_Toc235438283"/>
      <w:bookmarkStart w:id="196" w:name="_Toc217891410"/>
      <w:bookmarkStart w:id="197" w:name="_Toc249325722"/>
      <w:bookmarkStart w:id="198" w:name="_Toc225669330"/>
      <w:bookmarkStart w:id="199" w:name="_Toc230071155"/>
      <w:bookmarkStart w:id="200" w:name="_Toc213756059"/>
      <w:bookmarkStart w:id="201" w:name="_Toc219800251"/>
      <w:bookmarkStart w:id="202" w:name="_Toc259692751"/>
      <w:bookmarkStart w:id="203" w:name="_Toc259692658"/>
      <w:bookmarkStart w:id="204" w:name="_Toc266870918"/>
      <w:bookmarkStart w:id="205" w:name="_Toc232302124"/>
      <w:bookmarkStart w:id="206" w:name="_Toc227058538"/>
      <w:bookmarkStart w:id="207" w:name="_Toc258401267"/>
    </w:p>
    <w:p>
      <w:pPr>
        <w:jc w:val="center"/>
        <w:outlineLvl w:val="1"/>
        <w:rPr>
          <w:rFonts w:hint="eastAsia" w:ascii="仿宋" w:hAnsi="仿宋" w:eastAsia="仿宋" w:cs="仿宋"/>
          <w:b/>
          <w:bCs/>
          <w:color w:val="auto"/>
          <w:sz w:val="28"/>
          <w:szCs w:val="28"/>
        </w:rPr>
      </w:pPr>
    </w:p>
    <w:p>
      <w:pPr>
        <w:jc w:val="center"/>
        <w:outlineLvl w:val="1"/>
        <w:rPr>
          <w:rFonts w:hint="eastAsia" w:ascii="仿宋" w:hAnsi="仿宋" w:eastAsia="仿宋" w:cs="仿宋"/>
          <w:b/>
          <w:bCs/>
          <w:color w:val="auto"/>
          <w:sz w:val="28"/>
          <w:szCs w:val="28"/>
        </w:rPr>
      </w:pPr>
    </w:p>
    <w:p>
      <w:pPr>
        <w:jc w:val="center"/>
        <w:outlineLvl w:val="1"/>
        <w:rPr>
          <w:rFonts w:hint="eastAsia" w:ascii="仿宋" w:hAnsi="仿宋" w:eastAsia="仿宋" w:cs="仿宋"/>
          <w:b/>
          <w:bCs/>
          <w:color w:val="auto"/>
          <w:sz w:val="28"/>
          <w:szCs w:val="28"/>
        </w:rPr>
      </w:pPr>
    </w:p>
    <w:p>
      <w:pPr>
        <w:jc w:val="center"/>
        <w:outlineLvl w:val="1"/>
        <w:rPr>
          <w:rFonts w:hint="eastAsia" w:ascii="仿宋" w:hAnsi="仿宋" w:eastAsia="仿宋" w:cs="仿宋"/>
          <w:b/>
          <w:bCs/>
          <w:color w:val="auto"/>
          <w:sz w:val="28"/>
          <w:szCs w:val="28"/>
        </w:rPr>
      </w:pPr>
      <w:bookmarkStart w:id="208" w:name="_GoBack"/>
      <w:bookmarkEnd w:id="208"/>
      <w:r>
        <w:rPr>
          <w:rFonts w:hint="eastAsia" w:ascii="仿宋" w:hAnsi="仿宋" w:eastAsia="仿宋" w:cs="仿宋"/>
          <w:b/>
          <w:bCs/>
          <w:color w:val="auto"/>
          <w:sz w:val="28"/>
          <w:szCs w:val="28"/>
        </w:rPr>
        <w:t>3、参与人资质材料</w:t>
      </w:r>
    </w:p>
    <w:p>
      <w:pPr>
        <w:pStyle w:val="41"/>
        <w:rPr>
          <w:rFonts w:hint="eastAsia" w:ascii="仿宋" w:hAnsi="仿宋" w:eastAsia="仿宋" w:cs="仿宋"/>
          <w:color w:val="auto"/>
          <w:sz w:val="28"/>
          <w:szCs w:val="28"/>
        </w:rPr>
      </w:pP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参与人需要提供以下材料：</w:t>
      </w:r>
    </w:p>
    <w:p>
      <w:pPr>
        <w:pStyle w:val="56"/>
        <w:numPr>
          <w:ilvl w:val="0"/>
          <w:numId w:val="5"/>
        </w:numPr>
        <w:spacing w:after="0" w:line="5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营业执照复印件</w:t>
      </w:r>
    </w:p>
    <w:p>
      <w:pPr>
        <w:pStyle w:val="56"/>
        <w:numPr>
          <w:ilvl w:val="0"/>
          <w:numId w:val="5"/>
        </w:numPr>
        <w:spacing w:after="0" w:line="5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授权经销商或代理商证明材料复印件</w:t>
      </w:r>
    </w:p>
    <w:p>
      <w:pPr>
        <w:pStyle w:val="56"/>
        <w:numPr>
          <w:ilvl w:val="0"/>
          <w:numId w:val="5"/>
        </w:numPr>
        <w:spacing w:after="0" w:line="5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rPr>
        <w:t>质保期和售后服务承诺书（参与人自行起草）</w:t>
      </w:r>
    </w:p>
    <w:p>
      <w:pPr>
        <w:spacing w:line="380" w:lineRule="exact"/>
        <w:rPr>
          <w:rFonts w:hint="eastAsia" w:ascii="仿宋" w:hAnsi="仿宋" w:eastAsia="仿宋" w:cs="仿宋"/>
          <w:color w:val="auto"/>
          <w:sz w:val="28"/>
          <w:szCs w:val="28"/>
        </w:rPr>
      </w:pPr>
    </w:p>
    <w:p>
      <w:pPr>
        <w:spacing w:line="380" w:lineRule="exact"/>
        <w:rPr>
          <w:rFonts w:hint="eastAsia" w:ascii="仿宋" w:hAnsi="仿宋" w:eastAsia="仿宋" w:cs="仿宋"/>
          <w:b/>
          <w:bCs/>
          <w:sz w:val="24"/>
          <w:szCs w:val="24"/>
        </w:rPr>
      </w:pPr>
      <w:r>
        <w:rPr>
          <w:rFonts w:hint="eastAsia" w:ascii="仿宋" w:hAnsi="仿宋" w:eastAsia="仿宋" w:cs="仿宋"/>
          <w:b/>
          <w:bCs/>
          <w:color w:val="auto"/>
          <w:sz w:val="28"/>
          <w:szCs w:val="28"/>
        </w:rPr>
        <w:t>以上材料复印件须加盖参与人公司公章，并与报价一览表一</w:t>
      </w:r>
      <w:r>
        <w:rPr>
          <w:rFonts w:hint="eastAsia" w:ascii="仿宋" w:hAnsi="仿宋" w:eastAsia="仿宋" w:cs="仿宋"/>
          <w:b/>
          <w:bCs/>
          <w:color w:val="auto"/>
          <w:sz w:val="24"/>
          <w:szCs w:val="24"/>
        </w:rPr>
        <w:t>同</w:t>
      </w:r>
      <w:r>
        <w:rPr>
          <w:rFonts w:hint="eastAsia" w:ascii="仿宋" w:hAnsi="仿宋" w:eastAsia="仿宋" w:cs="仿宋"/>
          <w:b/>
          <w:bCs/>
          <w:sz w:val="24"/>
          <w:szCs w:val="24"/>
        </w:rPr>
        <w:t>密封</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sectPr>
      <w:headerReference r:id="rId15" w:type="first"/>
      <w:footerReference r:id="rId16"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drawing>
        <wp:anchor distT="0" distB="0" distL="114300" distR="114300" simplePos="0" relativeHeight="251659264" behindDoc="0" locked="0" layoutInCell="1" allowOverlap="1">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5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F40B3F5"/>
    <w:multiLevelType w:val="singleLevel"/>
    <w:tmpl w:val="6F40B3F5"/>
    <w:lvl w:ilvl="0" w:tentative="0">
      <w:start w:val="2"/>
      <w:numFmt w:val="decimal"/>
      <w:suff w:val="nothing"/>
      <w:lvlText w:val="%1、"/>
      <w:lvlJc w:val="left"/>
    </w:lvl>
  </w:abstractNum>
  <w:abstractNum w:abstractNumId="4">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ZTUwZTRlMDE2OTU5OTA2YmU0NmQ3MmU0YTViNjMifQ=="/>
  </w:docVars>
  <w:rsids>
    <w:rsidRoot w:val="007B0F09"/>
    <w:rsid w:val="000044AD"/>
    <w:rsid w:val="0000490C"/>
    <w:rsid w:val="00004A19"/>
    <w:rsid w:val="00031D61"/>
    <w:rsid w:val="00041909"/>
    <w:rsid w:val="000569E1"/>
    <w:rsid w:val="00064E4D"/>
    <w:rsid w:val="00070A6D"/>
    <w:rsid w:val="0007244C"/>
    <w:rsid w:val="00074B20"/>
    <w:rsid w:val="00082572"/>
    <w:rsid w:val="00092390"/>
    <w:rsid w:val="000934D4"/>
    <w:rsid w:val="000A06E4"/>
    <w:rsid w:val="000A18C2"/>
    <w:rsid w:val="000C09AE"/>
    <w:rsid w:val="000D4D71"/>
    <w:rsid w:val="000D4FB9"/>
    <w:rsid w:val="000F4F45"/>
    <w:rsid w:val="00112269"/>
    <w:rsid w:val="0012724D"/>
    <w:rsid w:val="0013118F"/>
    <w:rsid w:val="00147E05"/>
    <w:rsid w:val="001561E9"/>
    <w:rsid w:val="0016249C"/>
    <w:rsid w:val="00163B53"/>
    <w:rsid w:val="00176CD4"/>
    <w:rsid w:val="00182C6E"/>
    <w:rsid w:val="00191234"/>
    <w:rsid w:val="001A06A4"/>
    <w:rsid w:val="001A5B43"/>
    <w:rsid w:val="001B2557"/>
    <w:rsid w:val="001B719E"/>
    <w:rsid w:val="001C0845"/>
    <w:rsid w:val="001C6943"/>
    <w:rsid w:val="001D1081"/>
    <w:rsid w:val="001E44E4"/>
    <w:rsid w:val="001E7B35"/>
    <w:rsid w:val="001F3952"/>
    <w:rsid w:val="00215A21"/>
    <w:rsid w:val="00231B1F"/>
    <w:rsid w:val="00235942"/>
    <w:rsid w:val="00235C32"/>
    <w:rsid w:val="00237309"/>
    <w:rsid w:val="00241EA7"/>
    <w:rsid w:val="00244E90"/>
    <w:rsid w:val="002476C4"/>
    <w:rsid w:val="002772BB"/>
    <w:rsid w:val="00282FFD"/>
    <w:rsid w:val="002936CA"/>
    <w:rsid w:val="00295514"/>
    <w:rsid w:val="002A1975"/>
    <w:rsid w:val="002C2C3D"/>
    <w:rsid w:val="002C4297"/>
    <w:rsid w:val="002C533C"/>
    <w:rsid w:val="002C558F"/>
    <w:rsid w:val="002E2902"/>
    <w:rsid w:val="002F3F54"/>
    <w:rsid w:val="002F61BF"/>
    <w:rsid w:val="00315D0D"/>
    <w:rsid w:val="0031762B"/>
    <w:rsid w:val="003222F2"/>
    <w:rsid w:val="00334E6F"/>
    <w:rsid w:val="0033686F"/>
    <w:rsid w:val="0034695A"/>
    <w:rsid w:val="00350AF8"/>
    <w:rsid w:val="003570A0"/>
    <w:rsid w:val="00370098"/>
    <w:rsid w:val="003716A7"/>
    <w:rsid w:val="003716F7"/>
    <w:rsid w:val="00383EA0"/>
    <w:rsid w:val="003845F2"/>
    <w:rsid w:val="003924B5"/>
    <w:rsid w:val="003C0028"/>
    <w:rsid w:val="003C0E1A"/>
    <w:rsid w:val="003C406B"/>
    <w:rsid w:val="003C60EF"/>
    <w:rsid w:val="003D02FC"/>
    <w:rsid w:val="003D55C2"/>
    <w:rsid w:val="003E6439"/>
    <w:rsid w:val="003F20A6"/>
    <w:rsid w:val="003F36CB"/>
    <w:rsid w:val="003F4827"/>
    <w:rsid w:val="003F4C2C"/>
    <w:rsid w:val="003F6D67"/>
    <w:rsid w:val="00403AD6"/>
    <w:rsid w:val="00404FA2"/>
    <w:rsid w:val="00416AB1"/>
    <w:rsid w:val="004242F4"/>
    <w:rsid w:val="00424AA3"/>
    <w:rsid w:val="0043243C"/>
    <w:rsid w:val="00436823"/>
    <w:rsid w:val="00441955"/>
    <w:rsid w:val="00453BDA"/>
    <w:rsid w:val="0045488D"/>
    <w:rsid w:val="00464CB2"/>
    <w:rsid w:val="00477053"/>
    <w:rsid w:val="00482E03"/>
    <w:rsid w:val="00486EEF"/>
    <w:rsid w:val="00490E29"/>
    <w:rsid w:val="00494088"/>
    <w:rsid w:val="00495025"/>
    <w:rsid w:val="004956C0"/>
    <w:rsid w:val="004B4E97"/>
    <w:rsid w:val="004B66B1"/>
    <w:rsid w:val="004E0DBF"/>
    <w:rsid w:val="004E24DE"/>
    <w:rsid w:val="004E3E6F"/>
    <w:rsid w:val="004F3FCE"/>
    <w:rsid w:val="00500FB5"/>
    <w:rsid w:val="00502F52"/>
    <w:rsid w:val="00517197"/>
    <w:rsid w:val="00527BFC"/>
    <w:rsid w:val="00543220"/>
    <w:rsid w:val="00553238"/>
    <w:rsid w:val="005553AB"/>
    <w:rsid w:val="00561EC1"/>
    <w:rsid w:val="00562F2E"/>
    <w:rsid w:val="0057646C"/>
    <w:rsid w:val="00582530"/>
    <w:rsid w:val="00590957"/>
    <w:rsid w:val="0059251D"/>
    <w:rsid w:val="005A5A4D"/>
    <w:rsid w:val="005C2170"/>
    <w:rsid w:val="005C6E27"/>
    <w:rsid w:val="005F1FC8"/>
    <w:rsid w:val="00607B2B"/>
    <w:rsid w:val="006230ED"/>
    <w:rsid w:val="00630374"/>
    <w:rsid w:val="006375CF"/>
    <w:rsid w:val="00645EFA"/>
    <w:rsid w:val="0064713E"/>
    <w:rsid w:val="0064793B"/>
    <w:rsid w:val="0066427F"/>
    <w:rsid w:val="006651E0"/>
    <w:rsid w:val="006652BF"/>
    <w:rsid w:val="00665A94"/>
    <w:rsid w:val="00691E02"/>
    <w:rsid w:val="006A084D"/>
    <w:rsid w:val="006B6F8C"/>
    <w:rsid w:val="006C2D5E"/>
    <w:rsid w:val="006D02DB"/>
    <w:rsid w:val="006D27DD"/>
    <w:rsid w:val="006D53F9"/>
    <w:rsid w:val="006D6492"/>
    <w:rsid w:val="006D65D2"/>
    <w:rsid w:val="006F3C71"/>
    <w:rsid w:val="006F5FBA"/>
    <w:rsid w:val="00703879"/>
    <w:rsid w:val="00723B1F"/>
    <w:rsid w:val="00735819"/>
    <w:rsid w:val="00737694"/>
    <w:rsid w:val="00742D2F"/>
    <w:rsid w:val="00745DF4"/>
    <w:rsid w:val="007550F2"/>
    <w:rsid w:val="00790192"/>
    <w:rsid w:val="0079407E"/>
    <w:rsid w:val="007B0F09"/>
    <w:rsid w:val="007B2319"/>
    <w:rsid w:val="007B5846"/>
    <w:rsid w:val="007B5C67"/>
    <w:rsid w:val="007C719E"/>
    <w:rsid w:val="007D5A32"/>
    <w:rsid w:val="007E12A9"/>
    <w:rsid w:val="007E4679"/>
    <w:rsid w:val="00820F76"/>
    <w:rsid w:val="00821371"/>
    <w:rsid w:val="00832069"/>
    <w:rsid w:val="00844ABD"/>
    <w:rsid w:val="0085479C"/>
    <w:rsid w:val="00865B30"/>
    <w:rsid w:val="00867893"/>
    <w:rsid w:val="008733EA"/>
    <w:rsid w:val="00874219"/>
    <w:rsid w:val="00876AB6"/>
    <w:rsid w:val="008843FB"/>
    <w:rsid w:val="008902DC"/>
    <w:rsid w:val="008A7DBB"/>
    <w:rsid w:val="008B31EE"/>
    <w:rsid w:val="008B4FB6"/>
    <w:rsid w:val="008C2433"/>
    <w:rsid w:val="008D2D55"/>
    <w:rsid w:val="008D5688"/>
    <w:rsid w:val="008E5F9A"/>
    <w:rsid w:val="008F1544"/>
    <w:rsid w:val="00906C23"/>
    <w:rsid w:val="00916532"/>
    <w:rsid w:val="009206ED"/>
    <w:rsid w:val="00923C7E"/>
    <w:rsid w:val="00936704"/>
    <w:rsid w:val="00941CEB"/>
    <w:rsid w:val="00945B37"/>
    <w:rsid w:val="009548E4"/>
    <w:rsid w:val="009606BC"/>
    <w:rsid w:val="009622D2"/>
    <w:rsid w:val="00964CEA"/>
    <w:rsid w:val="00967E57"/>
    <w:rsid w:val="00970E44"/>
    <w:rsid w:val="00974742"/>
    <w:rsid w:val="00977EF1"/>
    <w:rsid w:val="00985FC2"/>
    <w:rsid w:val="00994E59"/>
    <w:rsid w:val="009A19FA"/>
    <w:rsid w:val="009A635D"/>
    <w:rsid w:val="009A6925"/>
    <w:rsid w:val="009B035D"/>
    <w:rsid w:val="009B38B3"/>
    <w:rsid w:val="009B5A7A"/>
    <w:rsid w:val="009B75DB"/>
    <w:rsid w:val="009C0273"/>
    <w:rsid w:val="009C3D80"/>
    <w:rsid w:val="009C7584"/>
    <w:rsid w:val="009C77D4"/>
    <w:rsid w:val="009D75D8"/>
    <w:rsid w:val="009E759F"/>
    <w:rsid w:val="00A04519"/>
    <w:rsid w:val="00A10022"/>
    <w:rsid w:val="00A148CE"/>
    <w:rsid w:val="00A24465"/>
    <w:rsid w:val="00A40610"/>
    <w:rsid w:val="00A4220E"/>
    <w:rsid w:val="00A44A63"/>
    <w:rsid w:val="00A625F7"/>
    <w:rsid w:val="00A64A5B"/>
    <w:rsid w:val="00A73E47"/>
    <w:rsid w:val="00AA5A63"/>
    <w:rsid w:val="00AC50D8"/>
    <w:rsid w:val="00AD29A3"/>
    <w:rsid w:val="00AE4A31"/>
    <w:rsid w:val="00AF1CE1"/>
    <w:rsid w:val="00AF3C2A"/>
    <w:rsid w:val="00B14C37"/>
    <w:rsid w:val="00B35205"/>
    <w:rsid w:val="00B430EE"/>
    <w:rsid w:val="00B53F63"/>
    <w:rsid w:val="00B54440"/>
    <w:rsid w:val="00B554E7"/>
    <w:rsid w:val="00B60843"/>
    <w:rsid w:val="00B613BB"/>
    <w:rsid w:val="00B61E3B"/>
    <w:rsid w:val="00B9025C"/>
    <w:rsid w:val="00BA1DC6"/>
    <w:rsid w:val="00BA4686"/>
    <w:rsid w:val="00BA7AF2"/>
    <w:rsid w:val="00BB038D"/>
    <w:rsid w:val="00BD49FB"/>
    <w:rsid w:val="00BD7232"/>
    <w:rsid w:val="00BE1921"/>
    <w:rsid w:val="00BE3AA2"/>
    <w:rsid w:val="00C019D8"/>
    <w:rsid w:val="00C035B5"/>
    <w:rsid w:val="00C03BFF"/>
    <w:rsid w:val="00C35176"/>
    <w:rsid w:val="00C4469C"/>
    <w:rsid w:val="00C46CBE"/>
    <w:rsid w:val="00C53205"/>
    <w:rsid w:val="00C53790"/>
    <w:rsid w:val="00C55D10"/>
    <w:rsid w:val="00C66E1E"/>
    <w:rsid w:val="00C676BA"/>
    <w:rsid w:val="00C81AB4"/>
    <w:rsid w:val="00C857BF"/>
    <w:rsid w:val="00C872BA"/>
    <w:rsid w:val="00C97CD5"/>
    <w:rsid w:val="00CA48A5"/>
    <w:rsid w:val="00CB5A61"/>
    <w:rsid w:val="00D2102C"/>
    <w:rsid w:val="00D23E6F"/>
    <w:rsid w:val="00D2428C"/>
    <w:rsid w:val="00D268B8"/>
    <w:rsid w:val="00D31624"/>
    <w:rsid w:val="00D36D52"/>
    <w:rsid w:val="00D56DEA"/>
    <w:rsid w:val="00D63CE3"/>
    <w:rsid w:val="00D710EA"/>
    <w:rsid w:val="00D81172"/>
    <w:rsid w:val="00D92ED7"/>
    <w:rsid w:val="00DA0D64"/>
    <w:rsid w:val="00DA5179"/>
    <w:rsid w:val="00DB059A"/>
    <w:rsid w:val="00DC2A3E"/>
    <w:rsid w:val="00DC2C74"/>
    <w:rsid w:val="00DC7C62"/>
    <w:rsid w:val="00DE4C02"/>
    <w:rsid w:val="00DF4B52"/>
    <w:rsid w:val="00E04A37"/>
    <w:rsid w:val="00E06CBF"/>
    <w:rsid w:val="00E11567"/>
    <w:rsid w:val="00E2321D"/>
    <w:rsid w:val="00E30C8F"/>
    <w:rsid w:val="00E3310A"/>
    <w:rsid w:val="00E33B9E"/>
    <w:rsid w:val="00E33C1C"/>
    <w:rsid w:val="00E67206"/>
    <w:rsid w:val="00E737BC"/>
    <w:rsid w:val="00E83F69"/>
    <w:rsid w:val="00E84BB5"/>
    <w:rsid w:val="00E85E7E"/>
    <w:rsid w:val="00E9406E"/>
    <w:rsid w:val="00E95973"/>
    <w:rsid w:val="00EA31FE"/>
    <w:rsid w:val="00EA320E"/>
    <w:rsid w:val="00EA340A"/>
    <w:rsid w:val="00EB0368"/>
    <w:rsid w:val="00EB1B4B"/>
    <w:rsid w:val="00EC2D26"/>
    <w:rsid w:val="00ED2437"/>
    <w:rsid w:val="00EE02A8"/>
    <w:rsid w:val="00EE3803"/>
    <w:rsid w:val="00F0149B"/>
    <w:rsid w:val="00F030C2"/>
    <w:rsid w:val="00F07716"/>
    <w:rsid w:val="00F1721B"/>
    <w:rsid w:val="00F172D8"/>
    <w:rsid w:val="00F23FCB"/>
    <w:rsid w:val="00F66190"/>
    <w:rsid w:val="00F81C66"/>
    <w:rsid w:val="00F823F4"/>
    <w:rsid w:val="00F8646A"/>
    <w:rsid w:val="00F876DE"/>
    <w:rsid w:val="00F9131A"/>
    <w:rsid w:val="00F915AB"/>
    <w:rsid w:val="00F97E22"/>
    <w:rsid w:val="00FA1749"/>
    <w:rsid w:val="00FA4236"/>
    <w:rsid w:val="00FA5070"/>
    <w:rsid w:val="00FB2DCF"/>
    <w:rsid w:val="00FB7688"/>
    <w:rsid w:val="00FC4A83"/>
    <w:rsid w:val="00FD2343"/>
    <w:rsid w:val="00FE2A00"/>
    <w:rsid w:val="00FF1750"/>
    <w:rsid w:val="07150683"/>
    <w:rsid w:val="11230F50"/>
    <w:rsid w:val="14D53EE5"/>
    <w:rsid w:val="184F17AB"/>
    <w:rsid w:val="1AD81BF2"/>
    <w:rsid w:val="1BEC742C"/>
    <w:rsid w:val="1C9D3BF0"/>
    <w:rsid w:val="2A7C013C"/>
    <w:rsid w:val="2DD131C6"/>
    <w:rsid w:val="2E9278E2"/>
    <w:rsid w:val="33F12D64"/>
    <w:rsid w:val="35933869"/>
    <w:rsid w:val="3C1A435A"/>
    <w:rsid w:val="3F423700"/>
    <w:rsid w:val="3F7B1C31"/>
    <w:rsid w:val="411E5593"/>
    <w:rsid w:val="495B2848"/>
    <w:rsid w:val="4BAD18DA"/>
    <w:rsid w:val="4EFC0DA6"/>
    <w:rsid w:val="4F785859"/>
    <w:rsid w:val="57CC0FC7"/>
    <w:rsid w:val="611D77A3"/>
    <w:rsid w:val="65225B79"/>
    <w:rsid w:val="684725BF"/>
    <w:rsid w:val="6A923527"/>
    <w:rsid w:val="7CB116B1"/>
    <w:rsid w:val="7DCE3B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Balloon Text"/>
    <w:basedOn w:val="1"/>
    <w:link w:val="64"/>
    <w:semiHidden/>
    <w:unhideWhenUsed/>
    <w:qFormat/>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basedOn w:val="26"/>
    <w:unhideWhenUsed/>
    <w:qFormat/>
    <w:uiPriority w:val="99"/>
    <w:rPr>
      <w:color w:val="F49100"/>
      <w:u w:val="single"/>
    </w:rPr>
  </w:style>
  <w:style w:type="character" w:customStyle="1" w:styleId="30">
    <w:name w:val="标题 1 字符"/>
    <w:basedOn w:val="26"/>
    <w:link w:val="2"/>
    <w:qFormat/>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4"/>
    <w:semiHidden/>
    <w:qFormat/>
    <w:uiPriority w:val="9"/>
    <w:rPr>
      <w:rFonts w:asciiTheme="majorHAnsi" w:hAnsiTheme="majorHAnsi" w:eastAsiaTheme="majorEastAsia" w:cstheme="majorBidi"/>
      <w:spacing w:val="4"/>
      <w:sz w:val="24"/>
      <w:szCs w:val="24"/>
    </w:rPr>
  </w:style>
  <w:style w:type="character" w:customStyle="1" w:styleId="33">
    <w:name w:val="标题 4 字符"/>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6"/>
    <w:semiHidden/>
    <w:qFormat/>
    <w:uiPriority w:val="9"/>
    <w:rPr>
      <w:rFonts w:asciiTheme="majorHAnsi" w:hAnsiTheme="majorHAnsi" w:eastAsiaTheme="majorEastAsia" w:cstheme="majorBidi"/>
      <w:b/>
      <w:bCs/>
    </w:rPr>
  </w:style>
  <w:style w:type="character" w:customStyle="1" w:styleId="35">
    <w:name w:val="标题 6 字符"/>
    <w:basedOn w:val="26"/>
    <w:link w:val="7"/>
    <w:semiHidden/>
    <w:qFormat/>
    <w:uiPriority w:val="9"/>
    <w:rPr>
      <w:rFonts w:asciiTheme="majorHAnsi" w:hAnsiTheme="majorHAnsi" w:eastAsiaTheme="majorEastAsia" w:cstheme="majorBidi"/>
      <w:b/>
      <w:bCs/>
      <w:i/>
      <w:iCs/>
    </w:rPr>
  </w:style>
  <w:style w:type="character" w:customStyle="1" w:styleId="36">
    <w:name w:val="标题 7 字符"/>
    <w:basedOn w:val="26"/>
    <w:link w:val="8"/>
    <w:semiHidden/>
    <w:qFormat/>
    <w:uiPriority w:val="9"/>
    <w:rPr>
      <w:i/>
      <w:iCs/>
    </w:rPr>
  </w:style>
  <w:style w:type="character" w:customStyle="1" w:styleId="37">
    <w:name w:val="标题 8 字符"/>
    <w:basedOn w:val="26"/>
    <w:link w:val="9"/>
    <w:semiHidden/>
    <w:qFormat/>
    <w:uiPriority w:val="9"/>
    <w:rPr>
      <w:b/>
      <w:bCs/>
    </w:rPr>
  </w:style>
  <w:style w:type="character" w:customStyle="1" w:styleId="38">
    <w:name w:val="标题 9 字符"/>
    <w:basedOn w:val="26"/>
    <w:link w:val="10"/>
    <w:semiHidden/>
    <w:qFormat/>
    <w:uiPriority w:val="9"/>
    <w:rPr>
      <w:i/>
      <w:iCs/>
    </w:rPr>
  </w:style>
  <w:style w:type="character" w:customStyle="1" w:styleId="39">
    <w:name w:val="标题 字符"/>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字符"/>
    <w:basedOn w:val="26"/>
    <w:link w:val="41"/>
    <w:qFormat/>
    <w:uiPriority w:val="1"/>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8"/>
    <w:qFormat/>
    <w:uiPriority w:val="99"/>
    <w:rPr>
      <w:sz w:val="18"/>
      <w:szCs w:val="18"/>
    </w:rPr>
  </w:style>
  <w:style w:type="character" w:customStyle="1" w:styleId="55">
    <w:name w:val="页脚 字符"/>
    <w:basedOn w:val="26"/>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字符"/>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5"/>
    <w:semiHidden/>
    <w:qFormat/>
    <w:uiPriority w:val="99"/>
    <w:rPr>
      <w:rFonts w:hAnsi="Courier New" w:cs="Courier New" w:asciiTheme="minorEastAsia"/>
    </w:rPr>
  </w:style>
  <w:style w:type="character" w:customStyle="1" w:styleId="60">
    <w:name w:val="正文文本 字符"/>
    <w:basedOn w:val="26"/>
    <w:link w:val="13"/>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font11"/>
    <w:basedOn w:val="26"/>
    <w:qFormat/>
    <w:uiPriority w:val="0"/>
    <w:rPr>
      <w:rFonts w:hint="eastAsia" w:ascii="微软雅黑" w:hAnsi="微软雅黑" w:eastAsia="微软雅黑" w:cs="微软雅黑"/>
      <w:color w:val="000000"/>
      <w:sz w:val="16"/>
      <w:szCs w:val="16"/>
      <w:u w:val="none"/>
    </w:rPr>
  </w:style>
  <w:style w:type="character" w:customStyle="1" w:styleId="63">
    <w:name w:val="font01"/>
    <w:basedOn w:val="26"/>
    <w:qFormat/>
    <w:uiPriority w:val="0"/>
    <w:rPr>
      <w:rFonts w:hint="eastAsia" w:ascii="微软雅黑" w:hAnsi="微软雅黑" w:eastAsia="微软雅黑" w:cs="微软雅黑"/>
      <w:color w:val="FF0000"/>
      <w:sz w:val="16"/>
      <w:szCs w:val="16"/>
      <w:u w:val="none"/>
    </w:rPr>
  </w:style>
  <w:style w:type="character" w:customStyle="1" w:styleId="64">
    <w:name w:val="批注框文本 字符"/>
    <w:basedOn w:val="26"/>
    <w:link w:val="16"/>
    <w:semiHidden/>
    <w:qFormat/>
    <w:uiPriority w:val="99"/>
    <w:rPr>
      <w:sz w:val="18"/>
      <w:szCs w:val="18"/>
    </w:rPr>
  </w:style>
  <w:style w:type="paragraph" w:customStyle="1" w:styleId="65">
    <w:name w:val="中等深浅网格 1 - 强调文字颜色 21"/>
    <w:basedOn w:val="1"/>
    <w:qFormat/>
    <w:uiPriority w:val="0"/>
    <w:pPr>
      <w:widowControl w:val="0"/>
      <w:spacing w:after="0" w:line="240" w:lineRule="auto"/>
      <w:ind w:firstLine="420" w:firstLineChars="200"/>
    </w:pPr>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theme" Target="theme/theme1.xml"/><Relationship Id="rId16" Type="http://schemas.openxmlformats.org/officeDocument/2006/relationships/footer" Target="footer4.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89A1F-9FCC-4ED2-AC30-C834AF3BBE85}">
  <ds:schemaRefs/>
</ds:datastoreItem>
</file>

<file path=docProps/app.xml><?xml version="1.0" encoding="utf-8"?>
<Properties xmlns="http://schemas.openxmlformats.org/officeDocument/2006/extended-properties" xmlns:vt="http://schemas.openxmlformats.org/officeDocument/2006/docPropsVTypes">
  <Template>Normal</Template>
  <Pages>9</Pages>
  <Words>2494</Words>
  <Characters>2694</Characters>
  <Lines>24</Lines>
  <Paragraphs>6</Paragraphs>
  <TotalTime>2</TotalTime>
  <ScaleCrop>false</ScaleCrop>
  <LinksUpToDate>false</LinksUpToDate>
  <CharactersWithSpaces>2883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2021-09-10T09:53:00Z</dcterms:created>
  <dc:creator>树亮 门</dc:creator>
  <cp:lastModifiedBy>无才无理，评？</cp:lastModifiedBy>
  <dcterms:modified xsi:type="dcterms:W3CDTF">2022-05-06T10:44:10Z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72DE6CABF83D43B486CDC360BF5BED35</vt:lpwstr>
  </property>
</Properties>
</file>