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35438227"/>
      <w:bookmarkStart w:id="1" w:name="_Toc273178686"/>
      <w:bookmarkStart w:id="2" w:name="_Toc267060407"/>
      <w:bookmarkStart w:id="3" w:name="_Toc251586187"/>
      <w:bookmarkStart w:id="4" w:name="_Toc255974963"/>
      <w:bookmarkStart w:id="5" w:name="_Toc267059786"/>
      <w:bookmarkStart w:id="6" w:name="_Toc235438297"/>
      <w:bookmarkStart w:id="7" w:name="_Toc212526081"/>
      <w:bookmarkStart w:id="8" w:name="_Toc212454753"/>
      <w:bookmarkStart w:id="9" w:name="_Toc249325665"/>
      <w:bookmarkStart w:id="10" w:name="_Toc227058483"/>
      <w:bookmarkStart w:id="11" w:name="_Toc251613780"/>
      <w:bookmarkStart w:id="12" w:name="_Toc207014580"/>
      <w:bookmarkStart w:id="13" w:name="_Toc177985424"/>
      <w:bookmarkStart w:id="14" w:name="_Toc212456146"/>
      <w:bookmarkStart w:id="15" w:name="_Toc254790852"/>
      <w:bookmarkStart w:id="16" w:name="_Toc267059633"/>
      <w:bookmarkStart w:id="17" w:name="_Toc266868924"/>
      <w:bookmarkStart w:id="18" w:name="_Toc267059161"/>
      <w:bookmarkStart w:id="19" w:name="_Toc267059519"/>
      <w:bookmarkStart w:id="20" w:name="_Toc253066567"/>
      <w:bookmarkStart w:id="21" w:name="_Toc259692600"/>
      <w:bookmarkStart w:id="22" w:name="_Toc170798743"/>
      <w:bookmarkStart w:id="23" w:name="_Toc267059899"/>
      <w:bookmarkStart w:id="24" w:name="_Toc160880487"/>
      <w:bookmarkStart w:id="25" w:name="_Toc217891359"/>
      <w:bookmarkStart w:id="26" w:name="_Toc211937196"/>
      <w:bookmarkStart w:id="27" w:name="_Toc267059010"/>
      <w:bookmarkStart w:id="28" w:name="_Toc259692693"/>
      <w:bookmarkStart w:id="29" w:name="_Toc258401210"/>
      <w:bookmarkStart w:id="30" w:name="_Toc259520819"/>
      <w:bookmarkStart w:id="31" w:name="_Toc169332904"/>
      <w:bookmarkStart w:id="32" w:name="_Toc219800200"/>
      <w:bookmarkStart w:id="33" w:name="_Toc267060022"/>
      <w:bookmarkStart w:id="34" w:name="_Toc225669277"/>
      <w:bookmarkStart w:id="35" w:name="_Toc169332794"/>
      <w:bookmarkStart w:id="36" w:name="_Toc266868624"/>
      <w:bookmarkStart w:id="37" w:name="_Toc266870861"/>
      <w:bookmarkStart w:id="38" w:name="_Toc236021402"/>
      <w:bookmarkStart w:id="39" w:name="_Toc266870386"/>
      <w:bookmarkStart w:id="40" w:name="_Toc216241307"/>
      <w:bookmarkStart w:id="41" w:name="_Toc267060162"/>
      <w:bookmarkStart w:id="42" w:name="_Toc235437942"/>
      <w:bookmarkStart w:id="43" w:name="_Toc223146565"/>
      <w:bookmarkStart w:id="44" w:name="_Toc212530253"/>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ascii="仿宋" w:hAnsi="仿宋" w:eastAsia="仿宋"/>
          <w:color w:val="000000"/>
          <w:sz w:val="24"/>
          <w:szCs w:val="24"/>
        </w:rPr>
      </w:pPr>
      <w:bookmarkStart w:id="45" w:name="_Hlk10840310"/>
      <w:r>
        <w:rPr>
          <w:rFonts w:hint="eastAsia" w:ascii="仿宋" w:hAnsi="仿宋" w:eastAsia="仿宋"/>
          <w:color w:val="000000"/>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w:t>
      </w:r>
      <w:r>
        <w:rPr>
          <w:rFonts w:hint="eastAsia" w:ascii="仿宋" w:hAnsi="仿宋" w:eastAsia="仿宋"/>
          <w:color w:val="000000"/>
          <w:sz w:val="24"/>
          <w:szCs w:val="24"/>
          <w:lang w:eastAsia="zh-CN"/>
        </w:rPr>
        <w:t>广东白云学院校园网互联裸光缆租赁</w:t>
      </w:r>
      <w:r>
        <w:rPr>
          <w:rFonts w:hint="eastAsia" w:ascii="仿宋" w:hAnsi="仿宋" w:eastAsia="仿宋"/>
          <w:color w:val="000000"/>
          <w:sz w:val="24"/>
          <w:szCs w:val="24"/>
        </w:rPr>
        <w:t>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项目编号：A20220506</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广东白云学院校园网互联裸光缆租赁</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w:t>
      </w:r>
      <w:r>
        <w:rPr>
          <w:rFonts w:hint="eastAsia" w:ascii="仿宋" w:hAnsi="仿宋" w:eastAsia="仿宋"/>
          <w:sz w:val="24"/>
          <w:szCs w:val="24"/>
          <w:lang w:val="en-US" w:eastAsia="zh-CN"/>
        </w:rPr>
        <w:t>价服务产品</w:t>
      </w:r>
      <w:r>
        <w:rPr>
          <w:rFonts w:hint="eastAsia" w:ascii="仿宋" w:hAnsi="仿宋" w:eastAsia="仿宋"/>
          <w:sz w:val="24"/>
          <w:szCs w:val="24"/>
        </w:rPr>
        <w:t>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供安全管理系统</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，具备相应的维护能力。</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000000"/>
          <w:sz w:val="24"/>
          <w:szCs w:val="24"/>
        </w:rPr>
        <w:t>参与人须有良好的商业信誉和健全的财务制度，有依法缴纳税金的良好记录。</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参与人具有三年以上（包括三年）两个以上同类项目销售和良好的售后服务应用成功案例,近三年未发生重大安全或质量事故。</w:t>
      </w:r>
    </w:p>
    <w:p>
      <w:pPr>
        <w:widowControl w:val="0"/>
        <w:numPr>
          <w:ilvl w:val="1"/>
          <w:numId w:val="1"/>
        </w:numPr>
        <w:spacing w:after="0" w:line="500" w:lineRule="exact"/>
        <w:rPr>
          <w:rFonts w:ascii="仿宋" w:hAnsi="仿宋" w:eastAsia="仿宋"/>
          <w:b/>
          <w:bCs/>
          <w:color w:val="C00000"/>
          <w:sz w:val="24"/>
          <w:szCs w:val="24"/>
        </w:rPr>
      </w:pPr>
      <w:r>
        <w:rPr>
          <w:rFonts w:hint="eastAsia" w:ascii="仿宋" w:hAnsi="仿宋" w:eastAsia="仿宋"/>
          <w:sz w:val="24"/>
          <w:szCs w:val="24"/>
        </w:rPr>
        <w:t>报价响应文件递交方式：密封报价，按规定时间送达或邮寄。</w:t>
      </w:r>
      <w:r>
        <w:rPr>
          <w:rFonts w:hint="eastAsia" w:ascii="仿宋" w:hAnsi="仿宋" w:eastAsia="仿宋"/>
          <w:b/>
          <w:bCs/>
          <w:color w:val="C00000"/>
          <w:sz w:val="24"/>
          <w:szCs w:val="24"/>
        </w:rPr>
        <w:t>请在密封封面注明联系人及联系方式。</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highlight w:val="none"/>
          <w:shd w:val="clear" w:color="auto" w:fill="FFFFFF"/>
        </w:rPr>
        <w:t>：2022年5</w:t>
      </w:r>
      <w:r>
        <w:rPr>
          <w:rFonts w:ascii="仿宋" w:hAnsi="仿宋" w:eastAsia="仿宋"/>
          <w:sz w:val="24"/>
          <w:szCs w:val="24"/>
          <w:highlight w:val="none"/>
          <w:shd w:val="clear" w:color="auto" w:fill="FFFFFF"/>
        </w:rPr>
        <w:t>月</w:t>
      </w:r>
      <w:r>
        <w:rPr>
          <w:rFonts w:hint="eastAsia" w:ascii="仿宋" w:hAnsi="仿宋" w:eastAsia="仿宋"/>
          <w:sz w:val="24"/>
          <w:szCs w:val="24"/>
          <w:highlight w:val="none"/>
          <w:shd w:val="clear" w:color="auto" w:fill="FFFFFF"/>
          <w:lang w:val="en-US" w:eastAsia="zh-CN"/>
        </w:rPr>
        <w:t>30</w:t>
      </w:r>
      <w:r>
        <w:rPr>
          <w:rFonts w:ascii="仿宋" w:hAnsi="仿宋" w:eastAsia="仿宋"/>
          <w:sz w:val="24"/>
          <w:szCs w:val="24"/>
          <w:highlight w:val="none"/>
          <w:shd w:val="clear" w:color="auto" w:fill="FFFFFF"/>
        </w:rPr>
        <w:t>日</w:t>
      </w:r>
      <w:r>
        <w:rPr>
          <w:rFonts w:hint="eastAsia" w:ascii="仿宋" w:hAnsi="仿宋" w:eastAsia="仿宋"/>
          <w:sz w:val="24"/>
          <w:szCs w:val="24"/>
          <w:highlight w:val="none"/>
          <w:shd w:val="clear" w:color="auto" w:fill="FFFFFF"/>
        </w:rPr>
        <w:t>下午</w:t>
      </w:r>
      <w:r>
        <w:rPr>
          <w:rFonts w:ascii="仿宋" w:hAnsi="仿宋" w:eastAsia="仿宋"/>
          <w:sz w:val="24"/>
          <w:szCs w:val="24"/>
          <w:highlight w:val="none"/>
          <w:shd w:val="clear" w:color="auto" w:fill="FFFFFF"/>
        </w:rPr>
        <w:t>16</w:t>
      </w:r>
      <w:r>
        <w:rPr>
          <w:rFonts w:hint="eastAsia" w:ascii="仿宋" w:hAnsi="仿宋" w:eastAsia="仿宋"/>
          <w:sz w:val="24"/>
          <w:szCs w:val="24"/>
          <w:highlight w:val="none"/>
          <w:shd w:val="clear" w:color="auto" w:fill="FFFFFF"/>
        </w:rPr>
        <w:t>:</w:t>
      </w:r>
      <w:r>
        <w:rPr>
          <w:rFonts w:ascii="仿宋" w:hAnsi="仿宋" w:eastAsia="仿宋"/>
          <w:sz w:val="24"/>
          <w:szCs w:val="24"/>
          <w:highlight w:val="none"/>
          <w:shd w:val="clear" w:color="auto" w:fill="FFFFFF"/>
        </w:rPr>
        <w:t>00</w:t>
      </w:r>
      <w:r>
        <w:rPr>
          <w:rFonts w:hint="eastAsia" w:ascii="仿宋" w:hAnsi="仿宋" w:eastAsia="仿宋"/>
          <w:sz w:val="24"/>
          <w:szCs w:val="24"/>
          <w:highlight w:val="none"/>
          <w:shd w:val="clear" w:color="auto" w:fill="FFFFFF"/>
        </w:rPr>
        <w:t>前</w:t>
      </w:r>
      <w:r>
        <w:rPr>
          <w:rFonts w:hint="eastAsia" w:ascii="仿宋" w:hAnsi="仿宋" w:eastAsia="仿宋"/>
          <w:sz w:val="24"/>
          <w:szCs w:val="24"/>
          <w:shd w:val="clear" w:color="auto" w:fill="FFFFFF"/>
        </w:rPr>
        <w:t>（以参与人快递寄出时间为准，邮寄时应提前告知）。</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报价响应文件递交地点：广州市白云区钟落潭镇九佛西路280号。</w:t>
      </w:r>
    </w:p>
    <w:p>
      <w:pPr>
        <w:pStyle w:val="55"/>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联系人：黄灿俞；联系电话：13826471351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，请在报价响应文件递交截止之日前，将问题以书面形式（有效签署的原件并加盖公章）提交至学校业务对接人，联系人：黄灿俞；联系电话：13826471351。采购人不对超时提交及未加盖公章的质疑文件进行回复。</w:t>
      </w:r>
    </w:p>
    <w:p>
      <w:pPr>
        <w:widowControl w:val="0"/>
        <w:numPr>
          <w:ilvl w:val="1"/>
          <w:numId w:val="1"/>
        </w:numPr>
        <w:spacing w:after="0" w:line="460" w:lineRule="exact"/>
        <w:rPr>
          <w:rFonts w:ascii="仿宋" w:hAnsi="仿宋" w:eastAsia="仿宋"/>
          <w:sz w:val="24"/>
          <w:szCs w:val="24"/>
        </w:rPr>
      </w:pPr>
      <w:bookmarkStart w:id="46" w:name="_Hlk97917519"/>
      <w:r>
        <w:rPr>
          <w:rFonts w:hint="eastAsia" w:ascii="仿宋" w:hAnsi="仿宋" w:eastAsia="仿宋"/>
          <w:sz w:val="24"/>
          <w:szCs w:val="24"/>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sz w:val="24"/>
          <w:szCs w:val="24"/>
        </w:rPr>
        <w:t>。参加本项目的参与人如对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，须由参与人填写并加盖公章（正本一份副本一份）；</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65" w:hanging="425" w:firstLineChars="0"/>
        <w:jc w:val="left"/>
        <w:rPr>
          <w:rFonts w:ascii="仿宋" w:hAnsi="仿宋" w:eastAsia="仿宋"/>
          <w:sz w:val="24"/>
          <w:szCs w:val="24"/>
        </w:rPr>
      </w:pPr>
      <w:r>
        <w:rPr>
          <w:rFonts w:hint="eastAsia" w:ascii="仿宋" w:hAnsi="仿宋" w:eastAsia="仿宋"/>
          <w:sz w:val="24"/>
          <w:szCs w:val="24"/>
        </w:rPr>
        <w:t>免费维修期:</w:t>
      </w:r>
      <w:r>
        <w:rPr>
          <w:rFonts w:hint="eastAsia" w:ascii="仿宋" w:hAnsi="仿宋" w:eastAsia="仿宋"/>
          <w:sz w:val="24"/>
          <w:szCs w:val="24"/>
          <w:lang w:val="en-US" w:eastAsia="zh-CN"/>
        </w:rPr>
        <w:t>根据合同签定时间提供相应保修期限</w:t>
      </w:r>
      <w:r>
        <w:rPr>
          <w:rFonts w:hint="eastAsia" w:ascii="仿宋" w:hAnsi="仿宋" w:eastAsia="仿宋"/>
          <w:sz w:val="24"/>
          <w:szCs w:val="24"/>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7513" w:firstLine="141" w:firstLineChars="59"/>
        <w:jc w:val="left"/>
        <w:rPr>
          <w:rFonts w:ascii="仿宋" w:hAnsi="仿宋" w:eastAsia="仿宋"/>
          <w:sz w:val="24"/>
          <w:szCs w:val="24"/>
        </w:rPr>
      </w:pPr>
      <w:r>
        <w:rPr>
          <w:rFonts w:hint="eastAsia" w:ascii="仿宋" w:hAnsi="仿宋" w:eastAsia="仿宋"/>
          <w:sz w:val="24"/>
          <w:szCs w:val="24"/>
        </w:rPr>
        <w:t>广东白云学院</w:t>
      </w:r>
    </w:p>
    <w:p>
      <w:pPr>
        <w:pStyle w:val="55"/>
        <w:spacing w:after="0" w:line="500" w:lineRule="exact"/>
        <w:ind w:left="7371" w:firstLine="0" w:firstLineChars="0"/>
        <w:jc w:val="left"/>
        <w:rPr>
          <w:rFonts w:ascii="仿宋" w:hAnsi="仿宋" w:eastAsia="仿宋"/>
          <w:sz w:val="24"/>
          <w:szCs w:val="24"/>
        </w:rPr>
      </w:pPr>
      <w:r>
        <w:rPr>
          <w:rFonts w:hint="eastAsia" w:ascii="仿宋" w:hAnsi="仿宋" w:eastAsia="仿宋"/>
          <w:sz w:val="24"/>
          <w:szCs w:val="24"/>
        </w:rPr>
        <w:t>2022年5月</w:t>
      </w:r>
      <w:r>
        <w:rPr>
          <w:rFonts w:hint="eastAsia" w:ascii="仿宋" w:hAnsi="仿宋" w:eastAsia="仿宋"/>
          <w:sz w:val="24"/>
          <w:szCs w:val="24"/>
          <w:lang w:val="en-US" w:eastAsia="zh-CN"/>
        </w:rPr>
        <w:t>24</w:t>
      </w:r>
      <w:r>
        <w:rPr>
          <w:rFonts w:hint="eastAsia" w:ascii="仿宋" w:hAnsi="仿宋" w:eastAsia="仿宋"/>
          <w:sz w:val="24"/>
          <w:szCs w:val="24"/>
        </w:rPr>
        <w:t>日</w:t>
      </w:r>
    </w:p>
    <w:p>
      <w:pPr>
        <w:pStyle w:val="55"/>
        <w:spacing w:after="0" w:line="500" w:lineRule="exact"/>
        <w:ind w:left="851" w:firstLine="0" w:firstLineChars="0"/>
        <w:jc w:val="center"/>
        <w:rPr>
          <w:rFonts w:ascii="仿宋" w:hAnsi="仿宋" w:eastAsia="仿宋"/>
          <w:b/>
          <w:sz w:val="44"/>
          <w:szCs w:val="44"/>
        </w:rPr>
      </w:pPr>
      <w:r>
        <w:rPr>
          <w:rFonts w:ascii="仿宋" w:hAnsi="仿宋" w:eastAsia="仿宋"/>
          <w:color w:val="FF0000"/>
          <w:sz w:val="28"/>
          <w:szCs w:val="28"/>
        </w:rPr>
        <w:br w:type="page"/>
      </w:r>
      <w:bookmarkEnd w:id="45"/>
      <w:r>
        <w:rPr>
          <w:rFonts w:hint="eastAsia" w:ascii="仿宋" w:hAnsi="仿宋" w:eastAsia="仿宋"/>
          <w:b/>
          <w:sz w:val="44"/>
          <w:szCs w:val="44"/>
        </w:rPr>
        <w:t>公开询价</w:t>
      </w:r>
      <w:r>
        <w:rPr>
          <w:rFonts w:hint="eastAsia" w:ascii="仿宋" w:hAnsi="仿宋" w:eastAsia="仿宋"/>
          <w:b/>
          <w:sz w:val="44"/>
          <w:szCs w:val="44"/>
          <w:lang w:val="en-US" w:eastAsia="zh-CN"/>
        </w:rPr>
        <w:t>服务产品</w:t>
      </w:r>
      <w:r>
        <w:rPr>
          <w:rFonts w:hint="eastAsia" w:ascii="仿宋" w:hAnsi="仿宋" w:eastAsia="仿宋"/>
          <w:b/>
          <w:sz w:val="44"/>
          <w:szCs w:val="44"/>
        </w:rPr>
        <w:t>一览表</w:t>
      </w:r>
    </w:p>
    <w:p>
      <w:pPr>
        <w:pStyle w:val="55"/>
        <w:spacing w:after="0" w:line="500" w:lineRule="exact"/>
        <w:ind w:left="851" w:firstLine="0" w:firstLineChars="0"/>
        <w:jc w:val="center"/>
        <w:rPr>
          <w:rFonts w:ascii="仿宋" w:hAnsi="仿宋" w:eastAsia="仿宋"/>
          <w:b/>
          <w:sz w:val="44"/>
          <w:szCs w:val="44"/>
        </w:rPr>
      </w:pPr>
    </w:p>
    <w:tbl>
      <w:tblPr>
        <w:tblStyle w:val="24"/>
        <w:tblW w:w="4772" w:type="pct"/>
        <w:tblInd w:w="0" w:type="dxa"/>
        <w:tblLayout w:type="fixed"/>
        <w:tblCellMar>
          <w:top w:w="0" w:type="dxa"/>
          <w:left w:w="108" w:type="dxa"/>
          <w:bottom w:w="0" w:type="dxa"/>
          <w:right w:w="108" w:type="dxa"/>
        </w:tblCellMar>
      </w:tblPr>
      <w:tblGrid>
        <w:gridCol w:w="629"/>
        <w:gridCol w:w="1063"/>
        <w:gridCol w:w="2835"/>
        <w:gridCol w:w="769"/>
        <w:gridCol w:w="639"/>
        <w:gridCol w:w="1273"/>
        <w:gridCol w:w="1275"/>
        <w:gridCol w:w="1057"/>
      </w:tblGrid>
      <w:tr>
        <w:tblPrEx>
          <w:tblCellMar>
            <w:top w:w="0" w:type="dxa"/>
            <w:left w:w="108" w:type="dxa"/>
            <w:bottom w:w="0" w:type="dxa"/>
            <w:right w:w="108" w:type="dxa"/>
          </w:tblCellMar>
        </w:tblPrEx>
        <w:trPr>
          <w:trHeight w:val="492"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项目</w:t>
            </w:r>
            <w:r>
              <w:rPr>
                <w:rFonts w:hint="eastAsia" w:ascii="仿宋" w:hAnsi="仿宋" w:eastAsia="仿宋" w:cs="Tahoma"/>
                <w:b/>
                <w:bCs/>
                <w:color w:val="000000"/>
                <w:sz w:val="20"/>
                <w:szCs w:val="20"/>
              </w:rPr>
              <w:t>名称</w:t>
            </w:r>
          </w:p>
        </w:tc>
        <w:tc>
          <w:tcPr>
            <w:tcW w:w="148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规格型号（技术参数）</w:t>
            </w:r>
            <w:bookmarkEnd w:id="47"/>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66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66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1223" w:hRule="atLeast"/>
        </w:trPr>
        <w:tc>
          <w:tcPr>
            <w:tcW w:w="32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5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西、北两校区校园网互联裸光缆租赁</w:t>
            </w:r>
          </w:p>
        </w:tc>
        <w:tc>
          <w:tcPr>
            <w:tcW w:w="1485"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Tahoma"/>
                <w:color w:val="000000"/>
                <w:sz w:val="20"/>
                <w:szCs w:val="20"/>
              </w:rPr>
            </w:pPr>
            <w:r>
              <w:rPr>
                <w:rFonts w:hint="eastAsia" w:ascii="仿宋" w:hAnsi="仿宋" w:eastAsia="仿宋" w:cs="Tahoma"/>
                <w:color w:val="000000"/>
                <w:sz w:val="20"/>
                <w:szCs w:val="20"/>
              </w:rPr>
              <w:t>1.月度链路可靠性≧99.95%。</w:t>
            </w:r>
          </w:p>
          <w:p>
            <w:pPr>
              <w:rPr>
                <w:rFonts w:hint="eastAsia" w:ascii="仿宋" w:hAnsi="仿宋" w:eastAsia="仿宋" w:cs="Tahoma"/>
                <w:color w:val="000000"/>
                <w:sz w:val="20"/>
                <w:szCs w:val="20"/>
              </w:rPr>
            </w:pPr>
            <w:r>
              <w:rPr>
                <w:rFonts w:hint="eastAsia" w:ascii="仿宋" w:hAnsi="仿宋" w:eastAsia="仿宋" w:cs="Tahoma"/>
                <w:color w:val="000000"/>
                <w:sz w:val="20"/>
                <w:szCs w:val="20"/>
              </w:rPr>
              <w:t>2.用户端到端的丢包率小于0.1‰</w:t>
            </w:r>
          </w:p>
          <w:p>
            <w:pPr>
              <w:rPr>
                <w:rFonts w:hint="eastAsia" w:ascii="仿宋" w:hAnsi="仿宋" w:eastAsia="仿宋" w:cs="Tahoma"/>
                <w:color w:val="000000"/>
                <w:sz w:val="20"/>
                <w:szCs w:val="20"/>
              </w:rPr>
            </w:pPr>
            <w:r>
              <w:rPr>
                <w:rFonts w:hint="eastAsia" w:ascii="仿宋" w:hAnsi="仿宋" w:eastAsia="仿宋" w:cs="Tahoma"/>
                <w:color w:val="000000"/>
                <w:sz w:val="20"/>
                <w:szCs w:val="20"/>
              </w:rPr>
              <w:t>3.具备主、备双路保护，主、备通道切换时间1min内完成。</w:t>
            </w:r>
          </w:p>
          <w:p>
            <w:pPr>
              <w:rPr>
                <w:rFonts w:hint="eastAsia" w:ascii="仿宋" w:hAnsi="仿宋" w:eastAsia="仿宋" w:cs="Tahoma"/>
                <w:color w:val="000000"/>
                <w:sz w:val="20"/>
                <w:szCs w:val="20"/>
              </w:rPr>
            </w:pPr>
            <w:r>
              <w:rPr>
                <w:rFonts w:hint="eastAsia" w:ascii="仿宋" w:hAnsi="仿宋" w:eastAsia="仿宋" w:cs="Tahoma"/>
                <w:color w:val="000000"/>
                <w:sz w:val="20"/>
                <w:szCs w:val="20"/>
              </w:rPr>
              <w:t>4.用户可通过该链路进行两校区资源互访。</w:t>
            </w:r>
          </w:p>
          <w:p>
            <w:pPr>
              <w:rPr>
                <w:rFonts w:hint="eastAsia" w:ascii="仿宋" w:hAnsi="仿宋" w:eastAsia="仿宋" w:cs="Tahoma"/>
                <w:color w:val="000000"/>
                <w:sz w:val="20"/>
                <w:szCs w:val="20"/>
              </w:rPr>
            </w:pPr>
            <w:r>
              <w:rPr>
                <w:rFonts w:hint="eastAsia" w:ascii="仿宋" w:hAnsi="仿宋" w:eastAsia="仿宋" w:cs="Tahoma"/>
                <w:color w:val="000000"/>
                <w:sz w:val="20"/>
                <w:szCs w:val="20"/>
              </w:rPr>
              <w:t>5.支持单模万兆互联。80公里内距离：发光范围：0∽4dBm,收光范围：-23∽-7dBm。</w:t>
            </w:r>
          </w:p>
          <w:p>
            <w:pPr>
              <w:rPr>
                <w:rFonts w:ascii="仿宋" w:hAnsi="仿宋" w:eastAsia="仿宋" w:cs="Tahoma"/>
                <w:color w:val="000000"/>
                <w:sz w:val="20"/>
                <w:szCs w:val="20"/>
              </w:rPr>
            </w:pPr>
            <w:r>
              <w:rPr>
                <w:rFonts w:hint="eastAsia" w:ascii="仿宋" w:hAnsi="仿宋" w:eastAsia="仿宋" w:cs="Tahoma"/>
                <w:color w:val="000000"/>
                <w:sz w:val="20"/>
                <w:szCs w:val="20"/>
              </w:rPr>
              <w:t>6.全程参考长度50公里。（不同线路路由，实际长度存在差异。）</w:t>
            </w:r>
          </w:p>
        </w:tc>
        <w:tc>
          <w:tcPr>
            <w:tcW w:w="40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年</w:t>
            </w:r>
          </w:p>
        </w:tc>
        <w:tc>
          <w:tcPr>
            <w:tcW w:w="335"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eastAsia="zh-CN"/>
              </w:rPr>
            </w:pPr>
            <w:r>
              <w:rPr>
                <w:rFonts w:hint="eastAsia" w:ascii="仿宋" w:hAnsi="仿宋" w:eastAsia="仿宋" w:cs="Tahoma"/>
                <w:color w:val="000000"/>
                <w:sz w:val="20"/>
                <w:szCs w:val="20"/>
                <w:lang w:val="en-US" w:eastAsia="zh-CN"/>
              </w:rPr>
              <w:t>1</w:t>
            </w:r>
          </w:p>
        </w:tc>
        <w:tc>
          <w:tcPr>
            <w:tcW w:w="66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pStyle w:val="55"/>
        <w:spacing w:after="0" w:line="500" w:lineRule="exact"/>
        <w:ind w:firstLine="0" w:firstLineChars="0"/>
        <w:rPr>
          <w:rFonts w:ascii="仿宋" w:hAnsi="仿宋" w:eastAsia="仿宋"/>
          <w:b/>
          <w:sz w:val="24"/>
          <w:szCs w:val="24"/>
        </w:rPr>
      </w:pPr>
      <w:r>
        <w:rPr>
          <w:rFonts w:hint="eastAsia" w:ascii="仿宋" w:hAnsi="仿宋" w:eastAsia="仿宋"/>
          <w:b/>
          <w:sz w:val="24"/>
          <w:szCs w:val="24"/>
        </w:rPr>
        <w:t>附件一：项目介绍</w:t>
      </w:r>
    </w:p>
    <w:p>
      <w:pPr>
        <w:spacing w:line="400" w:lineRule="exact"/>
        <w:rPr>
          <w:rFonts w:ascii="仿宋" w:hAnsi="仿宋" w:eastAsia="仿宋"/>
          <w:b/>
          <w:bCs/>
        </w:rPr>
      </w:pPr>
      <w:r>
        <w:rPr>
          <w:rFonts w:hint="eastAsia" w:ascii="仿宋" w:hAnsi="仿宋" w:eastAsia="仿宋"/>
          <w:b/>
          <w:bCs/>
        </w:rPr>
        <w:t>一、项目背景</w:t>
      </w:r>
    </w:p>
    <w:p>
      <w:pPr>
        <w:spacing w:line="360" w:lineRule="auto"/>
        <w:ind w:firstLine="440" w:firstLineChars="200"/>
        <w:rPr>
          <w:rFonts w:hint="eastAsia" w:ascii="仿宋" w:hAnsi="仿宋" w:eastAsia="仿宋"/>
        </w:rPr>
      </w:pPr>
      <w:r>
        <w:rPr>
          <w:rFonts w:hint="eastAsia" w:ascii="仿宋" w:hAnsi="仿宋" w:eastAsia="仿宋"/>
        </w:rPr>
        <w:t>为满足广东白云学院不断发展，信息化资源共享，因此需建设白云江高校区至钟落潭校区之间的专业传输光缆，将学校的网络业务承载在该链路上。计划采购一条双芯传输链路【广东白云学院（白云江高校区）中心机房至广东白云学院（钟落潭校区）中心机房】，保障白云江高校区和钟落潭校区校园网互通，两校区能够稳定正常访问校区各业务系统，从而提升我校网络服务质量。</w:t>
      </w:r>
    </w:p>
    <w:p>
      <w:pPr>
        <w:numPr>
          <w:ilvl w:val="0"/>
          <w:numId w:val="6"/>
        </w:numPr>
        <w:spacing w:line="360" w:lineRule="auto"/>
        <w:rPr>
          <w:rFonts w:hint="eastAsia" w:ascii="仿宋" w:hAnsi="仿宋" w:eastAsia="仿宋"/>
          <w:b/>
          <w:bCs/>
        </w:rPr>
      </w:pPr>
      <w:r>
        <w:rPr>
          <w:rFonts w:hint="eastAsia" w:ascii="仿宋" w:hAnsi="仿宋" w:eastAsia="仿宋"/>
          <w:b/>
          <w:bCs/>
        </w:rPr>
        <w:t>技术要求</w:t>
      </w:r>
    </w:p>
    <w:p>
      <w:pPr>
        <w:spacing w:line="360" w:lineRule="auto"/>
        <w:ind w:firstLine="480" w:firstLineChars="200"/>
        <w:rPr>
          <w:rFonts w:hint="eastAsia" w:ascii="仿宋" w:hAnsi="仿宋" w:eastAsia="仿宋"/>
        </w:rPr>
      </w:pPr>
      <w:r>
        <w:rPr>
          <w:rFonts w:hint="eastAsia" w:ascii="宋体" w:hAnsi="宋体" w:eastAsia="宋体"/>
          <w:sz w:val="24"/>
          <w:szCs w:val="24"/>
          <w:lang w:val="en-US" w:eastAsia="zh-CN"/>
        </w:rPr>
        <w:t>1.</w:t>
      </w:r>
      <w:r>
        <w:rPr>
          <w:rFonts w:hint="eastAsia" w:ascii="仿宋" w:hAnsi="仿宋" w:eastAsia="仿宋"/>
        </w:rPr>
        <w:t>两校区双芯裸光缆传输链路性能参数</w:t>
      </w:r>
    </w:p>
    <w:tbl>
      <w:tblPr>
        <w:tblStyle w:val="24"/>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序号</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center"/>
              <w:textAlignment w:val="auto"/>
              <w:rPr>
                <w:rFonts w:hint="eastAsia" w:ascii="仿宋" w:hAnsi="仿宋" w:eastAsia="仿宋"/>
                <w:sz w:val="20"/>
                <w:szCs w:val="20"/>
              </w:rPr>
            </w:pPr>
            <w:r>
              <w:rPr>
                <w:rFonts w:hint="eastAsia" w:ascii="仿宋" w:hAnsi="仿宋" w:eastAsia="仿宋"/>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1</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投标方提供长途链路资源应保证广东白云学院两校区传输裸光缆具备双路保护。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2</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投标方为白云江高校区及钟落潭校区提供双芯裸光缆。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3</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光缆系统满足YDJ44-89 电信网光缆数字传输系统工程施工及验收暂行技术规定。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4</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投标方提供端到端的解决方案，即负责招标方从白云江高校区到钟落潭校区的互联线路、网络的建设、维护所有工作。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5</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投标方需提供全网网络拓扑及所使用设备型号。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6</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投标方网络必须具有良好的扩展性和可升级性，确保满足将来因业务发展而产生的升级扩展需求。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7</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投标方有可靠的安全机制保证数据的保密性和完整性、安全性。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8</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投标方提供的链路中断故障响应时间≤30分钟，故障原因反馈时间≤60分钟。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9</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延时包括传输设备延迟和线路延迟。线路延迟为光信号在物理光缆内的传输耗时，其值与光缆长度关系密切，一般按光信号在光缆系统中的传输为每秒20万公里计算，相当于5 us/km，链路延时理论值为：光缆长度*5us。交付时应提供各链路的延时实测值，实测值应不大于理论值的3%。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10</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光缆选用G.652型单模光缆（衰减系数为A级），光缆器材应符合ITU-T G.652光缆技术标准、光缆配线架（盒）应符合YD/T778-1998标准要求,为单模双头单芯，接口类型为FC，要求插入损耗小于0.2dB，回波损耗大于50dB。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11</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端到端PING测试丢包率小于0.1‰，且RTT(Round Trip Time)小于10ms；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12</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投标方计划内割接需提前3个工作日通知到用户，并在通知中列明割接方案及负责人、应急预案等。割接后需向招标方提供包含该传输线路资料，并在割接调整后及时更新同步。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sz w:val="20"/>
                <w:szCs w:val="20"/>
              </w:rPr>
            </w:pPr>
            <w:r>
              <w:rPr>
                <w:rFonts w:hint="eastAsia" w:ascii="仿宋" w:hAnsi="仿宋" w:eastAsia="仿宋"/>
                <w:sz w:val="20"/>
                <w:szCs w:val="20"/>
              </w:rPr>
              <w:t>13</w:t>
            </w:r>
          </w:p>
        </w:tc>
        <w:tc>
          <w:tcPr>
            <w:tcW w:w="45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sz w:val="20"/>
                <w:szCs w:val="20"/>
              </w:rPr>
            </w:pPr>
            <w:r>
              <w:rPr>
                <w:rFonts w:hint="eastAsia" w:ascii="仿宋" w:hAnsi="仿宋" w:eastAsia="仿宋"/>
                <w:sz w:val="20"/>
                <w:szCs w:val="20"/>
              </w:rPr>
              <w:t>投标方必须提供7*24小时故障受理电话。</w:t>
            </w:r>
          </w:p>
        </w:tc>
      </w:tr>
    </w:tbl>
    <w:p>
      <w:pPr>
        <w:spacing w:line="240" w:lineRule="auto"/>
        <w:ind w:firstLine="220" w:firstLineChars="100"/>
        <w:rPr>
          <w:rFonts w:hint="eastAsia" w:ascii="仿宋" w:hAnsi="仿宋" w:eastAsia="仿宋"/>
        </w:rPr>
      </w:pPr>
      <w:r>
        <w:rPr>
          <w:rFonts w:hint="eastAsia" w:ascii="仿宋" w:hAnsi="仿宋" w:eastAsia="仿宋"/>
        </w:rPr>
        <w:t>2. 线路维护要求</w:t>
      </w:r>
    </w:p>
    <w:p>
      <w:pPr>
        <w:spacing w:line="240" w:lineRule="auto"/>
        <w:ind w:firstLine="440" w:firstLineChars="200"/>
        <w:rPr>
          <w:rFonts w:hint="eastAsia" w:ascii="仿宋" w:hAnsi="仿宋" w:eastAsia="仿宋"/>
        </w:rPr>
      </w:pPr>
      <w:r>
        <w:rPr>
          <w:rFonts w:hint="eastAsia" w:ascii="仿宋" w:hAnsi="仿宋" w:eastAsia="仿宋"/>
        </w:rPr>
        <w:t>光缆线路日常维护内容：</w:t>
      </w:r>
    </w:p>
    <w:p>
      <w:pPr>
        <w:spacing w:line="240" w:lineRule="auto"/>
        <w:ind w:firstLine="440" w:firstLineChars="200"/>
        <w:rPr>
          <w:rFonts w:hint="eastAsia" w:ascii="仿宋" w:hAnsi="仿宋" w:eastAsia="仿宋"/>
        </w:rPr>
      </w:pPr>
      <w:r>
        <w:rPr>
          <w:rFonts w:hint="eastAsia" w:ascii="仿宋" w:hAnsi="仿宋" w:eastAsia="仿宋"/>
        </w:rPr>
        <w:t>（1）为投标方提供光缆线路图、纤芯分配图、基站分布图、和路由数据等。</w:t>
      </w:r>
    </w:p>
    <w:p>
      <w:pPr>
        <w:spacing w:line="240" w:lineRule="auto"/>
        <w:ind w:firstLine="440" w:firstLineChars="200"/>
        <w:rPr>
          <w:rFonts w:hint="eastAsia" w:ascii="仿宋" w:hAnsi="仿宋" w:eastAsia="仿宋"/>
        </w:rPr>
      </w:pPr>
      <w:r>
        <w:rPr>
          <w:rFonts w:hint="eastAsia" w:ascii="仿宋" w:hAnsi="仿宋" w:eastAsia="仿宋"/>
        </w:rPr>
        <w:t>（2）光缆线路维护的基本任务线路维护人员应保持线路完整良好及正常运行，传输</w:t>
      </w:r>
    </w:p>
    <w:p>
      <w:pPr>
        <w:spacing w:line="240" w:lineRule="auto"/>
        <w:ind w:firstLine="440" w:firstLineChars="200"/>
        <w:rPr>
          <w:rFonts w:hint="eastAsia" w:ascii="仿宋" w:hAnsi="仿宋" w:eastAsia="仿宋"/>
        </w:rPr>
      </w:pPr>
      <w:r>
        <w:rPr>
          <w:rFonts w:hint="eastAsia" w:ascii="仿宋" w:hAnsi="仿宋" w:eastAsia="仿宋"/>
        </w:rPr>
        <w:t xml:space="preserve">性能符合维护指标要求。 </w:t>
      </w:r>
    </w:p>
    <w:p>
      <w:pPr>
        <w:spacing w:line="240" w:lineRule="auto"/>
        <w:ind w:firstLine="440" w:firstLineChars="200"/>
        <w:rPr>
          <w:rFonts w:hint="eastAsia" w:ascii="仿宋" w:hAnsi="仿宋" w:eastAsia="仿宋"/>
        </w:rPr>
      </w:pPr>
      <w:r>
        <w:rPr>
          <w:rFonts w:hint="eastAsia" w:ascii="仿宋" w:hAnsi="仿宋" w:eastAsia="仿宋"/>
        </w:rPr>
        <w:t>（3）光缆线路发生故障时，线路维护接到保障通知后，30分钟内迅速出动抢修，抢修时应遵循先抢通后修复的原则，并做好记录。确保在6小时内抢通。</w:t>
      </w:r>
    </w:p>
    <w:p>
      <w:pPr>
        <w:spacing w:line="240" w:lineRule="auto"/>
        <w:ind w:firstLine="440" w:firstLineChars="200"/>
        <w:rPr>
          <w:rFonts w:hint="eastAsia" w:ascii="仿宋" w:hAnsi="仿宋" w:eastAsia="仿宋"/>
        </w:rPr>
      </w:pPr>
      <w:r>
        <w:rPr>
          <w:rFonts w:hint="eastAsia" w:ascii="仿宋" w:hAnsi="仿宋" w:eastAsia="仿宋"/>
        </w:rPr>
        <w:t>（4）光缆线路的割接，由于下列原因发生的割接：光缆线路迁改，更换光缆，障碍抢修后的正式修复，更换接头盒等。维护部门必须提前通知校方，并安排好备用方案得到校方同意后才可以进行光缆割接，不得擅自处理。</w:t>
      </w:r>
    </w:p>
    <w:tbl>
      <w:tblPr>
        <w:tblStyle w:val="24"/>
        <w:tblpPr w:leftFromText="180" w:rightFromText="180" w:vertAnchor="text" w:horzAnchor="page" w:tblpX="1009" w:tblpY="44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42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4"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sz w:val="20"/>
                <w:szCs w:val="20"/>
              </w:rPr>
            </w:pPr>
            <w:r>
              <w:rPr>
                <w:rFonts w:hint="eastAsia" w:ascii="仿宋" w:hAnsi="仿宋" w:eastAsia="仿宋"/>
                <w:sz w:val="20"/>
                <w:szCs w:val="20"/>
              </w:rPr>
              <w:t>序号</w:t>
            </w:r>
          </w:p>
        </w:tc>
        <w:tc>
          <w:tcPr>
            <w:tcW w:w="12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仿宋" w:hAnsi="仿宋" w:eastAsia="仿宋"/>
                <w:sz w:val="20"/>
                <w:szCs w:val="20"/>
              </w:rPr>
            </w:pPr>
            <w:r>
              <w:rPr>
                <w:rFonts w:hint="eastAsia" w:ascii="仿宋" w:hAnsi="仿宋" w:eastAsia="仿宋"/>
                <w:sz w:val="20"/>
                <w:szCs w:val="20"/>
              </w:rPr>
              <w:t>项目</w:t>
            </w:r>
          </w:p>
        </w:tc>
        <w:tc>
          <w:tcPr>
            <w:tcW w:w="33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仿宋" w:hAnsi="仿宋" w:eastAsia="仿宋"/>
                <w:sz w:val="20"/>
                <w:szCs w:val="20"/>
              </w:rPr>
            </w:pPr>
            <w:r>
              <w:rPr>
                <w:rFonts w:hint="eastAsia" w:ascii="仿宋" w:hAnsi="仿宋" w:eastAsia="仿宋"/>
                <w:sz w:val="20"/>
                <w:szCs w:val="20"/>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4"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1</w:t>
            </w:r>
          </w:p>
        </w:tc>
        <w:tc>
          <w:tcPr>
            <w:tcW w:w="12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仿宋" w:hAnsi="仿宋" w:eastAsia="仿宋"/>
                <w:sz w:val="20"/>
                <w:szCs w:val="20"/>
              </w:rPr>
            </w:pPr>
            <w:r>
              <w:rPr>
                <w:rFonts w:hint="eastAsia" w:ascii="仿宋" w:hAnsi="仿宋" w:eastAsia="仿宋"/>
                <w:sz w:val="20"/>
                <w:szCs w:val="20"/>
              </w:rPr>
              <w:t>资料文档</w:t>
            </w:r>
          </w:p>
        </w:tc>
        <w:tc>
          <w:tcPr>
            <w:tcW w:w="3333"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sz w:val="20"/>
                <w:szCs w:val="20"/>
              </w:rPr>
            </w:pPr>
            <w:r>
              <w:rPr>
                <w:rFonts w:hint="eastAsia" w:ascii="仿宋" w:hAnsi="仿宋" w:eastAsia="仿宋" w:cs="Tahoma"/>
                <w:color w:val="000000"/>
                <w:sz w:val="20"/>
                <w:szCs w:val="20"/>
              </w:rPr>
              <w:t>中标方需提供完整的线路拓扑图。资料与线路实际相符，齐全、准确。若线路拓扑有变，资料必须当天更新。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4"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2</w:t>
            </w:r>
          </w:p>
        </w:tc>
        <w:tc>
          <w:tcPr>
            <w:tcW w:w="12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仿宋" w:hAnsi="仿宋" w:eastAsia="仿宋"/>
                <w:sz w:val="20"/>
                <w:szCs w:val="20"/>
              </w:rPr>
            </w:pPr>
            <w:r>
              <w:rPr>
                <w:rFonts w:hint="eastAsia" w:ascii="仿宋" w:hAnsi="仿宋" w:eastAsia="仿宋"/>
                <w:sz w:val="20"/>
                <w:szCs w:val="20"/>
              </w:rPr>
              <w:t>线路质量</w:t>
            </w:r>
          </w:p>
        </w:tc>
        <w:tc>
          <w:tcPr>
            <w:tcW w:w="3333"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sz w:val="20"/>
                <w:szCs w:val="20"/>
              </w:rPr>
            </w:pPr>
            <w:r>
              <w:rPr>
                <w:rFonts w:hint="eastAsia" w:ascii="仿宋" w:hAnsi="仿宋" w:eastAsia="仿宋"/>
                <w:sz w:val="20"/>
                <w:szCs w:val="20"/>
              </w:rPr>
              <w:t>线路光衰值≤-15db左右。线路中断的故障，在维护期内每月不能超过两次。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54"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3</w:t>
            </w:r>
          </w:p>
        </w:tc>
        <w:tc>
          <w:tcPr>
            <w:tcW w:w="1212"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线路故障处理速度</w:t>
            </w:r>
          </w:p>
        </w:tc>
        <w:tc>
          <w:tcPr>
            <w:tcW w:w="3333"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sz w:val="20"/>
                <w:szCs w:val="20"/>
              </w:rPr>
            </w:pPr>
            <w:r>
              <w:rPr>
                <w:rFonts w:hint="eastAsia" w:ascii="仿宋" w:hAnsi="仿宋" w:eastAsia="仿宋"/>
                <w:sz w:val="20"/>
                <w:szCs w:val="20"/>
              </w:rPr>
              <w:t>中标方提供的链路中断故障响应时间≤5分钟，故障原因反馈时间≤20分钟。故障维修时间不能超过1小时。若是维修难度大的，要及时通知校方，且故障处理时间不能多于6小时。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4"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4</w:t>
            </w:r>
          </w:p>
        </w:tc>
        <w:tc>
          <w:tcPr>
            <w:tcW w:w="1212"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sz w:val="20"/>
                <w:szCs w:val="20"/>
              </w:rPr>
            </w:pPr>
            <w:r>
              <w:rPr>
                <w:rFonts w:hint="eastAsia" w:ascii="仿宋" w:hAnsi="仿宋" w:eastAsia="仿宋"/>
                <w:sz w:val="20"/>
                <w:szCs w:val="20"/>
              </w:rPr>
              <w:t>维护人员服务质量</w:t>
            </w:r>
          </w:p>
        </w:tc>
        <w:tc>
          <w:tcPr>
            <w:tcW w:w="3333"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sz w:val="20"/>
                <w:szCs w:val="20"/>
              </w:rPr>
            </w:pPr>
            <w:r>
              <w:rPr>
                <w:rFonts w:hint="eastAsia" w:ascii="仿宋" w:hAnsi="仿宋" w:eastAsia="仿宋" w:cs="Tahoma"/>
                <w:color w:val="000000"/>
                <w:sz w:val="20"/>
                <w:szCs w:val="20"/>
              </w:rPr>
              <w:t>积极配合校方调试该光缆线路的网络数据，且提供7*24小时故障受理电话。</w:t>
            </w:r>
          </w:p>
        </w:tc>
      </w:tr>
    </w:tbl>
    <w:p>
      <w:pPr>
        <w:spacing w:line="240" w:lineRule="auto"/>
        <w:ind w:firstLine="440" w:firstLineChars="200"/>
        <w:rPr>
          <w:rFonts w:hint="eastAsia" w:ascii="仿宋" w:hAnsi="仿宋" w:eastAsia="仿宋"/>
        </w:rPr>
      </w:pPr>
      <w:r>
        <w:rPr>
          <w:rFonts w:hint="eastAsia" w:ascii="仿宋" w:hAnsi="仿宋" w:eastAsia="仿宋"/>
        </w:rPr>
        <w:t>3. 线路质量及线路维护考核内容标准</w:t>
      </w:r>
    </w:p>
    <w:p>
      <w:pPr>
        <w:spacing w:line="240" w:lineRule="auto"/>
        <w:rPr>
          <w:rFonts w:hint="eastAsia" w:ascii="仿宋" w:hAnsi="仿宋" w:eastAsia="仿宋"/>
        </w:rPr>
      </w:pPr>
      <w:r>
        <w:rPr>
          <w:rFonts w:hint="eastAsia" w:ascii="仿宋" w:hAnsi="仿宋" w:eastAsia="仿宋"/>
        </w:rPr>
        <w:t xml:space="preserve">注：白云江高校区  </w:t>
      </w:r>
      <w:r>
        <w:rPr>
          <w:rFonts w:hint="eastAsia" w:ascii="仿宋" w:hAnsi="仿宋" w:eastAsia="仿宋"/>
          <w:lang w:val="en-US" w:eastAsia="zh-CN"/>
        </w:rPr>
        <w:t xml:space="preserve">  </w:t>
      </w:r>
      <w:r>
        <w:rPr>
          <w:rFonts w:hint="eastAsia" w:ascii="仿宋" w:hAnsi="仿宋" w:eastAsia="仿宋"/>
        </w:rPr>
        <w:t>地址：广州市白云区江高镇学苑路1号</w:t>
      </w:r>
    </w:p>
    <w:p>
      <w:pPr>
        <w:spacing w:line="240" w:lineRule="auto"/>
        <w:ind w:firstLine="440" w:firstLineChars="200"/>
        <w:rPr>
          <w:rFonts w:hint="default" w:ascii="仿宋" w:hAnsi="仿宋" w:eastAsia="仿宋"/>
          <w:lang w:val="en-US" w:eastAsia="zh-CN"/>
        </w:rPr>
      </w:pPr>
      <w:r>
        <w:rPr>
          <w:rFonts w:hint="eastAsia" w:ascii="仿宋" w:hAnsi="仿宋" w:eastAsia="仿宋"/>
          <w:lang w:val="en-US" w:eastAsia="zh-CN"/>
        </w:rPr>
        <w:t>白云</w:t>
      </w:r>
      <w:r>
        <w:rPr>
          <w:rFonts w:hint="eastAsia" w:ascii="仿宋" w:hAnsi="仿宋" w:eastAsia="仿宋"/>
        </w:rPr>
        <w:t>钟落潭校区  地址：广东省广州市白云区钟落潭</w:t>
      </w:r>
      <w:r>
        <w:rPr>
          <w:rFonts w:hint="eastAsia" w:ascii="仿宋" w:hAnsi="仿宋" w:eastAsia="仿宋"/>
          <w:lang w:val="en-US" w:eastAsia="zh-CN"/>
        </w:rPr>
        <w:t>九佛西路280号</w:t>
      </w:r>
    </w:p>
    <w:p>
      <w:pPr>
        <w:spacing w:line="400" w:lineRule="exact"/>
        <w:rPr>
          <w:rFonts w:ascii="仿宋" w:hAnsi="仿宋" w:eastAsia="仿宋"/>
          <w:b/>
          <w:bCs/>
          <w:highlight w:val="none"/>
        </w:rPr>
      </w:pPr>
      <w:r>
        <w:rPr>
          <w:rFonts w:hint="eastAsia" w:ascii="仿宋" w:hAnsi="仿宋" w:eastAsia="仿宋"/>
          <w:b/>
          <w:bCs/>
          <w:highlight w:val="none"/>
          <w:lang w:val="en-US" w:eastAsia="zh-CN"/>
        </w:rPr>
        <w:t>三</w:t>
      </w:r>
      <w:r>
        <w:rPr>
          <w:rFonts w:hint="eastAsia" w:ascii="仿宋" w:hAnsi="仿宋" w:eastAsia="仿宋"/>
          <w:b/>
          <w:bCs/>
          <w:highlight w:val="none"/>
        </w:rPr>
        <w:t>、</w:t>
      </w:r>
      <w:r>
        <w:rPr>
          <w:rFonts w:hint="eastAsia" w:ascii="仿宋" w:hAnsi="仿宋" w:eastAsia="仿宋"/>
          <w:b/>
          <w:bCs/>
          <w:highlight w:val="none"/>
          <w:lang w:val="en-US" w:eastAsia="zh-CN"/>
        </w:rPr>
        <w:t>产品</w:t>
      </w:r>
      <w:r>
        <w:rPr>
          <w:rFonts w:hint="eastAsia" w:ascii="仿宋" w:hAnsi="仿宋" w:eastAsia="仿宋"/>
          <w:b/>
          <w:bCs/>
          <w:highlight w:val="none"/>
        </w:rPr>
        <w:t>资质</w:t>
      </w:r>
    </w:p>
    <w:p>
      <w:pPr>
        <w:spacing w:line="360" w:lineRule="exact"/>
        <w:rPr>
          <w:rFonts w:hint="eastAsia" w:ascii="仿宋" w:hAnsi="仿宋" w:eastAsia="仿宋"/>
          <w:b/>
          <w:bCs/>
          <w:highlight w:val="none"/>
          <w:lang w:eastAsia="zh-CN"/>
        </w:rPr>
      </w:pPr>
      <w:r>
        <w:rPr>
          <w:rFonts w:hint="eastAsia" w:ascii="仿宋" w:hAnsi="仿宋" w:eastAsia="仿宋"/>
          <w:b/>
          <w:bCs/>
          <w:highlight w:val="none"/>
        </w:rPr>
        <w:t>产品具备国家相关安全资质、产品登记及相关安全检测等证明文件</w:t>
      </w:r>
      <w:r>
        <w:rPr>
          <w:rFonts w:hint="eastAsia" w:ascii="仿宋" w:hAnsi="仿宋" w:eastAsia="仿宋"/>
          <w:b/>
          <w:bCs/>
          <w:highlight w:val="none"/>
          <w:lang w:eastAsia="zh-CN"/>
        </w:rPr>
        <w:t>。</w:t>
      </w:r>
    </w:p>
    <w:p>
      <w:pPr>
        <w:spacing w:line="400" w:lineRule="exact"/>
        <w:rPr>
          <w:rFonts w:ascii="仿宋" w:hAnsi="仿宋" w:eastAsia="仿宋"/>
        </w:rPr>
      </w:pPr>
      <w:r>
        <w:rPr>
          <w:rFonts w:hint="eastAsia" w:ascii="仿宋" w:hAnsi="仿宋" w:eastAsia="仿宋"/>
        </w:rPr>
        <w:t>注：</w:t>
      </w:r>
    </w:p>
    <w:p>
      <w:pPr>
        <w:numPr>
          <w:ilvl w:val="0"/>
          <w:numId w:val="7"/>
        </w:numPr>
        <w:spacing w:after="0" w:line="400" w:lineRule="exact"/>
        <w:rPr>
          <w:rFonts w:ascii="仿宋" w:hAnsi="仿宋" w:eastAsia="仿宋"/>
          <w:bCs/>
        </w:rPr>
      </w:pPr>
      <w:r>
        <w:rPr>
          <w:rFonts w:hint="eastAsia" w:ascii="仿宋" w:hAnsi="仿宋" w:eastAsia="仿宋"/>
          <w:bCs/>
        </w:rPr>
        <w:t>本项目采用“公开询价”方式进行，《公开询价货物一览表》中所描述的内容均为采购人根据自身需求提供的技术要求，除采购人特殊要求外，参与人可根据以上信息在满足采购人要求基础上提供优化方案及所匹配产品，采购人将优先选择性价比高且符合要求的产品。</w:t>
      </w:r>
    </w:p>
    <w:p>
      <w:pPr>
        <w:numPr>
          <w:ilvl w:val="0"/>
          <w:numId w:val="7"/>
        </w:numPr>
        <w:spacing w:after="0" w:line="400" w:lineRule="exact"/>
        <w:rPr>
          <w:rFonts w:ascii="仿宋" w:hAnsi="仿宋" w:eastAsia="仿宋"/>
          <w:bCs/>
        </w:rPr>
      </w:pPr>
      <w:r>
        <w:rPr>
          <w:rFonts w:hint="eastAsia" w:ascii="仿宋" w:hAnsi="仿宋" w:eastAsia="仿宋"/>
          <w:bCs/>
        </w:rPr>
        <w:t>参与人所投商品需要提供品牌、规格型号等真实详细信息，禁止复制采购人所提供的参考参数。</w:t>
      </w:r>
    </w:p>
    <w:p>
      <w:pPr>
        <w:numPr>
          <w:ilvl w:val="0"/>
          <w:numId w:val="7"/>
        </w:numPr>
        <w:spacing w:after="0" w:line="400" w:lineRule="exact"/>
        <w:rPr>
          <w:rFonts w:ascii="仿宋" w:hAnsi="仿宋" w:eastAsia="仿宋"/>
          <w:bCs/>
        </w:rPr>
      </w:pPr>
      <w:r>
        <w:rPr>
          <w:rFonts w:hint="eastAsia" w:ascii="仿宋" w:hAnsi="仿宋" w:eastAsia="仿宋"/>
          <w:bCs/>
        </w:rPr>
        <w:t>参与人所投商品报价应包含税费、整体实施、安装调试费、售后服务等一切费用。</w:t>
      </w:r>
    </w:p>
    <w:p>
      <w:pPr>
        <w:numPr>
          <w:ilvl w:val="0"/>
          <w:numId w:val="7"/>
        </w:numPr>
        <w:spacing w:after="0" w:line="400" w:lineRule="exact"/>
        <w:rPr>
          <w:rFonts w:ascii="仿宋" w:hAnsi="仿宋" w:eastAsia="仿宋"/>
          <w:bCs/>
        </w:rPr>
      </w:pPr>
      <w:r>
        <w:rPr>
          <w:rFonts w:hint="eastAsia" w:ascii="仿宋" w:hAnsi="仿宋" w:eastAsia="仿宋"/>
          <w:b/>
        </w:rPr>
        <w:t>参与人须提供管理</w:t>
      </w:r>
      <w:r>
        <w:rPr>
          <w:rFonts w:hint="eastAsia" w:ascii="仿宋" w:hAnsi="仿宋" w:eastAsia="仿宋"/>
          <w:b/>
          <w:lang w:val="en-US" w:eastAsia="zh-CN"/>
        </w:rPr>
        <w:t>系统</w:t>
      </w:r>
      <w:r>
        <w:rPr>
          <w:rFonts w:hint="eastAsia" w:ascii="仿宋" w:hAnsi="仿宋" w:eastAsia="仿宋"/>
          <w:b/>
        </w:rPr>
        <w:t>演示及试用。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1440180</wp:posOffset>
            </wp:positionH>
            <wp:positionV relativeFrom="paragraph">
              <wp:posOffset>472440</wp:posOffset>
            </wp:positionV>
            <wp:extent cx="3086100" cy="6445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86100" cy="644525"/>
                    </a:xfrm>
                    <a:prstGeom prst="rect">
                      <a:avLst/>
                    </a:prstGeom>
                    <a:noFill/>
                    <a:ln>
                      <a:noFill/>
                    </a:ln>
                  </pic:spPr>
                </pic:pic>
              </a:graphicData>
            </a:graphic>
          </wp:anchor>
        </w:drawing>
      </w:r>
    </w:p>
    <w:p>
      <w:pPr>
        <w:spacing w:line="1000" w:lineRule="exact"/>
        <w:rPr>
          <w:rFonts w:ascii="仿宋" w:hAnsi="仿宋" w:eastAsia="仿宋"/>
          <w:b/>
          <w:sz w:val="72"/>
          <w:szCs w:val="72"/>
        </w:rPr>
      </w:pPr>
    </w:p>
    <w:p>
      <w:pPr>
        <w:spacing w:line="1000" w:lineRule="exact"/>
        <w:jc w:val="center"/>
        <w:rPr>
          <w:rFonts w:hint="eastAsia" w:ascii="仿宋" w:hAnsi="仿宋" w:eastAsia="仿宋"/>
          <w:b/>
          <w:sz w:val="44"/>
          <w:szCs w:val="44"/>
        </w:rPr>
      </w:pPr>
      <w:r>
        <w:rPr>
          <w:rFonts w:hint="eastAsia" w:ascii="仿宋" w:hAnsi="仿宋" w:eastAsia="仿宋"/>
          <w:b/>
          <w:sz w:val="44"/>
          <w:szCs w:val="44"/>
        </w:rPr>
        <w:t>广东白云学院</w:t>
      </w:r>
      <w:r>
        <w:rPr>
          <w:rFonts w:hint="eastAsia" w:ascii="仿宋" w:hAnsi="仿宋" w:eastAsia="仿宋"/>
          <w:b/>
          <w:sz w:val="44"/>
          <w:szCs w:val="44"/>
        </w:rPr>
        <w:t>校园网互联裸光缆租赁</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bookmarkStart w:id="180" w:name="_GoBack"/>
      <w:bookmarkEnd w:id="180"/>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192996338"/>
      <w:bookmarkStart w:id="49" w:name="_Toc192663686"/>
      <w:bookmarkStart w:id="50" w:name="_Toc177985469"/>
      <w:bookmarkStart w:id="51" w:name="_Toc251586231"/>
      <w:bookmarkStart w:id="52" w:name="_Toc266870833"/>
      <w:bookmarkStart w:id="53" w:name="_Toc267059919"/>
      <w:bookmarkStart w:id="54" w:name="_Toc213755995"/>
      <w:bookmarkStart w:id="55" w:name="_Toc213208766"/>
      <w:bookmarkStart w:id="56" w:name="_Toc217891402"/>
      <w:bookmarkStart w:id="57" w:name="_Toc267060208"/>
      <w:bookmarkStart w:id="58" w:name="_Toc235438344"/>
      <w:bookmarkStart w:id="59" w:name="_Toc225669322"/>
      <w:bookmarkStart w:id="60" w:name="_Toc266868670"/>
      <w:bookmarkStart w:id="61" w:name="_Toc235438274"/>
      <w:bookmarkStart w:id="62" w:name="_Toc266870432"/>
      <w:bookmarkStart w:id="63" w:name="_Toc235437991"/>
      <w:bookmarkStart w:id="64" w:name="_Toc267059653"/>
      <w:bookmarkStart w:id="65" w:name="_Toc253066614"/>
      <w:bookmarkStart w:id="66" w:name="_Toc213755858"/>
      <w:bookmarkStart w:id="67" w:name="_Toc267059181"/>
      <w:bookmarkStart w:id="68" w:name="_Toc255975007"/>
      <w:bookmarkStart w:id="69" w:name="_Toc267060321"/>
      <w:bookmarkStart w:id="70" w:name="_Toc258401256"/>
      <w:bookmarkStart w:id="71" w:name="_Toc193165734"/>
      <w:bookmarkStart w:id="72" w:name="_Toc251613829"/>
      <w:bookmarkStart w:id="73" w:name="_Toc254790899"/>
      <w:bookmarkStart w:id="74" w:name="_Toc267060068"/>
      <w:bookmarkStart w:id="75" w:name="_Toc192996446"/>
      <w:bookmarkStart w:id="76" w:name="_Toc191783222"/>
      <w:bookmarkStart w:id="77" w:name="_Toc259520865"/>
      <w:bookmarkStart w:id="78" w:name="_Toc259692740"/>
      <w:bookmarkStart w:id="79" w:name="_Toc211917116"/>
      <w:bookmarkStart w:id="80" w:name="_Toc191789329"/>
      <w:bookmarkStart w:id="81" w:name="_Toc191802690"/>
      <w:bookmarkStart w:id="82" w:name="_Toc230071147"/>
      <w:bookmarkStart w:id="83" w:name="_Toc170798793"/>
      <w:bookmarkStart w:id="84" w:name="_Toc203355733"/>
      <w:bookmarkStart w:id="85" w:name="_Toc169332949"/>
      <w:bookmarkStart w:id="86" w:name="_Toc227058530"/>
      <w:bookmarkStart w:id="87" w:name="_Toc267059539"/>
      <w:bookmarkStart w:id="88" w:name="_Toc213756051"/>
      <w:bookmarkStart w:id="89" w:name="_Toc266868937"/>
      <w:bookmarkStart w:id="90" w:name="_Toc267059030"/>
      <w:bookmarkStart w:id="91" w:name="_Toc180302913"/>
      <w:bookmarkStart w:id="92" w:name="_Toc259692647"/>
      <w:bookmarkStart w:id="93" w:name="_Toc169332838"/>
      <w:bookmarkStart w:id="94" w:name="_Toc213755939"/>
      <w:bookmarkStart w:id="95" w:name="_Toc236021449"/>
      <w:bookmarkStart w:id="96" w:name="_Toc181436565"/>
      <w:bookmarkStart w:id="97" w:name="_Toc267060453"/>
      <w:bookmarkStart w:id="98" w:name="_Toc232302115"/>
      <w:bookmarkStart w:id="99" w:name="_Toc219800243"/>
      <w:bookmarkStart w:id="100" w:name="_Toc273178698"/>
      <w:bookmarkStart w:id="101" w:name="_Toc160880160"/>
      <w:bookmarkStart w:id="102" w:name="_Toc160880529"/>
      <w:bookmarkStart w:id="103" w:name="_Toc182372782"/>
      <w:bookmarkStart w:id="104" w:name="_Toc181436461"/>
      <w:bookmarkStart w:id="105" w:name="_Toc267059806"/>
      <w:bookmarkStart w:id="106" w:name="_Toc192663835"/>
      <w:bookmarkStart w:id="107" w:name="_Toc249325711"/>
      <w:bookmarkStart w:id="108" w:name="_Toc193160448"/>
      <w:bookmarkStart w:id="109" w:name="_Toc182805217"/>
      <w:bookmarkStart w:id="110" w:name="_Toc266870907"/>
      <w:bookmarkStart w:id="111" w:name="_Toc191803626"/>
      <w:bookmarkStart w:id="112" w:name="_Toc223146608"/>
      <w:bookmarkStart w:id="113" w:name="_Toc192664153"/>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4701" w:type="pct"/>
        <w:tblInd w:w="0" w:type="dxa"/>
        <w:tblLayout w:type="fixed"/>
        <w:tblCellMar>
          <w:top w:w="0" w:type="dxa"/>
          <w:left w:w="108" w:type="dxa"/>
          <w:bottom w:w="0" w:type="dxa"/>
          <w:right w:w="108" w:type="dxa"/>
        </w:tblCellMar>
      </w:tblPr>
      <w:tblGrid>
        <w:gridCol w:w="718"/>
        <w:gridCol w:w="1159"/>
        <w:gridCol w:w="2716"/>
        <w:gridCol w:w="736"/>
        <w:gridCol w:w="785"/>
        <w:gridCol w:w="1073"/>
        <w:gridCol w:w="1048"/>
        <w:gridCol w:w="765"/>
      </w:tblGrid>
      <w:tr>
        <w:tblPrEx>
          <w:tblCellMar>
            <w:top w:w="0" w:type="dxa"/>
            <w:left w:w="108" w:type="dxa"/>
            <w:bottom w:w="0" w:type="dxa"/>
            <w:right w:w="108" w:type="dxa"/>
          </w:tblCellMar>
        </w:tblPrEx>
        <w:trPr>
          <w:trHeight w:val="492" w:hRule="atLeast"/>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64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项目</w:t>
            </w:r>
            <w:r>
              <w:rPr>
                <w:rFonts w:hint="eastAsia" w:ascii="仿宋" w:hAnsi="仿宋" w:eastAsia="仿宋" w:cs="Tahoma"/>
                <w:b/>
                <w:bCs/>
                <w:color w:val="000000"/>
                <w:sz w:val="20"/>
                <w:szCs w:val="20"/>
              </w:rPr>
              <w:t>名称</w:t>
            </w:r>
          </w:p>
        </w:tc>
        <w:tc>
          <w:tcPr>
            <w:tcW w:w="150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40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59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67059658"/>
      <w:bookmarkStart w:id="115" w:name="_Toc249325720"/>
      <w:bookmarkStart w:id="116" w:name="_Toc169332843"/>
      <w:bookmarkStart w:id="117" w:name="_Toc235438352"/>
      <w:bookmarkStart w:id="118" w:name="_Toc182805222"/>
      <w:bookmarkStart w:id="119" w:name="_Toc266870916"/>
      <w:bookmarkStart w:id="120" w:name="_Toc169332954"/>
      <w:bookmarkStart w:id="121" w:name="_Toc181436466"/>
      <w:bookmarkStart w:id="122" w:name="_Toc181436570"/>
      <w:bookmarkStart w:id="123" w:name="_Toc192664158"/>
      <w:bookmarkStart w:id="124" w:name="_Toc177985474"/>
      <w:bookmarkStart w:id="125" w:name="_Toc191789334"/>
      <w:bookmarkStart w:id="126" w:name="_Toc267060326"/>
      <w:bookmarkStart w:id="127" w:name="_Toc223146614"/>
      <w:bookmarkStart w:id="128" w:name="_Toc273178703"/>
      <w:bookmarkStart w:id="129" w:name="_Toc235438281"/>
      <w:bookmarkStart w:id="130" w:name="_Toc259692749"/>
      <w:bookmarkStart w:id="131" w:name="_Toc213756057"/>
      <w:bookmarkStart w:id="132" w:name="_Toc267059544"/>
      <w:bookmarkStart w:id="133" w:name="_Toc266870441"/>
      <w:bookmarkStart w:id="134" w:name="_Toc267060076"/>
      <w:bookmarkStart w:id="135" w:name="_Toc254790909"/>
      <w:bookmarkStart w:id="136" w:name="_Toc191783227"/>
      <w:bookmarkStart w:id="137" w:name="_Toc191802695"/>
      <w:bookmarkStart w:id="138" w:name="_Toc267059035"/>
      <w:bookmarkStart w:id="139" w:name="_Toc259520874"/>
      <w:bookmarkStart w:id="140" w:name="_Toc225669328"/>
      <w:bookmarkStart w:id="141" w:name="_Toc193160453"/>
      <w:bookmarkStart w:id="142" w:name="_Toc236021457"/>
      <w:bookmarkStart w:id="143" w:name="_Toc267059924"/>
      <w:bookmarkStart w:id="144" w:name="_Toc160880534"/>
      <w:bookmarkStart w:id="145" w:name="_Toc253066624"/>
      <w:bookmarkStart w:id="146" w:name="_Toc193165739"/>
      <w:bookmarkStart w:id="147" w:name="_Toc259692656"/>
      <w:bookmarkStart w:id="148" w:name="_Toc192663840"/>
      <w:bookmarkStart w:id="149" w:name="_Toc227058536"/>
      <w:bookmarkStart w:id="150" w:name="_Toc213755945"/>
      <w:bookmarkStart w:id="151" w:name="_Toc230071153"/>
      <w:bookmarkStart w:id="152" w:name="_Toc255975016"/>
      <w:bookmarkStart w:id="153" w:name="_Toc267059186"/>
      <w:bookmarkStart w:id="154" w:name="_Toc192663691"/>
      <w:bookmarkStart w:id="155" w:name="_Toc160880165"/>
      <w:bookmarkStart w:id="156" w:name="_Toc251586241"/>
      <w:bookmarkStart w:id="157" w:name="_Toc217891408"/>
      <w:bookmarkStart w:id="158" w:name="_Toc170798798"/>
      <w:bookmarkStart w:id="159" w:name="_Toc211917121"/>
      <w:bookmarkStart w:id="160" w:name="_Toc267060216"/>
      <w:bookmarkStart w:id="161" w:name="_Toc232302122"/>
      <w:bookmarkStart w:id="162" w:name="_Toc235437998"/>
      <w:bookmarkStart w:id="163" w:name="_Toc258401265"/>
      <w:bookmarkStart w:id="164" w:name="_Toc266870839"/>
      <w:bookmarkStart w:id="165" w:name="_Toc203355738"/>
      <w:bookmarkStart w:id="166" w:name="_Toc266868943"/>
      <w:bookmarkStart w:id="167" w:name="_Toc182372787"/>
      <w:bookmarkStart w:id="168" w:name="_Toc213755864"/>
      <w:bookmarkStart w:id="169" w:name="_Toc251613839"/>
      <w:bookmarkStart w:id="170" w:name="_Toc192996451"/>
      <w:bookmarkStart w:id="171" w:name="_Toc219800249"/>
      <w:bookmarkStart w:id="172" w:name="_Toc180302918"/>
      <w:bookmarkStart w:id="173" w:name="_Toc192996343"/>
      <w:bookmarkStart w:id="174" w:name="_Toc191803631"/>
      <w:bookmarkStart w:id="175" w:name="_Toc266868679"/>
      <w:bookmarkStart w:id="176" w:name="_Toc213208771"/>
      <w:bookmarkStart w:id="177" w:name="_Toc267060461"/>
      <w:bookmarkStart w:id="178" w:name="_Toc267059811"/>
      <w:bookmarkStart w:id="179" w:name="_Toc21375600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8"/>
        </w:numPr>
        <w:spacing w:after="0" w:line="500" w:lineRule="exact"/>
        <w:ind w:firstLineChars="0"/>
        <w:rPr>
          <w:rFonts w:ascii="仿宋" w:hAnsi="仿宋" w:eastAsia="仿宋"/>
          <w:b/>
          <w:bCs/>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2216785</wp:posOffset>
          </wp:positionH>
          <wp:positionV relativeFrom="paragraph">
            <wp:posOffset>-138430</wp:posOffset>
          </wp:positionV>
          <wp:extent cx="1809115" cy="295275"/>
          <wp:effectExtent l="0" t="0" r="63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911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-138430</wp:posOffset>
          </wp:positionV>
          <wp:extent cx="1732915" cy="295275"/>
          <wp:effectExtent l="0" t="0" r="63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32915" cy="2952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B2F525A"/>
    <w:multiLevelType w:val="singleLevel"/>
    <w:tmpl w:val="5B2F525A"/>
    <w:lvl w:ilvl="0" w:tentative="0">
      <w:start w:val="2"/>
      <w:numFmt w:val="chineseCounting"/>
      <w:suff w:val="nothing"/>
      <w:lvlText w:val="%1、"/>
      <w:lvlJc w:val="left"/>
      <w:rPr>
        <w:rFonts w:hint="eastAsia"/>
      </w:r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20"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zQxMmZkYzVmY2RjMjQwMGQ0Nzk1YzAwOWZjMjYifQ=="/>
  </w:docVars>
  <w:rsids>
    <w:rsidRoot w:val="007B0F09"/>
    <w:rsid w:val="0000490C"/>
    <w:rsid w:val="0003788B"/>
    <w:rsid w:val="000569E1"/>
    <w:rsid w:val="00057A51"/>
    <w:rsid w:val="00074B20"/>
    <w:rsid w:val="00082572"/>
    <w:rsid w:val="000934D4"/>
    <w:rsid w:val="000C3E2B"/>
    <w:rsid w:val="000F4F45"/>
    <w:rsid w:val="001037BF"/>
    <w:rsid w:val="0013118F"/>
    <w:rsid w:val="00136A53"/>
    <w:rsid w:val="001561E9"/>
    <w:rsid w:val="00176967"/>
    <w:rsid w:val="00176CD4"/>
    <w:rsid w:val="001772BC"/>
    <w:rsid w:val="00182C6E"/>
    <w:rsid w:val="001A5B43"/>
    <w:rsid w:val="001A7645"/>
    <w:rsid w:val="001B16D6"/>
    <w:rsid w:val="001B719E"/>
    <w:rsid w:val="001C6943"/>
    <w:rsid w:val="00235C32"/>
    <w:rsid w:val="00244E90"/>
    <w:rsid w:val="0024690E"/>
    <w:rsid w:val="002657F7"/>
    <w:rsid w:val="002772BB"/>
    <w:rsid w:val="002A0474"/>
    <w:rsid w:val="002A633A"/>
    <w:rsid w:val="002B6EF4"/>
    <w:rsid w:val="002C2C3D"/>
    <w:rsid w:val="002C4297"/>
    <w:rsid w:val="002C5D35"/>
    <w:rsid w:val="00306C9B"/>
    <w:rsid w:val="00320C30"/>
    <w:rsid w:val="0033335F"/>
    <w:rsid w:val="00334E6F"/>
    <w:rsid w:val="003570A0"/>
    <w:rsid w:val="003625B6"/>
    <w:rsid w:val="0036595B"/>
    <w:rsid w:val="0037674B"/>
    <w:rsid w:val="0038676F"/>
    <w:rsid w:val="003B4853"/>
    <w:rsid w:val="003C09AD"/>
    <w:rsid w:val="003C60EF"/>
    <w:rsid w:val="003E6439"/>
    <w:rsid w:val="003F20A6"/>
    <w:rsid w:val="00404FA2"/>
    <w:rsid w:val="004242F4"/>
    <w:rsid w:val="0043243C"/>
    <w:rsid w:val="00441955"/>
    <w:rsid w:val="00447890"/>
    <w:rsid w:val="0045117A"/>
    <w:rsid w:val="0045571D"/>
    <w:rsid w:val="004B66B1"/>
    <w:rsid w:val="004F6AE0"/>
    <w:rsid w:val="00502F52"/>
    <w:rsid w:val="00520B4D"/>
    <w:rsid w:val="0053766E"/>
    <w:rsid w:val="00582530"/>
    <w:rsid w:val="00590957"/>
    <w:rsid w:val="005914DC"/>
    <w:rsid w:val="005917BF"/>
    <w:rsid w:val="005A5A4D"/>
    <w:rsid w:val="005B5A2D"/>
    <w:rsid w:val="005E3E63"/>
    <w:rsid w:val="005F125A"/>
    <w:rsid w:val="005F1FC8"/>
    <w:rsid w:val="005F7D3E"/>
    <w:rsid w:val="00611861"/>
    <w:rsid w:val="00630374"/>
    <w:rsid w:val="0064362D"/>
    <w:rsid w:val="00667BCF"/>
    <w:rsid w:val="00684E56"/>
    <w:rsid w:val="00694E60"/>
    <w:rsid w:val="0069669C"/>
    <w:rsid w:val="006B47F4"/>
    <w:rsid w:val="006B5B3D"/>
    <w:rsid w:val="006D2FCE"/>
    <w:rsid w:val="006F3C71"/>
    <w:rsid w:val="006F5FBA"/>
    <w:rsid w:val="007033CB"/>
    <w:rsid w:val="00740E85"/>
    <w:rsid w:val="00754818"/>
    <w:rsid w:val="007A6B0D"/>
    <w:rsid w:val="007B0F09"/>
    <w:rsid w:val="007B2319"/>
    <w:rsid w:val="00820908"/>
    <w:rsid w:val="00820F76"/>
    <w:rsid w:val="00865B30"/>
    <w:rsid w:val="00866542"/>
    <w:rsid w:val="00874219"/>
    <w:rsid w:val="0087518C"/>
    <w:rsid w:val="00884BF1"/>
    <w:rsid w:val="008902DC"/>
    <w:rsid w:val="008A71B5"/>
    <w:rsid w:val="008C000D"/>
    <w:rsid w:val="008C7622"/>
    <w:rsid w:val="008C7FF6"/>
    <w:rsid w:val="008E5D51"/>
    <w:rsid w:val="009123D7"/>
    <w:rsid w:val="00916532"/>
    <w:rsid w:val="00916EFC"/>
    <w:rsid w:val="00923C7E"/>
    <w:rsid w:val="00936704"/>
    <w:rsid w:val="0093697D"/>
    <w:rsid w:val="0094170D"/>
    <w:rsid w:val="009606BC"/>
    <w:rsid w:val="00967E57"/>
    <w:rsid w:val="00981D35"/>
    <w:rsid w:val="00994E59"/>
    <w:rsid w:val="009B3CA3"/>
    <w:rsid w:val="009B7DAD"/>
    <w:rsid w:val="009C247D"/>
    <w:rsid w:val="009E0F85"/>
    <w:rsid w:val="009F6A34"/>
    <w:rsid w:val="00A066FB"/>
    <w:rsid w:val="00A148CE"/>
    <w:rsid w:val="00A24465"/>
    <w:rsid w:val="00A313B2"/>
    <w:rsid w:val="00A40610"/>
    <w:rsid w:val="00A4220E"/>
    <w:rsid w:val="00A44A63"/>
    <w:rsid w:val="00A45704"/>
    <w:rsid w:val="00A64A5B"/>
    <w:rsid w:val="00AA3427"/>
    <w:rsid w:val="00AA3C64"/>
    <w:rsid w:val="00AC4579"/>
    <w:rsid w:val="00AD29A3"/>
    <w:rsid w:val="00AE22F5"/>
    <w:rsid w:val="00AF3C2A"/>
    <w:rsid w:val="00B14C37"/>
    <w:rsid w:val="00B51EE9"/>
    <w:rsid w:val="00B54440"/>
    <w:rsid w:val="00B554E7"/>
    <w:rsid w:val="00B556FC"/>
    <w:rsid w:val="00B7278F"/>
    <w:rsid w:val="00B72EA9"/>
    <w:rsid w:val="00B8370E"/>
    <w:rsid w:val="00B83714"/>
    <w:rsid w:val="00B87E5D"/>
    <w:rsid w:val="00BD49FB"/>
    <w:rsid w:val="00BD51D2"/>
    <w:rsid w:val="00BD7232"/>
    <w:rsid w:val="00BE1921"/>
    <w:rsid w:val="00C035B5"/>
    <w:rsid w:val="00C1787D"/>
    <w:rsid w:val="00C26563"/>
    <w:rsid w:val="00C36718"/>
    <w:rsid w:val="00C37C5A"/>
    <w:rsid w:val="00C56F2C"/>
    <w:rsid w:val="00C66E1E"/>
    <w:rsid w:val="00C676BA"/>
    <w:rsid w:val="00C81AB4"/>
    <w:rsid w:val="00C857BF"/>
    <w:rsid w:val="00CA25CB"/>
    <w:rsid w:val="00CA6CB6"/>
    <w:rsid w:val="00CA786D"/>
    <w:rsid w:val="00D02C2F"/>
    <w:rsid w:val="00D2102C"/>
    <w:rsid w:val="00D260D0"/>
    <w:rsid w:val="00D36D52"/>
    <w:rsid w:val="00D56DEA"/>
    <w:rsid w:val="00D57B8A"/>
    <w:rsid w:val="00D60F0E"/>
    <w:rsid w:val="00D8646A"/>
    <w:rsid w:val="00D9150A"/>
    <w:rsid w:val="00DC516E"/>
    <w:rsid w:val="00DD0541"/>
    <w:rsid w:val="00E11567"/>
    <w:rsid w:val="00E3310A"/>
    <w:rsid w:val="00E33B9E"/>
    <w:rsid w:val="00E33C1C"/>
    <w:rsid w:val="00E34C27"/>
    <w:rsid w:val="00E40327"/>
    <w:rsid w:val="00E47041"/>
    <w:rsid w:val="00E77225"/>
    <w:rsid w:val="00E95973"/>
    <w:rsid w:val="00E9685C"/>
    <w:rsid w:val="00EB749E"/>
    <w:rsid w:val="00EC5ADC"/>
    <w:rsid w:val="00ED2437"/>
    <w:rsid w:val="00EE3803"/>
    <w:rsid w:val="00EF0982"/>
    <w:rsid w:val="00F0149B"/>
    <w:rsid w:val="00F03D28"/>
    <w:rsid w:val="00F21640"/>
    <w:rsid w:val="00F24554"/>
    <w:rsid w:val="00F82182"/>
    <w:rsid w:val="00F8646A"/>
    <w:rsid w:val="00F876DE"/>
    <w:rsid w:val="00FC4F79"/>
    <w:rsid w:val="00FC5C73"/>
    <w:rsid w:val="00FF1750"/>
    <w:rsid w:val="00FF655F"/>
    <w:rsid w:val="07ED64FD"/>
    <w:rsid w:val="0A9C4EDC"/>
    <w:rsid w:val="0FC21884"/>
    <w:rsid w:val="111A5F86"/>
    <w:rsid w:val="11FA587E"/>
    <w:rsid w:val="13BB51A2"/>
    <w:rsid w:val="19837C20"/>
    <w:rsid w:val="1B69364D"/>
    <w:rsid w:val="1BCD70C6"/>
    <w:rsid w:val="1BD73631"/>
    <w:rsid w:val="1C113B32"/>
    <w:rsid w:val="1CD75C39"/>
    <w:rsid w:val="224756FE"/>
    <w:rsid w:val="262F5066"/>
    <w:rsid w:val="3C1D50CE"/>
    <w:rsid w:val="3F9D3CF8"/>
    <w:rsid w:val="41106989"/>
    <w:rsid w:val="45F639F8"/>
    <w:rsid w:val="493F74D5"/>
    <w:rsid w:val="49CD228A"/>
    <w:rsid w:val="4B154D62"/>
    <w:rsid w:val="4CCF1328"/>
    <w:rsid w:val="4D80267D"/>
    <w:rsid w:val="52F50356"/>
    <w:rsid w:val="53ED0D6B"/>
    <w:rsid w:val="56B84605"/>
    <w:rsid w:val="56D43705"/>
    <w:rsid w:val="59A821EB"/>
    <w:rsid w:val="5FAD1AA2"/>
    <w:rsid w:val="608157AF"/>
    <w:rsid w:val="67BB5392"/>
    <w:rsid w:val="68146AA3"/>
    <w:rsid w:val="6BEA4B5C"/>
    <w:rsid w:val="6D2124BE"/>
    <w:rsid w:val="6E1141E1"/>
    <w:rsid w:val="719C00B6"/>
    <w:rsid w:val="75396D99"/>
    <w:rsid w:val="77EE3E51"/>
    <w:rsid w:val="780B50FD"/>
    <w:rsid w:val="7D47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5"/>
    <w:link w:val="6"/>
    <w:semiHidden/>
    <w:qFormat/>
    <w:uiPriority w:val="9"/>
    <w:rPr>
      <w:rFonts w:asciiTheme="majorHAnsi" w:hAnsiTheme="majorHAnsi" w:eastAsiaTheme="majorEastAsia" w:cstheme="majorBidi"/>
      <w:b/>
      <w:bCs/>
    </w:rPr>
  </w:style>
  <w:style w:type="character" w:customStyle="1" w:styleId="34">
    <w:name w:val="标题 6 Char"/>
    <w:basedOn w:val="25"/>
    <w:link w:val="7"/>
    <w:semiHidden/>
    <w:qFormat/>
    <w:uiPriority w:val="9"/>
    <w:rPr>
      <w:rFonts w:asciiTheme="majorHAnsi" w:hAnsiTheme="majorHAnsi" w:eastAsiaTheme="majorEastAsia" w:cstheme="majorBidi"/>
      <w:b/>
      <w:bCs/>
      <w:i/>
      <w:iCs/>
    </w:rPr>
  </w:style>
  <w:style w:type="character" w:customStyle="1" w:styleId="35">
    <w:name w:val="标题 7 Char"/>
    <w:basedOn w:val="25"/>
    <w:link w:val="8"/>
    <w:semiHidden/>
    <w:qFormat/>
    <w:uiPriority w:val="9"/>
    <w:rPr>
      <w:i/>
      <w:iCs/>
    </w:rPr>
  </w:style>
  <w:style w:type="character" w:customStyle="1" w:styleId="36">
    <w:name w:val="标题 8 Char"/>
    <w:basedOn w:val="25"/>
    <w:link w:val="9"/>
    <w:semiHidden/>
    <w:qFormat/>
    <w:uiPriority w:val="9"/>
    <w:rPr>
      <w:b/>
      <w:bCs/>
    </w:rPr>
  </w:style>
  <w:style w:type="character" w:customStyle="1" w:styleId="37">
    <w:name w:val="标题 9 Char"/>
    <w:basedOn w:val="25"/>
    <w:link w:val="10"/>
    <w:semiHidden/>
    <w:qFormat/>
    <w:uiPriority w:val="9"/>
    <w:rPr>
      <w:i/>
      <w:iCs/>
    </w:rPr>
  </w:style>
  <w:style w:type="character" w:customStyle="1" w:styleId="38">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不明显强调1"/>
    <w:basedOn w:val="25"/>
    <w:qFormat/>
    <w:uiPriority w:val="19"/>
    <w:rPr>
      <w:i/>
      <w:iCs/>
      <w:color w:val="auto"/>
    </w:rPr>
  </w:style>
  <w:style w:type="character" w:customStyle="1" w:styleId="46">
    <w:name w:val="明显强调1"/>
    <w:basedOn w:val="25"/>
    <w:qFormat/>
    <w:uiPriority w:val="21"/>
    <w:rPr>
      <w:b/>
      <w:bCs/>
      <w:i/>
      <w:iCs/>
      <w:color w:val="auto"/>
    </w:rPr>
  </w:style>
  <w:style w:type="character" w:customStyle="1" w:styleId="47">
    <w:name w:val="不明显参考1"/>
    <w:basedOn w:val="25"/>
    <w:qFormat/>
    <w:uiPriority w:val="31"/>
    <w:rPr>
      <w:smallCaps/>
      <w:color w:val="auto"/>
      <w:u w:val="single" w:color="7E7E7E" w:themeColor="text1" w:themeTint="80"/>
    </w:rPr>
  </w:style>
  <w:style w:type="character" w:customStyle="1" w:styleId="48">
    <w:name w:val="明显参考1"/>
    <w:basedOn w:val="25"/>
    <w:qFormat/>
    <w:uiPriority w:val="32"/>
    <w:rPr>
      <w:b/>
      <w:bCs/>
      <w:smallCaps/>
      <w:color w:val="auto"/>
      <w:u w:val="single"/>
    </w:rPr>
  </w:style>
  <w:style w:type="character" w:customStyle="1" w:styleId="49">
    <w:name w:val="书籍标题1"/>
    <w:basedOn w:val="25"/>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qFormat/>
    <w:uiPriority w:val="99"/>
    <w:rPr>
      <w:rFonts w:hAnsi="Courier New" w:cs="Courier New" w:asciiTheme="minorEastAsia"/>
    </w:rPr>
  </w:style>
  <w:style w:type="character" w:customStyle="1" w:styleId="59">
    <w:name w:val="正文文本 Char"/>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8F31-0BA0-4403-8938-EF28A8BDDE86}">
  <ds:schemaRefs/>
</ds:datastoreItem>
</file>

<file path=docProps/app.xml><?xml version="1.0" encoding="utf-8"?>
<Properties xmlns="http://schemas.openxmlformats.org/officeDocument/2006/extended-properties" xmlns:vt="http://schemas.openxmlformats.org/officeDocument/2006/docPropsVTypes">
  <Template>Normal</Template>
  <Pages>9</Pages>
  <Words>3759</Words>
  <Characters>3982</Characters>
  <Lines>29</Lines>
  <Paragraphs>8</Paragraphs>
  <TotalTime>15</TotalTime>
  <ScaleCrop>false</ScaleCrop>
  <LinksUpToDate>false</LinksUpToDate>
  <CharactersWithSpaces>4205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2022-05-06T08:19:00Z</dcterms:created>
  <dc:creator>树亮 门</dc:creator>
  <cp:lastModifiedBy>Single cat</cp:lastModifiedBy>
  <dcterms:modified xsi:type="dcterms:W3CDTF">2022-05-23T00:37:26Z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AF1D177E887C46179C6B3E946DA1F18F</vt:lpwstr>
  </property>
</Properties>
</file>