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eastAsia="zh-CN"/>
        </w:rPr>
      </w:pPr>
      <w:bookmarkStart w:id="0" w:name="_Hlk38472698"/>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数据中心存储设备采购</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20523</w:t>
      </w:r>
    </w:p>
    <w:p>
      <w:pPr>
        <w:spacing w:line="500" w:lineRule="exact"/>
        <w:ind w:firstLine="2331" w:firstLineChars="645"/>
        <w:rPr>
          <w:rFonts w:hint="eastAsia" w:ascii="仿宋" w:hAnsi="仿宋" w:eastAsia="仿宋"/>
          <w:b/>
          <w:color w:val="auto"/>
          <w:sz w:val="36"/>
          <w:szCs w:val="36"/>
          <w:lang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5974963"/>
      <w:bookmarkStart w:id="5" w:name="_Toc227058483"/>
      <w:bookmarkStart w:id="6" w:name="_Toc267060022"/>
      <w:bookmarkStart w:id="7" w:name="_Toc267059161"/>
      <w:bookmarkStart w:id="8" w:name="_Toc273178686"/>
      <w:bookmarkStart w:id="9" w:name="_Toc249325665"/>
      <w:bookmarkStart w:id="10" w:name="_Toc254790852"/>
      <w:bookmarkStart w:id="11" w:name="_Toc267059786"/>
      <w:bookmarkStart w:id="12" w:name="_Toc259520819"/>
      <w:bookmarkStart w:id="13" w:name="_Toc258401210"/>
      <w:bookmarkStart w:id="14" w:name="_Toc267059519"/>
      <w:bookmarkStart w:id="15" w:name="_Toc259692600"/>
      <w:bookmarkStart w:id="16" w:name="_Toc216241307"/>
      <w:bookmarkStart w:id="17" w:name="_Toc251613780"/>
      <w:bookmarkStart w:id="18" w:name="_Toc267060407"/>
      <w:bookmarkStart w:id="19" w:name="_Toc212526081"/>
      <w:bookmarkStart w:id="20" w:name="_Toc235438227"/>
      <w:bookmarkStart w:id="21" w:name="_Toc212456146"/>
      <w:bookmarkStart w:id="22" w:name="_Toc160880487"/>
      <w:bookmarkStart w:id="23" w:name="_Toc266868624"/>
      <w:bookmarkStart w:id="24" w:name="_Toc267059633"/>
      <w:bookmarkStart w:id="25" w:name="_Toc225669277"/>
      <w:bookmarkStart w:id="26" w:name="_Toc169332904"/>
      <w:bookmarkStart w:id="27" w:name="_Toc266870386"/>
      <w:bookmarkStart w:id="28" w:name="_Toc212454753"/>
      <w:bookmarkStart w:id="29" w:name="_Toc177985424"/>
      <w:bookmarkStart w:id="30" w:name="_Toc207014580"/>
      <w:bookmarkStart w:id="31" w:name="_Toc170798743"/>
      <w:bookmarkStart w:id="32" w:name="_Toc236021402"/>
      <w:bookmarkStart w:id="33" w:name="_Toc259692693"/>
      <w:bookmarkStart w:id="34" w:name="_Toc251586187"/>
      <w:bookmarkStart w:id="35" w:name="_Toc253066567"/>
      <w:bookmarkStart w:id="36" w:name="_Toc235438297"/>
      <w:bookmarkStart w:id="37" w:name="_Toc217891359"/>
      <w:bookmarkStart w:id="38" w:name="_Toc266870861"/>
      <w:bookmarkStart w:id="39" w:name="_Toc212530253"/>
      <w:bookmarkStart w:id="40" w:name="_Toc219800200"/>
      <w:bookmarkStart w:id="41" w:name="_Toc267059899"/>
      <w:bookmarkStart w:id="42" w:name="_Toc266868924"/>
      <w:bookmarkStart w:id="43" w:name="_Toc267060162"/>
      <w:bookmarkStart w:id="44" w:name="_Toc267059010"/>
      <w:bookmarkStart w:id="45" w:name="_Toc169332794"/>
      <w:bookmarkStart w:id="46" w:name="_Toc235437942"/>
      <w:bookmarkStart w:id="47" w:name="_Toc211937196"/>
      <w:bookmarkStart w:id="48" w:name="_Toc223146565"/>
      <w:r>
        <w:rPr>
          <w:rFonts w:hint="eastAsia" w:ascii="仿宋" w:hAnsi="仿宋" w:eastAsia="仿宋"/>
          <w:b/>
          <w:color w:val="auto"/>
          <w:sz w:val="36"/>
          <w:szCs w:val="36"/>
          <w:lang w:val="en-US" w:eastAsia="zh-CN"/>
        </w:rPr>
        <w:t>数据中心存储设备采购</w:t>
      </w:r>
      <w:r>
        <w:rPr>
          <w:rFonts w:hint="eastAsia" w:ascii="仿宋" w:hAnsi="仿宋" w:eastAsia="仿宋"/>
          <w:b/>
          <w:color w:val="auto"/>
          <w:sz w:val="36"/>
          <w:szCs w:val="36"/>
          <w:lang w:eastAsia="zh-CN"/>
        </w:rPr>
        <w:t>项目</w:t>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rPr>
        <w:t>烟台科技学院（原济南大学泉城学院），是国家教育部和山东省人民政府批准成立的全日制普通本科高校。位于人间仙境</w:t>
      </w:r>
      <w:r>
        <w:rPr>
          <w:rFonts w:hint="eastAsia" w:ascii="仿宋" w:hAnsi="仿宋" w:eastAsia="仿宋"/>
          <w:sz w:val="28"/>
          <w:szCs w:val="28"/>
          <w:lang w:eastAsia="zh-CN"/>
        </w:rPr>
        <w:t>——</w:t>
      </w:r>
      <w:r>
        <w:rPr>
          <w:rFonts w:hint="eastAsia" w:ascii="仿宋" w:hAnsi="仿宋" w:eastAsia="仿宋"/>
          <w:sz w:val="28"/>
          <w:szCs w:val="28"/>
        </w:rPr>
        <w:t>山东蓬莱，现有全日制在校生15000余人，基础设施完备，教学科研条件优越。根据需要，对烟台科技学院</w:t>
      </w:r>
      <w:r>
        <w:rPr>
          <w:rFonts w:hint="eastAsia" w:ascii="仿宋" w:hAnsi="仿宋" w:eastAsia="仿宋"/>
          <w:sz w:val="28"/>
          <w:szCs w:val="28"/>
          <w:lang w:val="en-US" w:eastAsia="zh-CN"/>
        </w:rPr>
        <w:t>数据中心存储设备采购</w:t>
      </w:r>
      <w:r>
        <w:rPr>
          <w:rFonts w:hint="eastAsia" w:ascii="仿宋" w:hAnsi="仿宋" w:eastAsia="仿宋"/>
          <w:sz w:val="28"/>
          <w:szCs w:val="28"/>
        </w:rPr>
        <w:t>项目进行公开询价，欢迎国内合格参与人参与。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stheme="minorBidi"/>
          <w:color w:val="auto"/>
          <w:sz w:val="28"/>
          <w:szCs w:val="28"/>
          <w:lang w:val="en-US" w:eastAsia="zh-CN" w:bidi="ar-SA"/>
        </w:rPr>
        <w:t>YKG20220523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sz w:val="28"/>
          <w:szCs w:val="28"/>
          <w:lang w:val="en-US" w:eastAsia="zh-CN"/>
        </w:rPr>
        <w:t>数据中心存储设备采购</w:t>
      </w:r>
      <w:r>
        <w:rPr>
          <w:rFonts w:hint="eastAsia" w:ascii="仿宋" w:hAnsi="仿宋" w:eastAsia="仿宋" w:cstheme="minorBidi"/>
          <w:color w:val="auto"/>
          <w:sz w:val="28"/>
          <w:szCs w:val="28"/>
          <w:lang w:val="en-US" w:eastAsia="zh-CN" w:bidi="ar-SA"/>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eastAsia="zh-CN"/>
        </w:rPr>
        <w:t>货物一览表</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pStyle w:val="54"/>
        <w:numPr>
          <w:ilvl w:val="0"/>
          <w:numId w:val="2"/>
        </w:numPr>
        <w:spacing w:after="0" w:line="500" w:lineRule="exact"/>
        <w:ind w:firstLineChars="0"/>
        <w:rPr>
          <w:rFonts w:ascii="仿宋" w:hAnsi="仿宋" w:eastAsia="仿宋"/>
          <w:sz w:val="28"/>
          <w:szCs w:val="28"/>
        </w:rPr>
      </w:pPr>
      <w:r>
        <w:rPr>
          <w:rFonts w:hint="eastAsia" w:ascii="仿宋" w:hAnsi="仿宋" w:eastAsia="仿宋"/>
          <w:color w:val="auto"/>
          <w:sz w:val="28"/>
          <w:szCs w:val="28"/>
        </w:rPr>
        <w:t>参与人</w:t>
      </w:r>
      <w:r>
        <w:rPr>
          <w:rFonts w:hint="eastAsia" w:ascii="仿宋" w:hAnsi="仿宋" w:eastAsia="仿宋"/>
          <w:sz w:val="28"/>
          <w:szCs w:val="28"/>
        </w:rPr>
        <w:t>应具有独立法人资格的</w:t>
      </w:r>
      <w:r>
        <w:rPr>
          <w:rFonts w:hint="eastAsia" w:ascii="仿宋" w:hAnsi="仿宋" w:eastAsia="仿宋"/>
          <w:sz w:val="28"/>
          <w:szCs w:val="28"/>
          <w:lang w:val="en-US" w:eastAsia="zh-CN"/>
        </w:rPr>
        <w:t>供应商</w:t>
      </w:r>
      <w:r>
        <w:rPr>
          <w:rFonts w:hint="eastAsia" w:ascii="仿宋" w:hAnsi="仿宋" w:eastAsia="仿宋"/>
          <w:sz w:val="28"/>
          <w:szCs w:val="28"/>
        </w:rPr>
        <w:t>或授权经销商</w:t>
      </w:r>
      <w:r>
        <w:rPr>
          <w:rFonts w:hint="eastAsia" w:ascii="仿宋" w:hAnsi="仿宋" w:eastAsia="仿宋"/>
          <w:sz w:val="28"/>
          <w:szCs w:val="28"/>
          <w:lang w:eastAsia="zh-CN"/>
        </w:rPr>
        <w:t>；</w:t>
      </w:r>
    </w:p>
    <w:p>
      <w:pPr>
        <w:pStyle w:val="54"/>
        <w:numPr>
          <w:ilvl w:val="0"/>
          <w:numId w:val="2"/>
        </w:numPr>
        <w:spacing w:after="0" w:line="500" w:lineRule="exact"/>
        <w:ind w:firstLineChars="0"/>
        <w:rPr>
          <w:rFonts w:hint="eastAsia" w:ascii="仿宋" w:hAnsi="仿宋" w:eastAsia="仿宋"/>
          <w:sz w:val="28"/>
          <w:szCs w:val="28"/>
        </w:rPr>
      </w:pPr>
      <w:r>
        <w:rPr>
          <w:rFonts w:hint="eastAsia" w:ascii="仿宋" w:hAnsi="仿宋" w:eastAsia="仿宋"/>
          <w:sz w:val="28"/>
          <w:szCs w:val="28"/>
        </w:rPr>
        <w:t>参与人应具有合法有效的营业执照，经营范围应包括</w:t>
      </w:r>
      <w:r>
        <w:rPr>
          <w:rFonts w:hint="eastAsia" w:ascii="仿宋" w:hAnsi="仿宋" w:eastAsia="仿宋"/>
          <w:sz w:val="28"/>
          <w:szCs w:val="28"/>
          <w:lang w:val="en-US" w:eastAsia="zh-CN"/>
        </w:rPr>
        <w:t>数据中心存储设备</w:t>
      </w:r>
      <w:r>
        <w:rPr>
          <w:rFonts w:hint="eastAsia" w:ascii="仿宋" w:hAnsi="仿宋" w:eastAsia="仿宋"/>
          <w:sz w:val="28"/>
          <w:szCs w:val="28"/>
          <w:lang w:eastAsia="zh-CN"/>
        </w:rPr>
        <w:t>及安装</w:t>
      </w:r>
      <w:r>
        <w:rPr>
          <w:rFonts w:hint="eastAsia" w:ascii="仿宋" w:hAnsi="仿宋" w:eastAsia="仿宋"/>
          <w:sz w:val="28"/>
          <w:szCs w:val="28"/>
          <w:lang w:val="en-US" w:eastAsia="zh-CN"/>
        </w:rPr>
        <w:t>调试</w:t>
      </w:r>
      <w:r>
        <w:rPr>
          <w:rFonts w:hint="eastAsia" w:ascii="仿宋" w:hAnsi="仿宋" w:eastAsia="仿宋"/>
          <w:sz w:val="28"/>
          <w:szCs w:val="28"/>
        </w:rPr>
        <w:t>资质</w:t>
      </w:r>
      <w:r>
        <w:rPr>
          <w:rFonts w:hint="eastAsia" w:ascii="仿宋" w:hAnsi="仿宋" w:eastAsia="仿宋"/>
          <w:sz w:val="28"/>
          <w:szCs w:val="28"/>
          <w:lang w:eastAsia="zh-CN"/>
        </w:rPr>
        <w:t>；</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参与人应具</w:t>
      </w:r>
      <w:r>
        <w:rPr>
          <w:rFonts w:ascii="仿宋" w:hAnsi="仿宋" w:eastAsia="仿宋"/>
          <w:sz w:val="28"/>
          <w:szCs w:val="28"/>
        </w:rPr>
        <w:t>有提</w:t>
      </w:r>
      <w:r>
        <w:rPr>
          <w:rFonts w:hint="eastAsia" w:ascii="仿宋" w:hAnsi="仿宋" w:eastAsia="仿宋"/>
          <w:sz w:val="28"/>
          <w:szCs w:val="28"/>
        </w:rPr>
        <w:t>供</w:t>
      </w:r>
      <w:r>
        <w:rPr>
          <w:rFonts w:hint="eastAsia" w:ascii="仿宋" w:hAnsi="仿宋" w:eastAsia="仿宋"/>
          <w:sz w:val="28"/>
          <w:szCs w:val="28"/>
          <w:lang w:val="en-US" w:eastAsia="zh-CN"/>
        </w:rPr>
        <w:t>数据中心存储设备</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lang w:eastAsia="zh-CN"/>
        </w:rPr>
        <w:t>，</w:t>
      </w:r>
      <w:r>
        <w:rPr>
          <w:rFonts w:hint="eastAsia" w:ascii="仿宋" w:hAnsi="仿宋" w:eastAsia="仿宋"/>
          <w:sz w:val="28"/>
          <w:szCs w:val="28"/>
        </w:rPr>
        <w:t>具备相应的维护保养能力</w:t>
      </w:r>
      <w:r>
        <w:rPr>
          <w:rFonts w:hint="eastAsia" w:ascii="仿宋" w:hAnsi="仿宋" w:eastAsia="仿宋"/>
          <w:sz w:val="28"/>
          <w:szCs w:val="28"/>
          <w:lang w:eastAsia="zh-CN"/>
        </w:rPr>
        <w:t>；</w:t>
      </w:r>
    </w:p>
    <w:p>
      <w:pPr>
        <w:spacing w:after="0" w:line="500" w:lineRule="exact"/>
        <w:ind w:left="1410" w:leftChars="322" w:hanging="702" w:hangingChars="251"/>
        <w:jc w:val="left"/>
        <w:rPr>
          <w:rFonts w:hint="eastAsia" w:ascii="仿宋" w:hAnsi="仿宋" w:eastAsia="仿宋"/>
          <w:sz w:val="28"/>
          <w:szCs w:val="28"/>
          <w:lang w:eastAsia="zh-CN"/>
        </w:rPr>
      </w:pPr>
      <w:r>
        <w:rPr>
          <w:rFonts w:hint="eastAsia" w:ascii="仿宋" w:hAnsi="仿宋" w:eastAsia="仿宋"/>
          <w:sz w:val="28"/>
          <w:szCs w:val="28"/>
        </w:rPr>
        <w:t>（4）参与人</w:t>
      </w:r>
      <w:r>
        <w:rPr>
          <w:rFonts w:hint="eastAsia" w:ascii="仿宋" w:hAnsi="仿宋" w:eastAsia="仿宋"/>
          <w:sz w:val="28"/>
          <w:szCs w:val="28"/>
          <w:lang w:val="en-US" w:eastAsia="zh-CN"/>
        </w:rPr>
        <w:t>需提供2</w:t>
      </w:r>
      <w:r>
        <w:rPr>
          <w:rFonts w:hint="eastAsia" w:ascii="仿宋" w:hAnsi="仿宋" w:eastAsia="仿宋"/>
          <w:color w:val="000000" w:themeColor="text1"/>
          <w:sz w:val="28"/>
          <w:szCs w:val="28"/>
          <w14:textFill>
            <w14:solidFill>
              <w14:schemeClr w14:val="tx1"/>
            </w14:solidFill>
          </w14:textFill>
        </w:rPr>
        <w:t>年以上</w:t>
      </w:r>
      <w:r>
        <w:rPr>
          <w:rFonts w:hint="eastAsia" w:ascii="仿宋" w:hAnsi="仿宋" w:eastAsia="仿宋"/>
          <w:sz w:val="28"/>
          <w:szCs w:val="28"/>
        </w:rPr>
        <w:t>（包括</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个以上同类项目销售</w:t>
      </w:r>
      <w:r>
        <w:rPr>
          <w:rFonts w:hint="eastAsia" w:ascii="仿宋" w:hAnsi="仿宋" w:eastAsia="仿宋"/>
          <w:sz w:val="28"/>
          <w:szCs w:val="28"/>
          <w:lang w:val="en-US" w:eastAsia="zh-CN"/>
        </w:rPr>
        <w:t>合同（复印件）</w:t>
      </w:r>
      <w:r>
        <w:rPr>
          <w:rFonts w:hint="eastAsia" w:ascii="仿宋" w:hAnsi="仿宋" w:eastAsia="仿宋"/>
          <w:sz w:val="28"/>
          <w:szCs w:val="28"/>
        </w:rPr>
        <w:t>和良好的售后服务应用成功案例,近三年未</w:t>
      </w:r>
      <w:r>
        <w:rPr>
          <w:rFonts w:hint="eastAsia" w:ascii="仿宋" w:hAnsi="仿宋" w:eastAsia="仿宋"/>
          <w:sz w:val="28"/>
          <w:szCs w:val="28"/>
          <w:lang w:val="en-US" w:eastAsia="zh-CN"/>
        </w:rPr>
        <w:t xml:space="preserve"> </w:t>
      </w:r>
      <w:r>
        <w:rPr>
          <w:rFonts w:hint="eastAsia" w:ascii="仿宋" w:hAnsi="仿宋" w:eastAsia="仿宋"/>
          <w:sz w:val="28"/>
          <w:szCs w:val="28"/>
        </w:rPr>
        <w:t>发生重大安全或质量事故</w:t>
      </w:r>
      <w:r>
        <w:rPr>
          <w:rFonts w:hint="eastAsia" w:ascii="仿宋" w:hAnsi="仿宋" w:eastAsia="仿宋"/>
          <w:sz w:val="28"/>
          <w:szCs w:val="28"/>
          <w:lang w:eastAsia="zh-CN"/>
        </w:rPr>
        <w:t>；</w:t>
      </w:r>
    </w:p>
    <w:p>
      <w:pPr>
        <w:spacing w:after="0" w:line="500" w:lineRule="exact"/>
        <w:ind w:left="1130" w:leftChars="322" w:hanging="422" w:hangingChars="151"/>
        <w:jc w:val="left"/>
        <w:rPr>
          <w:rFonts w:hint="eastAsia" w:ascii="仿宋" w:hAnsi="仿宋" w:eastAsia="仿宋"/>
          <w:sz w:val="28"/>
          <w:szCs w:val="28"/>
          <w:lang w:eastAsia="zh-CN"/>
        </w:rPr>
      </w:pPr>
      <w:r>
        <w:rPr>
          <w:rFonts w:hint="eastAsia" w:ascii="仿宋" w:hAnsi="仿宋" w:eastAsia="仿宋"/>
          <w:sz w:val="28"/>
          <w:szCs w:val="28"/>
        </w:rPr>
        <w:t>（5）参与人须有良好的商业信誉和健全的财务制度</w:t>
      </w:r>
      <w:r>
        <w:rPr>
          <w:rFonts w:hint="eastAsia" w:ascii="仿宋" w:hAnsi="仿宋" w:eastAsia="仿宋"/>
          <w:sz w:val="28"/>
          <w:szCs w:val="28"/>
          <w:lang w:eastAsia="zh-CN"/>
        </w:rPr>
        <w:t>；</w:t>
      </w:r>
    </w:p>
    <w:p>
      <w:pPr>
        <w:spacing w:after="0" w:line="500" w:lineRule="exact"/>
        <w:ind w:left="1130" w:leftChars="322" w:hanging="422" w:hangingChars="151"/>
        <w:jc w:val="left"/>
        <w:rPr>
          <w:rFonts w:hint="eastAsia"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w:t>
      </w:r>
      <w:r>
        <w:rPr>
          <w:rFonts w:hint="eastAsia" w:ascii="仿宋" w:hAnsi="仿宋" w:eastAsia="仿宋"/>
          <w:color w:val="auto"/>
          <w:sz w:val="28"/>
          <w:szCs w:val="28"/>
          <w:shd w:val="clear" w:color="auto" w:fill="FFFFFF"/>
        </w:rPr>
        <w:t>0</w:t>
      </w:r>
      <w:r>
        <w:rPr>
          <w:rFonts w:ascii="仿宋" w:hAnsi="仿宋" w:eastAsia="仿宋"/>
          <w:color w:val="auto"/>
          <w:sz w:val="28"/>
          <w:szCs w:val="28"/>
          <w:shd w:val="clear" w:color="auto" w:fill="FFFFFF"/>
        </w:rPr>
        <w:t>2</w:t>
      </w:r>
      <w:r>
        <w:rPr>
          <w:rFonts w:hint="eastAsia" w:ascii="仿宋" w:hAnsi="仿宋" w:eastAsia="仿宋"/>
          <w:color w:val="auto"/>
          <w:sz w:val="28"/>
          <w:szCs w:val="28"/>
          <w:shd w:val="clear" w:color="auto" w:fill="FFFFFF"/>
          <w:lang w:val="en-US" w:eastAsia="zh-CN"/>
        </w:rPr>
        <w:t>2</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5</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29</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w:t>
      </w:r>
      <w:r>
        <w:rPr>
          <w:rFonts w:hint="eastAsia" w:ascii="仿宋" w:hAnsi="仿宋" w:eastAsia="仿宋"/>
          <w:sz w:val="28"/>
          <w:szCs w:val="28"/>
          <w:shd w:val="clear" w:color="auto" w:fill="FFFFFF"/>
        </w:rPr>
        <w:t>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3</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前</w:t>
      </w:r>
      <w:r>
        <w:rPr>
          <w:rFonts w:hint="eastAsia" w:ascii="仿宋" w:hAnsi="仿宋" w:eastAsia="仿宋"/>
          <w:sz w:val="28"/>
          <w:szCs w:val="28"/>
          <w:shd w:val="clear" w:color="auto" w:fill="FFFFFF"/>
          <w:lang w:eastAsia="zh-CN"/>
        </w:rPr>
        <w:t>。</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报价响应文件递交地点：烟台科技学院图文楼6</w:t>
      </w:r>
      <w:r>
        <w:rPr>
          <w:rFonts w:hint="eastAsia" w:ascii="仿宋" w:hAnsi="仿宋" w:eastAsia="仿宋"/>
          <w:sz w:val="28"/>
          <w:szCs w:val="28"/>
          <w:lang w:val="en-US" w:eastAsia="zh-CN"/>
        </w:rPr>
        <w:t>09</w:t>
      </w:r>
      <w:r>
        <w:rPr>
          <w:rFonts w:hint="eastAsia" w:ascii="仿宋" w:hAnsi="仿宋" w:eastAsia="仿宋"/>
          <w:sz w:val="28"/>
          <w:szCs w:val="28"/>
        </w:rPr>
        <w:t>室。</w:t>
      </w:r>
    </w:p>
    <w:p>
      <w:pPr>
        <w:spacing w:after="0" w:line="500" w:lineRule="exact"/>
        <w:ind w:left="839"/>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史乃琦</w:t>
      </w:r>
      <w:r>
        <w:rPr>
          <w:rFonts w:hint="eastAsia" w:ascii="仿宋" w:hAnsi="仿宋" w:eastAsia="仿宋"/>
          <w:sz w:val="28"/>
          <w:szCs w:val="28"/>
        </w:rPr>
        <w:t>；联系电话：</w:t>
      </w:r>
      <w:r>
        <w:rPr>
          <w:rFonts w:hint="eastAsia" w:ascii="仿宋" w:hAnsi="仿宋" w:eastAsia="仿宋"/>
          <w:sz w:val="28"/>
          <w:szCs w:val="28"/>
          <w:lang w:val="en-US" w:eastAsia="zh-CN"/>
        </w:rPr>
        <w:t>15762791399</w:t>
      </w:r>
    </w:p>
    <w:p>
      <w:pPr>
        <w:spacing w:after="0" w:line="500" w:lineRule="exact"/>
        <w:ind w:left="839"/>
        <w:rPr>
          <w:rFonts w:hint="default" w:ascii="仿宋" w:hAnsi="仿宋" w:eastAsia="仿宋"/>
          <w:color w:val="FF0000"/>
          <w:sz w:val="28"/>
          <w:szCs w:val="28"/>
          <w:lang w:val="en-US" w:eastAsia="zh-CN"/>
        </w:rPr>
      </w:pPr>
      <w:r>
        <w:rPr>
          <w:rFonts w:hint="eastAsia" w:ascii="仿宋" w:hAnsi="仿宋" w:eastAsia="仿宋"/>
          <w:sz w:val="28"/>
          <w:szCs w:val="28"/>
          <w:lang w:val="en-US" w:eastAsia="zh-CN"/>
        </w:rPr>
        <w:t>项目答疑联系人</w:t>
      </w:r>
      <w:r>
        <w:rPr>
          <w:rFonts w:hint="eastAsia" w:ascii="仿宋" w:hAnsi="仿宋" w:eastAsia="仿宋"/>
          <w:sz w:val="28"/>
          <w:szCs w:val="28"/>
        </w:rPr>
        <w:t>：</w:t>
      </w:r>
      <w:r>
        <w:rPr>
          <w:rFonts w:hint="eastAsia" w:ascii="仿宋" w:hAnsi="仿宋" w:eastAsia="仿宋"/>
          <w:sz w:val="28"/>
          <w:szCs w:val="28"/>
          <w:lang w:val="en-US" w:eastAsia="zh-CN"/>
        </w:rPr>
        <w:t>宁老师</w:t>
      </w:r>
      <w:r>
        <w:rPr>
          <w:rFonts w:hint="eastAsia" w:ascii="仿宋" w:hAnsi="仿宋" w:eastAsia="仿宋"/>
          <w:sz w:val="28"/>
          <w:szCs w:val="28"/>
        </w:rPr>
        <w:t>；联系电话;</w:t>
      </w:r>
      <w:r>
        <w:rPr>
          <w:rFonts w:hint="eastAsia" w:ascii="仿宋" w:hAnsi="仿宋" w:eastAsia="仿宋"/>
          <w:sz w:val="28"/>
          <w:szCs w:val="28"/>
          <w:lang w:val="en-US" w:eastAsia="zh-CN"/>
        </w:rPr>
        <w:t>18596175177。</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r>
        <w:rPr>
          <w:rFonts w:hint="eastAsia" w:ascii="仿宋" w:hAnsi="仿宋" w:eastAsia="仿宋"/>
          <w:sz w:val="28"/>
          <w:szCs w:val="28"/>
          <w:lang w:eastAsia="zh-CN"/>
        </w:rPr>
        <w:t>。</w:t>
      </w:r>
    </w:p>
    <w:p>
      <w:pPr>
        <w:widowControl w:val="0"/>
        <w:numPr>
          <w:ilvl w:val="1"/>
          <w:numId w:val="3"/>
        </w:numPr>
        <w:spacing w:after="0"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28"/>
          <w:szCs w:val="28"/>
        </w:rPr>
        <w:t>在</w:t>
      </w:r>
      <w:r>
        <w:rPr>
          <w:rFonts w:hint="eastAsia" w:ascii="仿宋" w:hAnsi="仿宋" w:eastAsia="仿宋"/>
          <w:sz w:val="28"/>
          <w:szCs w:val="28"/>
          <w:lang w:val="en-US" w:eastAsia="zh-CN"/>
        </w:rPr>
        <w:t>烟台地区有售后服务网点（如有，需提供网点营业执照及合作协议)</w:t>
      </w:r>
      <w:r>
        <w:rPr>
          <w:rFonts w:hint="eastAsia" w:ascii="仿宋" w:hAnsi="仿宋" w:eastAsia="仿宋"/>
          <w:sz w:val="28"/>
          <w:szCs w:val="28"/>
        </w:rPr>
        <w:t>，为了确保学校数据安全，</w:t>
      </w:r>
      <w:r>
        <w:rPr>
          <w:rFonts w:hint="eastAsia" w:ascii="仿宋" w:hAnsi="仿宋" w:eastAsia="仿宋"/>
          <w:color w:val="000000" w:themeColor="text1"/>
          <w:sz w:val="28"/>
          <w:szCs w:val="28"/>
          <w14:textFill>
            <w14:solidFill>
              <w14:schemeClr w14:val="tx1"/>
            </w14:solidFill>
          </w14:textFill>
        </w:rPr>
        <w:t>现场实施工程师须</w:t>
      </w:r>
      <w:r>
        <w:rPr>
          <w:rFonts w:hint="eastAsia" w:ascii="仿宋" w:hAnsi="仿宋" w:eastAsia="仿宋"/>
          <w:color w:val="000000" w:themeColor="text1"/>
          <w:sz w:val="28"/>
          <w:szCs w:val="28"/>
          <w:lang w:val="en-US" w:eastAsia="zh-CN"/>
          <w14:textFill>
            <w14:solidFill>
              <w14:schemeClr w14:val="tx1"/>
            </w14:solidFill>
          </w14:textFill>
        </w:rPr>
        <w:t>具</w:t>
      </w:r>
      <w:r>
        <w:rPr>
          <w:rFonts w:hint="eastAsia" w:ascii="仿宋" w:hAnsi="仿宋" w:eastAsia="仿宋"/>
          <w:color w:val="000000" w:themeColor="text1"/>
          <w:sz w:val="28"/>
          <w:szCs w:val="28"/>
          <w14:textFill>
            <w14:solidFill>
              <w14:schemeClr w14:val="tx1"/>
            </w14:solidFill>
          </w14:textFill>
        </w:rPr>
        <w:t>有</w:t>
      </w:r>
      <w:r>
        <w:rPr>
          <w:rFonts w:hint="eastAsia" w:ascii="仿宋" w:hAnsi="仿宋" w:eastAsia="仿宋"/>
          <w:color w:val="000000" w:themeColor="text1"/>
          <w:sz w:val="28"/>
          <w:szCs w:val="28"/>
          <w:lang w:val="en-US" w:eastAsia="zh-CN"/>
          <w14:textFill>
            <w14:solidFill>
              <w14:schemeClr w14:val="tx1"/>
            </w14:solidFill>
          </w14:textFill>
        </w:rPr>
        <w:t>存储及虚拟机部署经验及能力，调试安装过程中若出现数据丢失、业务无法正常运行等问题，造成的全部损失由实施方承担</w:t>
      </w:r>
      <w:r>
        <w:rPr>
          <w:rFonts w:hint="eastAsia" w:ascii="仿宋" w:hAnsi="仿宋" w:eastAsia="仿宋"/>
          <w:color w:val="000000" w:themeColor="text1"/>
          <w:sz w:val="28"/>
          <w:szCs w:val="28"/>
          <w14:textFill>
            <w14:solidFill>
              <w14:schemeClr w14:val="tx1"/>
            </w14:solidFill>
          </w14:textFill>
        </w:rPr>
        <w:t>。</w:t>
      </w:r>
    </w:p>
    <w:p>
      <w:pPr>
        <w:widowControl w:val="0"/>
        <w:numPr>
          <w:ilvl w:val="1"/>
          <w:numId w:val="3"/>
        </w:numPr>
        <w:spacing w:after="0" w:line="500" w:lineRule="exact"/>
        <w:rPr>
          <w:rFonts w:hint="eastAsia" w:ascii="仿宋" w:hAnsi="仿宋" w:eastAsia="仿宋"/>
          <w:sz w:val="28"/>
          <w:szCs w:val="28"/>
        </w:rPr>
      </w:pPr>
      <w:r>
        <w:rPr>
          <w:rFonts w:hint="eastAsia" w:ascii="仿宋" w:hAnsi="仿宋" w:eastAsia="仿宋"/>
          <w:sz w:val="28"/>
          <w:szCs w:val="28"/>
        </w:rPr>
        <w:t>日常发生服务请求后，须在30分钟内由专业工程师响应，通过电话沟通处理问题；如问题得不到远程处理，须专业工程师2小时内到达现场提供现场服务。</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lang w:val="en-US" w:eastAsia="zh-CN"/>
        </w:rPr>
        <w:t>本项目为交钥匙工程，参与人要充分考虑项目实施过程中的相关费用。</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jc w:val="left"/>
        <w:rPr>
          <w:rFonts w:hint="default" w:ascii="仿宋" w:hAnsi="仿宋" w:eastAsia="仿宋"/>
          <w:sz w:val="28"/>
          <w:szCs w:val="28"/>
          <w:lang w:val="en-US" w:eastAsia="zh-CN"/>
        </w:rPr>
      </w:pPr>
      <w:r>
        <w:rPr>
          <w:rFonts w:hint="eastAsia" w:ascii="仿宋" w:hAnsi="仿宋" w:eastAsia="仿宋"/>
          <w:sz w:val="28"/>
          <w:szCs w:val="28"/>
          <w:lang w:val="en-US" w:eastAsia="zh-CN"/>
        </w:rPr>
        <w:t>1.设备提供至少三年原厂质保和三年7*24小时现场保修服务。</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center"/>
        <w:rPr>
          <w:rFonts w:hint="eastAsia" w:ascii="仿宋" w:hAnsi="仿宋" w:eastAsia="仿宋"/>
          <w:b/>
          <w:sz w:val="36"/>
          <w:szCs w:val="36"/>
        </w:rPr>
      </w:pPr>
    </w:p>
    <w:p>
      <w:pPr>
        <w:spacing w:line="420" w:lineRule="exact"/>
        <w:jc w:val="center"/>
        <w:rPr>
          <w:rFonts w:ascii="仿宋" w:hAnsi="仿宋" w:eastAsia="仿宋"/>
          <w:b/>
          <w:sz w:val="36"/>
          <w:szCs w:val="36"/>
        </w:rPr>
      </w:pPr>
      <w:r>
        <w:rPr>
          <w:rFonts w:hint="eastAsia" w:ascii="仿宋" w:hAnsi="仿宋" w:eastAsia="仿宋"/>
          <w:b/>
          <w:sz w:val="36"/>
          <w:szCs w:val="36"/>
        </w:rPr>
        <w:t>公开询价货物一览表</w:t>
      </w:r>
    </w:p>
    <w:tbl>
      <w:tblPr>
        <w:tblStyle w:val="24"/>
        <w:tblpPr w:leftFromText="180" w:rightFromText="180" w:vertAnchor="page" w:horzAnchor="page" w:tblpX="1125" w:tblpY="3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1520"/>
        <w:gridCol w:w="1420"/>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60" w:type="dxa"/>
          </w:tcPr>
          <w:p>
            <w:pPr>
              <w:widowControl w:val="0"/>
              <w:jc w:val="center"/>
              <w:rPr>
                <w:rFonts w:hint="eastAsia"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名 称</w:t>
            </w:r>
          </w:p>
        </w:tc>
        <w:tc>
          <w:tcPr>
            <w:tcW w:w="1520" w:type="dxa"/>
          </w:tcPr>
          <w:p>
            <w:pPr>
              <w:widowControl w:val="0"/>
              <w:jc w:val="center"/>
              <w:rPr>
                <w:rFonts w:hint="eastAsia"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单位</w:t>
            </w:r>
          </w:p>
        </w:tc>
        <w:tc>
          <w:tcPr>
            <w:tcW w:w="1420" w:type="dxa"/>
          </w:tcPr>
          <w:p>
            <w:pPr>
              <w:widowControl w:val="0"/>
              <w:jc w:val="center"/>
              <w:rPr>
                <w:rFonts w:hint="eastAsia"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数量</w:t>
            </w:r>
          </w:p>
        </w:tc>
        <w:tc>
          <w:tcPr>
            <w:tcW w:w="2872" w:type="dxa"/>
          </w:tcPr>
          <w:p>
            <w:pPr>
              <w:widowControl w:val="0"/>
              <w:jc w:val="center"/>
              <w:rPr>
                <w:rFonts w:hint="eastAsia"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60" w:type="dxa"/>
          </w:tcPr>
          <w:p>
            <w:pPr>
              <w:widowControl w:val="0"/>
              <w:jc w:val="center"/>
              <w:rPr>
                <w:rFonts w:hint="default"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中心数据机房存储设备</w:t>
            </w:r>
          </w:p>
        </w:tc>
        <w:tc>
          <w:tcPr>
            <w:tcW w:w="1520" w:type="dxa"/>
          </w:tcPr>
          <w:p>
            <w:pPr>
              <w:widowControl w:val="0"/>
              <w:jc w:val="center"/>
              <w:rPr>
                <w:rFonts w:hint="eastAsia"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项</w:t>
            </w:r>
          </w:p>
        </w:tc>
        <w:tc>
          <w:tcPr>
            <w:tcW w:w="1420" w:type="dxa"/>
          </w:tcPr>
          <w:p>
            <w:pPr>
              <w:widowControl w:val="0"/>
              <w:jc w:val="center"/>
              <w:rPr>
                <w:rFonts w:hint="eastAsia" w:ascii="仿宋" w:hAnsi="仿宋" w:eastAsia="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color w:val="000000" w:themeColor="text1"/>
                <w:sz w:val="28"/>
                <w:szCs w:val="28"/>
                <w:vertAlign w:val="baseline"/>
                <w:lang w:val="en-US" w:eastAsia="zh-CN"/>
                <w14:textFill>
                  <w14:solidFill>
                    <w14:schemeClr w14:val="tx1"/>
                  </w14:solidFill>
                </w14:textFill>
              </w:rPr>
              <w:t>1</w:t>
            </w:r>
          </w:p>
        </w:tc>
        <w:tc>
          <w:tcPr>
            <w:tcW w:w="2872" w:type="dxa"/>
          </w:tcPr>
          <w:p>
            <w:pPr>
              <w:widowControl w:val="0"/>
              <w:jc w:val="center"/>
              <w:rPr>
                <w:rFonts w:ascii="仿宋" w:hAnsi="仿宋" w:eastAsia="仿宋"/>
                <w:b w:val="0"/>
                <w:bCs/>
                <w:color w:val="000000" w:themeColor="text1"/>
                <w:sz w:val="28"/>
                <w:szCs w:val="28"/>
                <w:vertAlign w:val="baseline"/>
                <w14:textFill>
                  <w14:solidFill>
                    <w14:schemeClr w14:val="tx1"/>
                  </w14:solidFill>
                </w14:textFill>
              </w:rPr>
            </w:pPr>
            <w:bookmarkStart w:id="182" w:name="_GoBack"/>
            <w:bookmarkEnd w:id="182"/>
          </w:p>
        </w:tc>
      </w:tr>
    </w:tbl>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p>
    <w:p>
      <w:pPr>
        <w:spacing w:line="520" w:lineRule="exact"/>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注：一、技术要求</w:t>
      </w:r>
    </w:p>
    <w:p>
      <w:pPr>
        <w:spacing w:line="52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1.企业级存储，</w:t>
      </w:r>
      <w:r>
        <w:rPr>
          <w:rFonts w:hint="eastAsia" w:ascii="仿宋" w:hAnsi="仿宋" w:eastAsia="仿宋"/>
          <w:sz w:val="24"/>
          <w:szCs w:val="24"/>
          <w:lang w:val="en-US" w:eastAsia="zh-CN"/>
        </w:rPr>
        <w:t>推荐品牌：联想、浪潮、华为、戴尔</w:t>
      </w:r>
      <w:r>
        <w:rPr>
          <w:rFonts w:hint="eastAsia" w:ascii="仿宋" w:hAnsi="仿宋" w:eastAsia="仿宋"/>
          <w:sz w:val="24"/>
          <w:szCs w:val="24"/>
        </w:rPr>
        <w:t>，双控Active-Active统一存储架构，集群模式下控制器扩展能力≥8；电源、散热模块、控制器的部件冗余且可热插拔</w:t>
      </w:r>
      <w:r>
        <w:rPr>
          <w:rFonts w:hint="eastAsia" w:ascii="仿宋" w:hAnsi="仿宋" w:eastAsia="仿宋"/>
          <w:sz w:val="24"/>
          <w:szCs w:val="24"/>
          <w:lang w:eastAsia="zh-CN"/>
        </w:rPr>
        <w:t>。</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2.存储性能，控制器：配置数量≥2；控制器冗余设计，支持在线更换控制器；支持扩展柜，每控制器采用Intel≥8核心处理器；高速缓存：本次配置系统缓存≥256GB（纯硬件缓存）；集群模式最大512GB缓存。</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3.主机接口，本次配置≥</w:t>
      </w:r>
      <w:r>
        <w:rPr>
          <w:rFonts w:hint="eastAsia" w:ascii="仿宋" w:hAnsi="仿宋" w:eastAsia="仿宋"/>
          <w:sz w:val="24"/>
          <w:szCs w:val="24"/>
          <w:lang w:val="en-US" w:eastAsia="zh-CN"/>
        </w:rPr>
        <w:t>4</w:t>
      </w:r>
      <w:r>
        <w:rPr>
          <w:rFonts w:hint="eastAsia" w:ascii="仿宋" w:hAnsi="仿宋" w:eastAsia="仿宋"/>
          <w:sz w:val="24"/>
          <w:szCs w:val="24"/>
        </w:rPr>
        <w:t>个16Gb FC+8个1Gb iSCSI主机接口；支持8/16 Gb FC、1/10Gb iSCSI、10Gb FCoE等多协议主机接口。</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4.掉电保护，支持缓存保护，可配置电池保护模组，保证掉电时Cache数据可安全写入Flash或硬盘永久保存，实现无限时断电保护Cache数据的目的；</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5.硬盘及RAID，配置10块8TB企业级SATA硬盘及2块≥1.2TB企业级SSD硬盘，要求同时支持SAS、NL-SAS、SSD固态硬盘；支持RAID0,1,5,6,10,分布式RAID等；支持不同RAID类型在同一个磁盘箱内的共存；支持全局热备盘和热备空间两种模式。</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6.软件配置及兼容性，配置基于存储阵列的安全控制管理软件，以保证在SAN环境下，不同主机系统对存储阵列访问的安全性，配置路径冗余软件，配置自动精简配置、本地复制（快照、卷镜像、卷克隆、卷备份）、QoS、DRAID功能，支持存储虚拟化、实时压缩、自动分层、远程复制功能。</w:t>
      </w:r>
    </w:p>
    <w:p>
      <w:pPr>
        <w:spacing w:line="520" w:lineRule="exact"/>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、创建共享文件夹，并根据实际情况确认准确的磁盘配额，防止无序的使用存储空间；</w:t>
      </w:r>
    </w:p>
    <w:p>
      <w:pPr>
        <w:spacing w:line="520" w:lineRule="exact"/>
        <w:ind w:firstLine="480" w:firstLineChars="200"/>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根据文档敏感等级设置不同文件夹的管理权限，具体来讲文件夹权限包括“完全控制”、“修改”、“读取和运行”、“列出文件夹目录”、“读取”及“写入”。需细致的为不同级别用户提供不同的访问权限。</w:t>
      </w:r>
    </w:p>
    <w:p>
      <w:pPr>
        <w:spacing w:line="52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、针对不同文件夹级别，需根据不同情况实现如下权限划分：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jc w:val="center"/>
              <w:rPr>
                <w:rFonts w:ascii="仿宋" w:hAnsi="仿宋" w:eastAsia="仿宋"/>
                <w:b/>
                <w:bCs/>
              </w:rPr>
            </w:pPr>
            <w:r>
              <w:rPr>
                <w:rFonts w:ascii="仿宋" w:hAnsi="仿宋" w:eastAsia="仿宋"/>
                <w:b/>
                <w:bCs/>
              </w:rPr>
              <w:t>权限</w:t>
            </w:r>
          </w:p>
        </w:tc>
        <w:tc>
          <w:tcPr>
            <w:tcW w:w="6213" w:type="dxa"/>
            <w:vAlign w:val="center"/>
          </w:tcPr>
          <w:p>
            <w:pPr>
              <w:widowControl w:val="0"/>
              <w:jc w:val="center"/>
              <w:rPr>
                <w:rFonts w:ascii="仿宋" w:hAnsi="仿宋" w:eastAsia="仿宋"/>
                <w:b/>
                <w:bCs/>
              </w:rPr>
            </w:pPr>
            <w:r>
              <w:rPr>
                <w:rFonts w:ascii="仿宋" w:hAnsi="仿宋" w:eastAsia="仿宋"/>
                <w:b/>
                <w:bCs/>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遍历文件夹/运行文件</w:t>
            </w:r>
          </w:p>
        </w:tc>
        <w:tc>
          <w:tcPr>
            <w:tcW w:w="6213" w:type="dxa"/>
            <w:vAlign w:val="center"/>
          </w:tcPr>
          <w:p>
            <w:pPr>
              <w:widowControl w:val="0"/>
              <w:rPr>
                <w:rFonts w:ascii="仿宋" w:hAnsi="仿宋" w:eastAsia="仿宋"/>
              </w:rPr>
            </w:pPr>
            <w:r>
              <w:rPr>
                <w:rFonts w:ascii="仿宋" w:hAnsi="仿宋" w:eastAsia="仿宋"/>
              </w:rPr>
              <w:t>对于文件夹：“遍历文件夹”允许或拒绝通过文件夹来移动，以到达其他文件或文件夹，即使用户没有禁止的文件夹的权限。只有当“组策略”管理单元中没有授予组或用户“忽略通过检查”用户权限时，禁止文件夹才起作用。</w:t>
            </w:r>
          </w:p>
          <w:p>
            <w:pPr>
              <w:widowControl w:val="0"/>
              <w:rPr>
                <w:rFonts w:ascii="仿宋" w:hAnsi="仿宋" w:eastAsia="仿宋"/>
              </w:rPr>
            </w:pPr>
            <w:r>
              <w:rPr>
                <w:rFonts w:ascii="仿宋" w:hAnsi="仿宋" w:eastAsia="仿宋"/>
              </w:rPr>
              <w:t>对于文件：“运行文件”允许或拒绝运行程序文件。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列出文件夹/读取数据</w:t>
            </w:r>
          </w:p>
        </w:tc>
        <w:tc>
          <w:tcPr>
            <w:tcW w:w="6213" w:type="dxa"/>
            <w:vAlign w:val="center"/>
          </w:tcPr>
          <w:p>
            <w:pPr>
              <w:widowControl w:val="0"/>
              <w:rPr>
                <w:rFonts w:ascii="仿宋" w:hAnsi="仿宋" w:eastAsia="仿宋"/>
              </w:rPr>
            </w:pPr>
            <w:r>
              <w:rPr>
                <w:rFonts w:ascii="仿宋" w:hAnsi="仿宋" w:eastAsia="仿宋"/>
              </w:rPr>
              <w:t>“列出文件夹”允许或者拒绝查看文件夹内的文件名和子文件夹名。“列出文件夹”只影响该文件夹的内容，不影响是否列出正在设置其权限的文件夹。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读取属性</w:t>
            </w:r>
          </w:p>
        </w:tc>
        <w:tc>
          <w:tcPr>
            <w:tcW w:w="6213" w:type="dxa"/>
            <w:vAlign w:val="center"/>
          </w:tcPr>
          <w:p>
            <w:pPr>
              <w:widowControl w:val="0"/>
              <w:rPr>
                <w:rFonts w:ascii="仿宋" w:hAnsi="仿宋" w:eastAsia="仿宋"/>
              </w:rPr>
            </w:pPr>
            <w:r>
              <w:rPr>
                <w:rFonts w:ascii="仿宋" w:hAnsi="仿宋" w:eastAsia="仿宋"/>
              </w:rPr>
              <w:t>允许或拒绝查看文件或文件夹的属性，例如只读和隐藏。属性由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读取扩展属性</w:t>
            </w:r>
          </w:p>
        </w:tc>
        <w:tc>
          <w:tcPr>
            <w:tcW w:w="6213" w:type="dxa"/>
            <w:vAlign w:val="center"/>
          </w:tcPr>
          <w:p>
            <w:pPr>
              <w:widowControl w:val="0"/>
              <w:rPr>
                <w:rFonts w:ascii="仿宋" w:hAnsi="仿宋" w:eastAsia="仿宋"/>
              </w:rPr>
            </w:pPr>
            <w:r>
              <w:rPr>
                <w:rFonts w:ascii="仿宋" w:hAnsi="仿宋" w:eastAsia="仿宋"/>
              </w:rPr>
              <w:t>允许或拒绝查看文件或文件夹的扩展属性。扩展属性由程序定义，可能因程序而变化。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创建文件/写入数据</w:t>
            </w:r>
          </w:p>
        </w:tc>
        <w:tc>
          <w:tcPr>
            <w:tcW w:w="6213" w:type="dxa"/>
            <w:vAlign w:val="center"/>
          </w:tcPr>
          <w:p>
            <w:pPr>
              <w:widowControl w:val="0"/>
              <w:rPr>
                <w:rFonts w:ascii="仿宋" w:hAnsi="仿宋" w:eastAsia="仿宋"/>
              </w:rPr>
            </w:pPr>
            <w:r>
              <w:rPr>
                <w:rFonts w:ascii="仿宋" w:hAnsi="仿宋" w:eastAsia="仿宋"/>
              </w:rPr>
              <w:t>“创建文件”允许或拒绝在文件夹内创建文件。“写入数据”允许或拒绝对文件进行更改与覆盖现有内容。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创建文件夹/附加数据</w:t>
            </w:r>
          </w:p>
        </w:tc>
        <w:tc>
          <w:tcPr>
            <w:tcW w:w="6213" w:type="dxa"/>
            <w:vAlign w:val="center"/>
          </w:tcPr>
          <w:p>
            <w:pPr>
              <w:widowControl w:val="0"/>
              <w:rPr>
                <w:rFonts w:ascii="仿宋" w:hAnsi="仿宋" w:eastAsia="仿宋"/>
              </w:rPr>
            </w:pPr>
            <w:r>
              <w:rPr>
                <w:rFonts w:ascii="仿宋" w:hAnsi="仿宋" w:eastAsia="仿宋"/>
              </w:rPr>
              <w:t>“创建文件夹”允许或拒绝在文件夹内创建文件夹。</w:t>
            </w:r>
          </w:p>
          <w:p>
            <w:pPr>
              <w:widowControl w:val="0"/>
              <w:rPr>
                <w:rFonts w:ascii="仿宋" w:hAnsi="仿宋" w:eastAsia="仿宋"/>
              </w:rPr>
            </w:pPr>
            <w:r>
              <w:rPr>
                <w:rFonts w:ascii="仿宋" w:hAnsi="仿宋" w:eastAsia="仿宋"/>
              </w:rPr>
              <w:t>“附加数据”允许或拒绝更改文件的末尾，而不是更改、删除或覆盖已有的数据。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写入属性</w:t>
            </w:r>
          </w:p>
        </w:tc>
        <w:tc>
          <w:tcPr>
            <w:tcW w:w="6213" w:type="dxa"/>
            <w:vAlign w:val="center"/>
          </w:tcPr>
          <w:p>
            <w:pPr>
              <w:widowControl w:val="0"/>
              <w:rPr>
                <w:rFonts w:ascii="仿宋" w:hAnsi="仿宋" w:eastAsia="仿宋"/>
              </w:rPr>
            </w:pPr>
            <w:r>
              <w:rPr>
                <w:rFonts w:ascii="仿宋" w:hAnsi="仿宋" w:eastAsia="仿宋"/>
              </w:rPr>
              <w:t>允许或拒绝更改文件或文件夹的属性，例如只读或隐藏。属性由 NTFS 定义。“写入属性”权限不表示可以创建或删除文件或文件夹，它只包括更改文件或文件夹属性的权限。要允许（或者拒绝）创建或删除操作，请参阅“创建文件/写入数据”、“创建文件夹/附加数据”，“删除子文件夹及文件”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删除子文件夹及文件</w:t>
            </w:r>
          </w:p>
        </w:tc>
        <w:tc>
          <w:tcPr>
            <w:tcW w:w="6213" w:type="dxa"/>
            <w:vAlign w:val="center"/>
          </w:tcPr>
          <w:p>
            <w:pPr>
              <w:widowControl w:val="0"/>
              <w:rPr>
                <w:rFonts w:ascii="仿宋" w:hAnsi="仿宋" w:eastAsia="仿宋"/>
              </w:rPr>
            </w:pPr>
            <w:r>
              <w:rPr>
                <w:rFonts w:ascii="仿宋" w:hAnsi="仿宋" w:eastAsia="仿宋"/>
              </w:rPr>
              <w:t>允许或拒绝删除子文件夹和文件，即使尚未授予对子文件夹或文件的“删除”权限。（适用于文件夹。）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hint="eastAsia" w:ascii="仿宋" w:hAnsi="仿宋" w:eastAsia="仿宋"/>
              </w:rPr>
              <w:t>删除</w:t>
            </w:r>
          </w:p>
        </w:tc>
        <w:tc>
          <w:tcPr>
            <w:tcW w:w="6213" w:type="dxa"/>
            <w:vAlign w:val="center"/>
          </w:tcPr>
          <w:p>
            <w:pPr>
              <w:widowControl w:val="0"/>
              <w:rPr>
                <w:rFonts w:ascii="仿宋" w:hAnsi="仿宋" w:eastAsia="仿宋"/>
              </w:rPr>
            </w:pPr>
            <w:r>
              <w:rPr>
                <w:rFonts w:ascii="仿宋" w:hAnsi="仿宋" w:eastAsia="仿宋"/>
              </w:rPr>
              <w:t>删除允许或拒绝删除文件或文件夹。如果您没有对文件或文件夹的“删除”权限，但是在父文件夹中已被授予“删除子文件夹及文件”权限，则您仍然可以删除它。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读取权限</w:t>
            </w:r>
          </w:p>
        </w:tc>
        <w:tc>
          <w:tcPr>
            <w:tcW w:w="6213" w:type="dxa"/>
            <w:vAlign w:val="center"/>
          </w:tcPr>
          <w:p>
            <w:pPr>
              <w:widowControl w:val="0"/>
              <w:rPr>
                <w:rFonts w:ascii="仿宋" w:hAnsi="仿宋" w:eastAsia="仿宋"/>
              </w:rPr>
            </w:pPr>
            <w:r>
              <w:rPr>
                <w:rFonts w:ascii="仿宋" w:hAnsi="仿宋" w:eastAsia="仿宋"/>
              </w:rPr>
              <w:t>允许或拒绝读取文件或文件夹的权限，例如完全控制、读取、写入。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更改权限</w:t>
            </w:r>
          </w:p>
        </w:tc>
        <w:tc>
          <w:tcPr>
            <w:tcW w:w="6213" w:type="dxa"/>
            <w:vAlign w:val="center"/>
          </w:tcPr>
          <w:p>
            <w:pPr>
              <w:widowControl w:val="0"/>
              <w:rPr>
                <w:rFonts w:ascii="仿宋" w:hAnsi="仿宋" w:eastAsia="仿宋"/>
              </w:rPr>
            </w:pPr>
            <w:r>
              <w:rPr>
                <w:rFonts w:ascii="仿宋" w:hAnsi="仿宋" w:eastAsia="仿宋"/>
              </w:rPr>
              <w:t>允许或拒绝更改文件或文件夹的权限，例如完全控制、读取和写入。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取得所有权</w:t>
            </w:r>
          </w:p>
        </w:tc>
        <w:tc>
          <w:tcPr>
            <w:tcW w:w="6213" w:type="dxa"/>
            <w:vAlign w:val="center"/>
          </w:tcPr>
          <w:p>
            <w:pPr>
              <w:widowControl w:val="0"/>
              <w:rPr>
                <w:rFonts w:ascii="仿宋" w:hAnsi="仿宋" w:eastAsia="仿宋"/>
              </w:rPr>
            </w:pPr>
            <w:r>
              <w:rPr>
                <w:rFonts w:ascii="仿宋" w:hAnsi="仿宋" w:eastAsia="仿宋"/>
              </w:rPr>
              <w:t>允许或拒绝取得文件或文件夹的所有权。文件或文件夹的所有者始终可以更改其权限，无论存在任何保护该文件或文件夹的权限。</w:t>
            </w:r>
          </w:p>
        </w:tc>
      </w:tr>
    </w:tbl>
    <w:p>
      <w:pPr>
        <w:spacing w:line="52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二、实施及服务要求</w:t>
      </w:r>
    </w:p>
    <w:p>
      <w:pPr>
        <w:spacing w:line="52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1.存储硬件实施：技术支持服务，提供原厂家的项目管理、现场安装、配置及培训服务，设备提供至少三年</w:t>
      </w:r>
      <w:r>
        <w:rPr>
          <w:rFonts w:hint="eastAsia" w:ascii="仿宋" w:hAnsi="仿宋" w:eastAsia="仿宋"/>
          <w:sz w:val="24"/>
          <w:szCs w:val="24"/>
          <w:lang w:val="en-US" w:eastAsia="zh-CN"/>
        </w:rPr>
        <w:t>原厂</w:t>
      </w:r>
      <w:r>
        <w:rPr>
          <w:rFonts w:hint="eastAsia" w:ascii="仿宋" w:hAnsi="仿宋" w:eastAsia="仿宋"/>
          <w:sz w:val="24"/>
          <w:szCs w:val="24"/>
        </w:rPr>
        <w:t>质保和三年7*24小时现场保修服务, 包括硬件保修</w:t>
      </w:r>
      <w:r>
        <w:rPr>
          <w:rFonts w:hint="eastAsia" w:ascii="仿宋" w:hAnsi="仿宋" w:eastAsia="仿宋"/>
          <w:sz w:val="24"/>
          <w:szCs w:val="24"/>
          <w:lang w:eastAsia="zh-CN"/>
        </w:rPr>
        <w:t>、</w:t>
      </w:r>
      <w:r>
        <w:rPr>
          <w:rFonts w:hint="eastAsia" w:ascii="仿宋" w:hAnsi="仿宋" w:eastAsia="仿宋"/>
          <w:sz w:val="24"/>
          <w:szCs w:val="24"/>
        </w:rPr>
        <w:t>电话支持、现场支持、软件升级</w:t>
      </w:r>
      <w:r>
        <w:rPr>
          <w:rFonts w:hint="eastAsia" w:ascii="仿宋" w:hAnsi="仿宋" w:eastAsia="仿宋"/>
          <w:sz w:val="24"/>
          <w:szCs w:val="24"/>
          <w:lang w:eastAsia="zh-CN"/>
        </w:rPr>
        <w:t>。</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2.SAN交换机实施：利旧当前已有的两台SAN交换机，实现ZONE的优化部署；完成新SAN与现有SAN的融合，实现SAN和SAN之间的级联部署同时实现两台SAN交换机之间的高可用部署。</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3.存储虚拟化部署：将新增存储融入当前虚拟化环境，根据当前虚拟化版本完成新增存储LUN空间的格式化操作。为保证链路冗余须配置多路径软件，实现新增存储双控制器的双活冗余功能。</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4.数据迁移：将现有的虚拟机迁移至新存储；须保证数据的绝对安全。在迁移之前须对关键虚拟机做备份保护，以防在迁移过程中发生数据丢失情况，如数据发生缺损、丢失实施方负完全责任。</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5.老FC存储优化：当前数据中心采用一台EMC VNX5100存储。本次实施将相关虚拟机迁移至新存储后，当前存储需升级当前固件版本并重新初始化，重新划分RAID组，重新组件LUN空间，将当前分散的大概16个LUN空间整合为2个LUN空间。优化LUN空间性能分配合理cache大小，提升当前存储的性能及可用空间。</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6.老IPSAN存储优化：当前数据中心包含两台IPSAN存储，在本期实施过程中优化两台IPSAN存储空间。将当前占有生产存储空间的开发、测试的非关键虚拟机迁址至IPSAN存储。IPSAN存储所利用的IP地址须保证与教学地址无冲突。　</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7. 利用新增存储实现文档共享、权限管理、磁盘配额以及成员管理等功能；利用现有备份设备实现共享文档的统一备份功能。</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8.培训服务：此项目完成后需针对此项目内容及学校整体数据中心内容对我方相关老师做不少于3天的现场技术培训。</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9.日常巡检：本次增加的存储承载着学校所有的关键教学及管理系统；提供每学期2次的免费现场巡检服务，直至新增存储质保到期。每次巡检须做好巡检记录，并递交；记录数据中心运行状况及时发现问题，并提供优化方案。</w:t>
      </w:r>
    </w:p>
    <w:p>
      <w:pPr>
        <w:spacing w:line="5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10.为保证实施过程中的数据安全，现场实施工程师须</w:t>
      </w:r>
      <w:r>
        <w:rPr>
          <w:rFonts w:hint="eastAsia" w:ascii="仿宋" w:hAnsi="仿宋" w:eastAsia="仿宋"/>
          <w:color w:val="000000" w:themeColor="text1"/>
          <w:sz w:val="24"/>
          <w:szCs w:val="24"/>
          <w:lang w:val="en-US" w:eastAsia="zh-CN"/>
          <w14:textFill>
            <w14:solidFill>
              <w14:schemeClr w14:val="tx1"/>
            </w14:solidFill>
          </w14:textFill>
        </w:rPr>
        <w:t>具</w:t>
      </w:r>
      <w:r>
        <w:rPr>
          <w:rFonts w:hint="eastAsia" w:ascii="仿宋" w:hAnsi="仿宋" w:eastAsia="仿宋"/>
          <w:color w:val="000000" w:themeColor="text1"/>
          <w:sz w:val="24"/>
          <w:szCs w:val="24"/>
          <w14:textFill>
            <w14:solidFill>
              <w14:schemeClr w14:val="tx1"/>
            </w14:solidFill>
          </w14:textFill>
        </w:rPr>
        <w:t>有</w:t>
      </w:r>
      <w:r>
        <w:rPr>
          <w:rFonts w:hint="eastAsia" w:ascii="仿宋" w:hAnsi="仿宋" w:eastAsia="仿宋"/>
          <w:color w:val="000000" w:themeColor="text1"/>
          <w:sz w:val="24"/>
          <w:szCs w:val="24"/>
          <w:lang w:val="en-US" w:eastAsia="zh-CN"/>
          <w14:textFill>
            <w14:solidFill>
              <w14:schemeClr w14:val="tx1"/>
            </w14:solidFill>
          </w14:textFill>
        </w:rPr>
        <w:t>存储及虚拟机部署经验及能力，调试安装过程中若出现数据丢失、业务无法正常运行等问题，造成的全部损失由实施方承担</w:t>
      </w:r>
      <w:r>
        <w:rPr>
          <w:rFonts w:hint="eastAsia" w:ascii="仿宋" w:hAnsi="仿宋" w:eastAsia="仿宋"/>
          <w:color w:val="000000" w:themeColor="text1"/>
          <w:sz w:val="24"/>
          <w:szCs w:val="24"/>
          <w14:textFill>
            <w14:solidFill>
              <w14:schemeClr w14:val="tx1"/>
            </w14:solidFill>
          </w14:textFill>
        </w:rPr>
        <w:t>。</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11.现有</w:t>
      </w:r>
      <w:r>
        <w:rPr>
          <w:rFonts w:hint="eastAsia" w:ascii="仿宋" w:hAnsi="仿宋" w:eastAsia="仿宋"/>
          <w:sz w:val="24"/>
          <w:szCs w:val="24"/>
          <w:lang w:val="en-US" w:eastAsia="zh-CN"/>
        </w:rPr>
        <w:t>的</w:t>
      </w:r>
      <w:r>
        <w:rPr>
          <w:rFonts w:hint="eastAsia" w:ascii="仿宋" w:hAnsi="仿宋" w:eastAsia="仿宋"/>
          <w:sz w:val="24"/>
          <w:szCs w:val="24"/>
        </w:rPr>
        <w:t>服务器升级：现有</w:t>
      </w:r>
      <w:r>
        <w:rPr>
          <w:rFonts w:hint="eastAsia" w:ascii="仿宋" w:hAnsi="仿宋" w:eastAsia="仿宋"/>
          <w:sz w:val="24"/>
          <w:szCs w:val="24"/>
          <w:lang w:val="en-US" w:eastAsia="zh-CN"/>
        </w:rPr>
        <w:t>的</w:t>
      </w:r>
      <w:r>
        <w:rPr>
          <w:rFonts w:hint="eastAsia" w:ascii="仿宋" w:hAnsi="仿宋" w:eastAsia="仿宋"/>
          <w:sz w:val="24"/>
          <w:szCs w:val="24"/>
        </w:rPr>
        <w:t>服务器需重新规划，具体工作如下：</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将当前VMware vSphere软件版本从6.0升级至服务器可支持的最高版本；</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重新规划IP地址，规划相关网络层面信息；重新做RAID，重新装云操作系统，实现各驱动的匹配；调整虚拟交换机配置，部署虚拟分布式交换机；并且实现与现有存储（2台FC存储、2台Ipsan存储）、SAN交换机以及网络的联通。安装统一管理平台，实现集群的统一管控；纳入到当前虚拟化平台中进行统一管理；一台服务器宕机可实现虚拟机的自动切换，并做相关的容灾演练；将相关虚拟机迁移到此新搭建的平台；实现关键虚拟机的备份，并做相关的容灾演练；含相关辅材（网络跳线、光纤跳线等）。</w:t>
      </w:r>
    </w:p>
    <w:p>
      <w:pPr>
        <w:rPr>
          <w:rFonts w:ascii="仿宋" w:hAnsi="仿宋" w:eastAsia="仿宋"/>
          <w:b/>
          <w:color w:val="FF0000"/>
          <w:sz w:val="36"/>
          <w:szCs w:val="36"/>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数据中心存储设备采购</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hint="eastAsia" w:ascii="仿宋" w:hAnsi="仿宋" w:eastAsia="仿宋"/>
          <w:b/>
          <w:sz w:val="52"/>
          <w:szCs w:val="52"/>
        </w:rPr>
      </w:pPr>
    </w:p>
    <w:p>
      <w:pPr>
        <w:spacing w:line="580" w:lineRule="exact"/>
        <w:jc w:val="center"/>
        <w:rPr>
          <w:rFonts w:hint="eastAsia"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0" w:name="_Toc192663835"/>
      <w:bookmarkStart w:id="51" w:name="_Toc182805217"/>
      <w:bookmarkStart w:id="52" w:name="_Toc223146608"/>
      <w:bookmarkStart w:id="53" w:name="_Toc160880529"/>
      <w:bookmarkStart w:id="54" w:name="_Toc267060321"/>
      <w:bookmarkStart w:id="55" w:name="_Toc259692647"/>
      <w:bookmarkStart w:id="56" w:name="_Toc181436565"/>
      <w:bookmarkStart w:id="57" w:name="_Toc267059653"/>
      <w:bookmarkStart w:id="58" w:name="_Toc259692740"/>
      <w:bookmarkStart w:id="59" w:name="_Toc191803626"/>
      <w:bookmarkStart w:id="60" w:name="_Toc258401256"/>
      <w:bookmarkStart w:id="61" w:name="_Toc267059030"/>
      <w:bookmarkStart w:id="62" w:name="_Toc267059919"/>
      <w:bookmarkStart w:id="63" w:name="_Toc267060208"/>
      <w:bookmarkStart w:id="64" w:name="_Toc169332949"/>
      <w:bookmarkStart w:id="65" w:name="_Toc266870833"/>
      <w:bookmarkStart w:id="66" w:name="_Toc177985469"/>
      <w:bookmarkStart w:id="67" w:name="_Toc181436461"/>
      <w:bookmarkStart w:id="68" w:name="_Toc266870907"/>
      <w:bookmarkStart w:id="69" w:name="_Toc219800243"/>
      <w:bookmarkStart w:id="70" w:name="_Toc169332838"/>
      <w:bookmarkStart w:id="71" w:name="_Toc253066614"/>
      <w:bookmarkStart w:id="72" w:name="_Toc217891402"/>
      <w:bookmarkStart w:id="73" w:name="_Toc160880160"/>
      <w:bookmarkStart w:id="74" w:name="_Toc273178698"/>
      <w:bookmarkStart w:id="75" w:name="_Toc230071147"/>
      <w:bookmarkStart w:id="76" w:name="_Toc203355733"/>
      <w:bookmarkStart w:id="77" w:name="_Toc251586231"/>
      <w:bookmarkStart w:id="78" w:name="_Toc192996446"/>
      <w:bookmarkStart w:id="79" w:name="_Toc236021449"/>
      <w:bookmarkStart w:id="80" w:name="_Toc267060068"/>
      <w:bookmarkStart w:id="81" w:name="_Toc193165734"/>
      <w:bookmarkStart w:id="82" w:name="_Toc251613829"/>
      <w:bookmarkStart w:id="83" w:name="_Toc192996338"/>
      <w:bookmarkStart w:id="84" w:name="_Toc213755939"/>
      <w:bookmarkStart w:id="85" w:name="_Toc225669322"/>
      <w:bookmarkStart w:id="86" w:name="_Toc213756051"/>
      <w:bookmarkStart w:id="87" w:name="_Toc232302115"/>
      <w:bookmarkStart w:id="88" w:name="_Toc266870432"/>
      <w:bookmarkStart w:id="89" w:name="_Toc182372782"/>
      <w:bookmarkStart w:id="90" w:name="_Toc266868937"/>
      <w:bookmarkStart w:id="91" w:name="_Toc267060453"/>
      <w:bookmarkStart w:id="92" w:name="_Toc213755995"/>
      <w:bookmarkStart w:id="93" w:name="_Toc227058530"/>
      <w:bookmarkStart w:id="94" w:name="_Toc235437991"/>
      <w:bookmarkStart w:id="95" w:name="_Toc249325711"/>
      <w:bookmarkStart w:id="96" w:name="_Toc180302913"/>
      <w:bookmarkStart w:id="97" w:name="_Toc211917116"/>
      <w:bookmarkStart w:id="98" w:name="_Toc267059806"/>
      <w:bookmarkStart w:id="99" w:name="_Toc235438344"/>
      <w:bookmarkStart w:id="100" w:name="_Toc191789329"/>
      <w:bookmarkStart w:id="101" w:name="_Toc213755858"/>
      <w:bookmarkStart w:id="102" w:name="_Toc259520865"/>
      <w:bookmarkStart w:id="103" w:name="_Toc192663686"/>
      <w:bookmarkStart w:id="104" w:name="_Toc255975007"/>
      <w:bookmarkStart w:id="105" w:name="_Toc267059181"/>
      <w:bookmarkStart w:id="106" w:name="_Toc191783222"/>
      <w:bookmarkStart w:id="107" w:name="_Toc193160448"/>
      <w:bookmarkStart w:id="108" w:name="_Toc170798793"/>
      <w:bookmarkStart w:id="109" w:name="_Toc213208766"/>
      <w:bookmarkStart w:id="110" w:name="_Toc192664153"/>
      <w:bookmarkStart w:id="111" w:name="_Toc266868670"/>
      <w:bookmarkStart w:id="112" w:name="_Toc235438274"/>
      <w:bookmarkStart w:id="113" w:name="_Toc191802690"/>
      <w:bookmarkStart w:id="114" w:name="_Toc267059539"/>
      <w:bookmarkStart w:id="115" w:name="_Toc254790899"/>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r>
        <w:rPr>
          <w:rFonts w:ascii="仿宋" w:hAnsi="仿宋" w:eastAsia="仿宋"/>
          <w:sz w:val="28"/>
          <w:szCs w:val="28"/>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根据贵学校为</w:t>
      </w:r>
      <w:r>
        <w:rPr>
          <w:rFonts w:hint="eastAsia" w:ascii="仿宋" w:hAnsi="仿宋" w:eastAsia="仿宋"/>
          <w:sz w:val="28"/>
          <w:szCs w:val="28"/>
          <w:lang w:val="en-US" w:eastAsia="zh-CN"/>
        </w:rPr>
        <w:t>数据中心机房存储设备</w:t>
      </w:r>
      <w:r>
        <w:rPr>
          <w:rFonts w:hint="eastAsia" w:ascii="仿宋" w:hAnsi="仿宋" w:eastAsia="仿宋"/>
          <w:sz w:val="28"/>
          <w:szCs w:val="28"/>
        </w:rPr>
        <w:t>项目的公开询价邀请（编号）:YKG202205</w:t>
      </w:r>
      <w:r>
        <w:rPr>
          <w:rFonts w:hint="eastAsia" w:ascii="仿宋" w:hAnsi="仿宋" w:eastAsia="仿宋"/>
          <w:sz w:val="28"/>
          <w:szCs w:val="28"/>
          <w:lang w:val="en-US" w:eastAsia="zh-CN"/>
        </w:rPr>
        <w:t>23</w:t>
      </w:r>
      <w:r>
        <w:rPr>
          <w:rFonts w:hint="eastAsia" w:ascii="仿宋" w:hAnsi="仿宋" w:eastAsia="仿宋"/>
          <w:sz w:val="28"/>
          <w:szCs w:val="28"/>
        </w:rPr>
        <w:t>，本签字代表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（全名、职务）正式授权并代表我方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6"/>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hint="eastAsia" w:ascii="仿宋" w:hAnsi="仿宋" w:eastAsia="仿宋"/>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货币单位：</w:t>
      </w:r>
    </w:p>
    <w:tbl>
      <w:tblPr>
        <w:tblStyle w:val="23"/>
        <w:tblW w:w="9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3615"/>
        <w:gridCol w:w="1305"/>
        <w:gridCol w:w="1305"/>
        <w:gridCol w:w="12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数据中心机房存储设备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520" w:lineRule="exact"/>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注：一、技术要求</w:t>
      </w:r>
    </w:p>
    <w:p>
      <w:pPr>
        <w:spacing w:line="52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1.企业级存储，</w:t>
      </w:r>
      <w:r>
        <w:rPr>
          <w:rFonts w:hint="eastAsia" w:ascii="仿宋" w:hAnsi="仿宋" w:eastAsia="仿宋"/>
          <w:sz w:val="24"/>
          <w:szCs w:val="24"/>
          <w:lang w:val="en-US" w:eastAsia="zh-CN"/>
        </w:rPr>
        <w:t>推荐品牌：联想、浪潮、华为、戴尔</w:t>
      </w:r>
      <w:r>
        <w:rPr>
          <w:rFonts w:hint="eastAsia" w:ascii="仿宋" w:hAnsi="仿宋" w:eastAsia="仿宋"/>
          <w:sz w:val="24"/>
          <w:szCs w:val="24"/>
        </w:rPr>
        <w:t>，双控Active-Active统一存储架构，集群模式下控制器扩展能力≥8；电源、散热模块、控制器的部件冗余且可热插拔</w:t>
      </w:r>
      <w:r>
        <w:rPr>
          <w:rFonts w:hint="eastAsia" w:ascii="仿宋" w:hAnsi="仿宋" w:eastAsia="仿宋"/>
          <w:sz w:val="24"/>
          <w:szCs w:val="24"/>
          <w:lang w:eastAsia="zh-CN"/>
        </w:rPr>
        <w:t>。</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2.存储性能，控制器：配置数量≥2；控制器冗余设计，支持在线更换控制器；支持扩展柜，每控制器采用Intel≥8核心处理器；高速缓存：本次配置系统缓存≥256GB（纯硬件缓存）；集群模式最大512GB缓存。</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3.主机接口，本次配置≥</w:t>
      </w:r>
      <w:r>
        <w:rPr>
          <w:rFonts w:hint="eastAsia" w:ascii="仿宋" w:hAnsi="仿宋" w:eastAsia="仿宋"/>
          <w:sz w:val="24"/>
          <w:szCs w:val="24"/>
          <w:lang w:val="en-US" w:eastAsia="zh-CN"/>
        </w:rPr>
        <w:t>4</w:t>
      </w:r>
      <w:r>
        <w:rPr>
          <w:rFonts w:hint="eastAsia" w:ascii="仿宋" w:hAnsi="仿宋" w:eastAsia="仿宋"/>
          <w:sz w:val="24"/>
          <w:szCs w:val="24"/>
        </w:rPr>
        <w:t>个16Gb FC+8个1Gb iSCSI主机接口；支持8/16 Gb FC、1/10Gb iSCSI、10Gb FCoE等多协议主机接口。</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4.掉电保护，支持缓存保护，可配置电池保护模组，保证掉电时Cache数据可安全写入Flash或硬盘永久保存，实现无限时断电保护Cache数据的目的；</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5.硬盘及RAID，配置10块8TB企业级SATA硬盘及2块≥1.2TB企业级SSD硬盘，要求同时支持SAS、NL-SAS、SSD固态硬盘；支持RAID0,1,5,6,10,分布式RAID等；支持不同RAID类型在同一个磁盘箱内的共存；支持全局热备盘和热备空间两种模式。</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6.软件配置及兼容性，配置基于存储阵列的安全控制管理软件，以保证在SAN环境下，不同主机系统对存储阵列访问的安全性，配置路径冗余软件，配置自动精简配置、本地复制（快照、卷镜像、卷克隆、卷备份）、QoS、DRAID功能，支持存储虚拟化、实时压缩、自动分层、远程复制功能。</w:t>
      </w:r>
    </w:p>
    <w:p>
      <w:pPr>
        <w:spacing w:line="520" w:lineRule="exact"/>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、创建共享文件夹，并根据实际情况确认准确的磁盘配额，防止无序的使用存储空间；</w:t>
      </w:r>
    </w:p>
    <w:p>
      <w:pPr>
        <w:spacing w:line="520" w:lineRule="exact"/>
        <w:ind w:firstLine="480" w:firstLineChars="200"/>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根据文档敏感等级设置不同文件夹的管理权限，具体来讲文件夹权限包括“完全控制”、“修改”、“读取和运行”、“列出文件夹目录”、“读取”及“写入”。需细致的为不同级别用户提供不同的访问权限。</w:t>
      </w:r>
    </w:p>
    <w:p>
      <w:pPr>
        <w:spacing w:line="52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、针对不同文件夹级别，需根据不同情况实现如下权限划分：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jc w:val="center"/>
              <w:rPr>
                <w:rFonts w:ascii="仿宋" w:hAnsi="仿宋" w:eastAsia="仿宋"/>
                <w:b/>
                <w:bCs/>
              </w:rPr>
            </w:pPr>
            <w:r>
              <w:rPr>
                <w:rFonts w:ascii="仿宋" w:hAnsi="仿宋" w:eastAsia="仿宋"/>
                <w:b/>
                <w:bCs/>
              </w:rPr>
              <w:t>权限</w:t>
            </w:r>
          </w:p>
        </w:tc>
        <w:tc>
          <w:tcPr>
            <w:tcW w:w="6213" w:type="dxa"/>
            <w:vAlign w:val="center"/>
          </w:tcPr>
          <w:p>
            <w:pPr>
              <w:widowControl w:val="0"/>
              <w:jc w:val="center"/>
              <w:rPr>
                <w:rFonts w:ascii="仿宋" w:hAnsi="仿宋" w:eastAsia="仿宋"/>
                <w:b/>
                <w:bCs/>
              </w:rPr>
            </w:pPr>
            <w:r>
              <w:rPr>
                <w:rFonts w:ascii="仿宋" w:hAnsi="仿宋" w:eastAsia="仿宋"/>
                <w:b/>
                <w:bCs/>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遍历文件夹/运行文件</w:t>
            </w:r>
          </w:p>
        </w:tc>
        <w:tc>
          <w:tcPr>
            <w:tcW w:w="6213" w:type="dxa"/>
            <w:vAlign w:val="center"/>
          </w:tcPr>
          <w:p>
            <w:pPr>
              <w:widowControl w:val="0"/>
              <w:rPr>
                <w:rFonts w:ascii="仿宋" w:hAnsi="仿宋" w:eastAsia="仿宋"/>
              </w:rPr>
            </w:pPr>
            <w:r>
              <w:rPr>
                <w:rFonts w:ascii="仿宋" w:hAnsi="仿宋" w:eastAsia="仿宋"/>
              </w:rPr>
              <w:t>对于文件夹：“遍历文件夹”允许或拒绝通过文件夹来移动，以到达其他文件或文件夹，即使用户没有禁止的文件夹的权限。只有当“组策略”管理单元中没有授予组或用户“忽略通过检查”用户权限时，禁止文件夹才起作用。</w:t>
            </w:r>
          </w:p>
          <w:p>
            <w:pPr>
              <w:widowControl w:val="0"/>
              <w:rPr>
                <w:rFonts w:ascii="仿宋" w:hAnsi="仿宋" w:eastAsia="仿宋"/>
              </w:rPr>
            </w:pPr>
            <w:r>
              <w:rPr>
                <w:rFonts w:ascii="仿宋" w:hAnsi="仿宋" w:eastAsia="仿宋"/>
              </w:rPr>
              <w:t>对于文件：“运行文件”允许或拒绝运行程序文件。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列出文件夹/读取数据</w:t>
            </w:r>
          </w:p>
        </w:tc>
        <w:tc>
          <w:tcPr>
            <w:tcW w:w="6213" w:type="dxa"/>
            <w:vAlign w:val="center"/>
          </w:tcPr>
          <w:p>
            <w:pPr>
              <w:widowControl w:val="0"/>
              <w:rPr>
                <w:rFonts w:ascii="仿宋" w:hAnsi="仿宋" w:eastAsia="仿宋"/>
              </w:rPr>
            </w:pPr>
            <w:r>
              <w:rPr>
                <w:rFonts w:ascii="仿宋" w:hAnsi="仿宋" w:eastAsia="仿宋"/>
              </w:rPr>
              <w:t>“列出文件夹”允许或者拒绝查看文件夹内的文件名和子文件夹名。“列出文件夹”只影响该文件夹的内容，不影响是否列出正在设置其权限的文件夹。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读取属性</w:t>
            </w:r>
          </w:p>
        </w:tc>
        <w:tc>
          <w:tcPr>
            <w:tcW w:w="6213" w:type="dxa"/>
            <w:vAlign w:val="center"/>
          </w:tcPr>
          <w:p>
            <w:pPr>
              <w:widowControl w:val="0"/>
              <w:rPr>
                <w:rFonts w:ascii="仿宋" w:hAnsi="仿宋" w:eastAsia="仿宋"/>
              </w:rPr>
            </w:pPr>
            <w:r>
              <w:rPr>
                <w:rFonts w:ascii="仿宋" w:hAnsi="仿宋" w:eastAsia="仿宋"/>
              </w:rPr>
              <w:t>允许或拒绝查看文件或文件夹的属性，例如只读和隐藏。属性由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读取扩展属性</w:t>
            </w:r>
          </w:p>
        </w:tc>
        <w:tc>
          <w:tcPr>
            <w:tcW w:w="6213" w:type="dxa"/>
            <w:vAlign w:val="center"/>
          </w:tcPr>
          <w:p>
            <w:pPr>
              <w:widowControl w:val="0"/>
              <w:rPr>
                <w:rFonts w:ascii="仿宋" w:hAnsi="仿宋" w:eastAsia="仿宋"/>
              </w:rPr>
            </w:pPr>
            <w:r>
              <w:rPr>
                <w:rFonts w:ascii="仿宋" w:hAnsi="仿宋" w:eastAsia="仿宋"/>
              </w:rPr>
              <w:t>允许或拒绝查看文件或文件夹的扩展属性。扩展属性由程序定义，可能因程序而变化。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创建文件/写入数据</w:t>
            </w:r>
          </w:p>
        </w:tc>
        <w:tc>
          <w:tcPr>
            <w:tcW w:w="6213" w:type="dxa"/>
            <w:vAlign w:val="center"/>
          </w:tcPr>
          <w:p>
            <w:pPr>
              <w:widowControl w:val="0"/>
              <w:rPr>
                <w:rFonts w:ascii="仿宋" w:hAnsi="仿宋" w:eastAsia="仿宋"/>
              </w:rPr>
            </w:pPr>
            <w:r>
              <w:rPr>
                <w:rFonts w:ascii="仿宋" w:hAnsi="仿宋" w:eastAsia="仿宋"/>
              </w:rPr>
              <w:t>“创建文件”允许或拒绝在文件夹内创建文件。“写入数据”允许或拒绝对文件进行更改与覆盖现有内容。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创建文件夹/附加数据</w:t>
            </w:r>
          </w:p>
        </w:tc>
        <w:tc>
          <w:tcPr>
            <w:tcW w:w="6213" w:type="dxa"/>
            <w:vAlign w:val="center"/>
          </w:tcPr>
          <w:p>
            <w:pPr>
              <w:widowControl w:val="0"/>
              <w:rPr>
                <w:rFonts w:ascii="仿宋" w:hAnsi="仿宋" w:eastAsia="仿宋"/>
              </w:rPr>
            </w:pPr>
            <w:r>
              <w:rPr>
                <w:rFonts w:ascii="仿宋" w:hAnsi="仿宋" w:eastAsia="仿宋"/>
              </w:rPr>
              <w:t>“创建文件夹”允许或拒绝在文件夹内创建文件夹。</w:t>
            </w:r>
          </w:p>
          <w:p>
            <w:pPr>
              <w:widowControl w:val="0"/>
              <w:rPr>
                <w:rFonts w:ascii="仿宋" w:hAnsi="仿宋" w:eastAsia="仿宋"/>
              </w:rPr>
            </w:pPr>
            <w:r>
              <w:rPr>
                <w:rFonts w:ascii="仿宋" w:hAnsi="仿宋" w:eastAsia="仿宋"/>
              </w:rPr>
              <w:t>“附加数据”允许或拒绝更改文件的末尾，而不是更改、删除或覆盖已有的数据。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写入属性</w:t>
            </w:r>
          </w:p>
        </w:tc>
        <w:tc>
          <w:tcPr>
            <w:tcW w:w="6213" w:type="dxa"/>
            <w:vAlign w:val="center"/>
          </w:tcPr>
          <w:p>
            <w:pPr>
              <w:widowControl w:val="0"/>
              <w:rPr>
                <w:rFonts w:ascii="仿宋" w:hAnsi="仿宋" w:eastAsia="仿宋"/>
              </w:rPr>
            </w:pPr>
            <w:r>
              <w:rPr>
                <w:rFonts w:ascii="仿宋" w:hAnsi="仿宋" w:eastAsia="仿宋"/>
              </w:rPr>
              <w:t>允许或拒绝更改文件或文件夹的属性，例如只读或隐藏。属性由 NTFS 定义。“写入属性”权限不表示可以创建或删除文件或文件夹，它只包括更改文件或文件夹属性的权限。要允许（或者拒绝）创建或删除操作，请参阅“创建文件/写入数据”、“创建文件夹/附加数据”，“删除子文件夹及文件”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删除子文件夹及文件</w:t>
            </w:r>
          </w:p>
        </w:tc>
        <w:tc>
          <w:tcPr>
            <w:tcW w:w="6213" w:type="dxa"/>
            <w:vAlign w:val="center"/>
          </w:tcPr>
          <w:p>
            <w:pPr>
              <w:widowControl w:val="0"/>
              <w:rPr>
                <w:rFonts w:ascii="仿宋" w:hAnsi="仿宋" w:eastAsia="仿宋"/>
              </w:rPr>
            </w:pPr>
            <w:r>
              <w:rPr>
                <w:rFonts w:ascii="仿宋" w:hAnsi="仿宋" w:eastAsia="仿宋"/>
              </w:rPr>
              <w:t>允许或拒绝删除子文件夹和文件，即使尚未授予对子文件夹或文件的“删除”权限。（适用于文件夹。）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hint="eastAsia" w:ascii="仿宋" w:hAnsi="仿宋" w:eastAsia="仿宋"/>
              </w:rPr>
              <w:t>删除</w:t>
            </w:r>
          </w:p>
        </w:tc>
        <w:tc>
          <w:tcPr>
            <w:tcW w:w="6213" w:type="dxa"/>
            <w:vAlign w:val="center"/>
          </w:tcPr>
          <w:p>
            <w:pPr>
              <w:widowControl w:val="0"/>
              <w:rPr>
                <w:rFonts w:ascii="仿宋" w:hAnsi="仿宋" w:eastAsia="仿宋"/>
              </w:rPr>
            </w:pPr>
            <w:r>
              <w:rPr>
                <w:rFonts w:ascii="仿宋" w:hAnsi="仿宋" w:eastAsia="仿宋"/>
              </w:rPr>
              <w:t>删除允许或拒绝删除文件或文件夹。如果您没有对文件或文件夹的“删除”权限，但是在父文件夹中已被授予“删除子文件夹及文件”权限，则您仍然可以删除它。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读取权限</w:t>
            </w:r>
          </w:p>
        </w:tc>
        <w:tc>
          <w:tcPr>
            <w:tcW w:w="6213" w:type="dxa"/>
            <w:vAlign w:val="center"/>
          </w:tcPr>
          <w:p>
            <w:pPr>
              <w:widowControl w:val="0"/>
              <w:rPr>
                <w:rFonts w:ascii="仿宋" w:hAnsi="仿宋" w:eastAsia="仿宋"/>
              </w:rPr>
            </w:pPr>
            <w:r>
              <w:rPr>
                <w:rFonts w:ascii="仿宋" w:hAnsi="仿宋" w:eastAsia="仿宋"/>
              </w:rPr>
              <w:t>允许或拒绝读取文件或文件夹的权限，例如完全控制、读取、写入。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更改权限</w:t>
            </w:r>
          </w:p>
        </w:tc>
        <w:tc>
          <w:tcPr>
            <w:tcW w:w="6213" w:type="dxa"/>
            <w:vAlign w:val="center"/>
          </w:tcPr>
          <w:p>
            <w:pPr>
              <w:widowControl w:val="0"/>
              <w:rPr>
                <w:rFonts w:ascii="仿宋" w:hAnsi="仿宋" w:eastAsia="仿宋"/>
              </w:rPr>
            </w:pPr>
            <w:r>
              <w:rPr>
                <w:rFonts w:ascii="仿宋" w:hAnsi="仿宋" w:eastAsia="仿宋"/>
              </w:rPr>
              <w:t>允许或拒绝更改文件或文件夹的权限，例如完全控制、读取和写入。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rPr>
                <w:rFonts w:ascii="仿宋" w:hAnsi="仿宋" w:eastAsia="仿宋"/>
              </w:rPr>
            </w:pPr>
            <w:r>
              <w:rPr>
                <w:rFonts w:ascii="仿宋" w:hAnsi="仿宋" w:eastAsia="仿宋"/>
              </w:rPr>
              <w:t>取得所有权</w:t>
            </w:r>
          </w:p>
        </w:tc>
        <w:tc>
          <w:tcPr>
            <w:tcW w:w="6213" w:type="dxa"/>
            <w:vAlign w:val="center"/>
          </w:tcPr>
          <w:p>
            <w:pPr>
              <w:widowControl w:val="0"/>
              <w:rPr>
                <w:rFonts w:ascii="仿宋" w:hAnsi="仿宋" w:eastAsia="仿宋"/>
              </w:rPr>
            </w:pPr>
            <w:r>
              <w:rPr>
                <w:rFonts w:ascii="仿宋" w:hAnsi="仿宋" w:eastAsia="仿宋"/>
              </w:rPr>
              <w:t>允许或拒绝取得文件或文件夹的所有权。文件或文件夹的所有者始终可以更改其权限，无论存在任何保护该文件或文件夹的权限。</w:t>
            </w:r>
          </w:p>
        </w:tc>
      </w:tr>
    </w:tbl>
    <w:p>
      <w:pPr>
        <w:spacing w:line="52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二、实施及服务要求</w:t>
      </w:r>
    </w:p>
    <w:p>
      <w:pPr>
        <w:spacing w:line="52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1.存储硬件实施：技术支持服务，提供原厂家的项目管理、现场安装、配置及培训服务，设备提供至少三年</w:t>
      </w:r>
      <w:r>
        <w:rPr>
          <w:rFonts w:hint="eastAsia" w:ascii="仿宋" w:hAnsi="仿宋" w:eastAsia="仿宋"/>
          <w:sz w:val="24"/>
          <w:szCs w:val="24"/>
          <w:lang w:val="en-US" w:eastAsia="zh-CN"/>
        </w:rPr>
        <w:t>原厂</w:t>
      </w:r>
      <w:r>
        <w:rPr>
          <w:rFonts w:hint="eastAsia" w:ascii="仿宋" w:hAnsi="仿宋" w:eastAsia="仿宋"/>
          <w:sz w:val="24"/>
          <w:szCs w:val="24"/>
        </w:rPr>
        <w:t>质保和三年7*24小时现场保修服务, 包括硬件保修</w:t>
      </w:r>
      <w:r>
        <w:rPr>
          <w:rFonts w:hint="eastAsia" w:ascii="仿宋" w:hAnsi="仿宋" w:eastAsia="仿宋"/>
          <w:sz w:val="24"/>
          <w:szCs w:val="24"/>
          <w:lang w:eastAsia="zh-CN"/>
        </w:rPr>
        <w:t>、</w:t>
      </w:r>
      <w:r>
        <w:rPr>
          <w:rFonts w:hint="eastAsia" w:ascii="仿宋" w:hAnsi="仿宋" w:eastAsia="仿宋"/>
          <w:sz w:val="24"/>
          <w:szCs w:val="24"/>
        </w:rPr>
        <w:t>电话支持、现场支持、软件升级</w:t>
      </w:r>
      <w:r>
        <w:rPr>
          <w:rFonts w:hint="eastAsia" w:ascii="仿宋" w:hAnsi="仿宋" w:eastAsia="仿宋"/>
          <w:sz w:val="24"/>
          <w:szCs w:val="24"/>
          <w:lang w:eastAsia="zh-CN"/>
        </w:rPr>
        <w:t>。</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2.SAN交换机实施：利旧当前已有的两台SAN交换机，实现ZONE的优化部署；完成新SAN与现有SAN的融合，实现SAN和SAN之间的级联部署同时实现两台SAN交换机之间的高可用部署。</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3.存储虚拟化部署：将新增存储融入当前虚拟化环境，根据当前虚拟化版本完成新增存储LUN空间的格式化操作。为保证链路冗余须配置多路径软件，实现新增存储双控制器的双活冗余功能。</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4.数据迁移：将现有的虚拟机迁移至新存储；须保证数据的绝对安全。在迁移之前须对关键虚拟机做备份保护，以防在迁移过程中发生数据丢失情况，如数据发生缺损、丢失实施方负完全责任。</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5.老FC存储优化：当前数据中心采用一台EMC VNX5100存储。本次实施将相关虚拟机迁移至新存储后，当前存储需升级当前固件版本并重新初始化，重新划分RAID组，重新组件LUN空间，将当前分散的大概16个LUN空间整合为2个LUN空间。优化LUN空间性能分配合理cache大小，提升当前存储的性能及可用空间。</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6.老IPSAN存储优化：当前数据中心包含两台IPSAN存储，在本期实施过程中优化两台IPSAN存储空间。将当前占有生产存储空间的开发、测试的非关键虚拟机迁址至IPSAN存储。IPSAN存储所利用的IP地址须保证与教学地址无冲突。　</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7. 利用新增存储实现文档共享、权限管理、磁盘配额以及成员管理等功能；利用现有备份设备实现共享文档的统一备份功能。</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8.培训服务：此项目完成后需针对此项目内容及学校整体数据中心内容对我方相关老师做不少于3天的现场技术培训。</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9.日常巡检：本次增加的存储承载着学校所有的关键教学及管理系统；提供每学期2次的免费现场巡检服务，直至新增存储质保到期。每次巡检须做好巡检记录，并递交；记录数据中心运行状况及时发现问题，并提供优化方案。</w:t>
      </w:r>
    </w:p>
    <w:p>
      <w:pPr>
        <w:spacing w:line="520" w:lineRule="exact"/>
        <w:ind w:firstLine="480" w:firstLineChars="200"/>
        <w:rPr>
          <w:rFonts w:hint="eastAsia" w:ascii="仿宋" w:hAnsi="仿宋" w:eastAsia="仿宋"/>
          <w:sz w:val="24"/>
          <w:szCs w:val="24"/>
          <w14:textFill>
            <w14:gradFill>
              <w14:gsLst>
                <w14:gs w14:pos="0">
                  <w14:srgbClr w14:val="E30000"/>
                </w14:gs>
                <w14:gs w14:pos="100000">
                  <w14:srgbClr w14:val="760303"/>
                </w14:gs>
              </w14:gsLst>
              <w14:lin w14:scaled="0"/>
            </w14:gradFill>
          </w14:textFill>
        </w:rPr>
      </w:pPr>
      <w:r>
        <w:rPr>
          <w:rFonts w:hint="eastAsia" w:ascii="仿宋" w:hAnsi="仿宋" w:eastAsia="仿宋"/>
          <w:color w:val="000000" w:themeColor="text1"/>
          <w:sz w:val="24"/>
          <w:szCs w:val="24"/>
          <w14:textFill>
            <w14:solidFill>
              <w14:schemeClr w14:val="tx1"/>
            </w14:solidFill>
          </w14:textFill>
        </w:rPr>
        <w:t>10.为保证实施过程中的数据安全，现场实施工程师须</w:t>
      </w:r>
      <w:r>
        <w:rPr>
          <w:rFonts w:hint="eastAsia" w:ascii="仿宋" w:hAnsi="仿宋" w:eastAsia="仿宋"/>
          <w:color w:val="000000" w:themeColor="text1"/>
          <w:sz w:val="24"/>
          <w:szCs w:val="24"/>
          <w:lang w:val="en-US" w:eastAsia="zh-CN"/>
          <w14:textFill>
            <w14:solidFill>
              <w14:schemeClr w14:val="tx1"/>
            </w14:solidFill>
          </w14:textFill>
        </w:rPr>
        <w:t>具</w:t>
      </w:r>
      <w:r>
        <w:rPr>
          <w:rFonts w:hint="eastAsia" w:ascii="仿宋" w:hAnsi="仿宋" w:eastAsia="仿宋"/>
          <w:color w:val="000000" w:themeColor="text1"/>
          <w:sz w:val="24"/>
          <w:szCs w:val="24"/>
          <w14:textFill>
            <w14:solidFill>
              <w14:schemeClr w14:val="tx1"/>
            </w14:solidFill>
          </w14:textFill>
        </w:rPr>
        <w:t>有</w:t>
      </w:r>
      <w:r>
        <w:rPr>
          <w:rFonts w:hint="eastAsia" w:ascii="仿宋" w:hAnsi="仿宋" w:eastAsia="仿宋"/>
          <w:color w:val="000000" w:themeColor="text1"/>
          <w:sz w:val="24"/>
          <w:szCs w:val="24"/>
          <w:lang w:val="en-US" w:eastAsia="zh-CN"/>
          <w14:textFill>
            <w14:solidFill>
              <w14:schemeClr w14:val="tx1"/>
            </w14:solidFill>
          </w14:textFill>
        </w:rPr>
        <w:t>存储及虚拟机部署经验及能力，调试安装过程中若出现数据丢失、业务无法正常运行等问题，造成的全部损失由实施方承担</w:t>
      </w:r>
      <w:r>
        <w:rPr>
          <w:rFonts w:hint="eastAsia" w:ascii="仿宋" w:hAnsi="仿宋" w:eastAsia="仿宋"/>
          <w:color w:val="000000" w:themeColor="text1"/>
          <w:sz w:val="24"/>
          <w:szCs w:val="24"/>
          <w14:textFill>
            <w14:solidFill>
              <w14:schemeClr w14:val="tx1"/>
            </w14:solidFill>
          </w14:textFill>
        </w:rPr>
        <w:t>。</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11.现有</w:t>
      </w:r>
      <w:r>
        <w:rPr>
          <w:rFonts w:hint="eastAsia" w:ascii="仿宋" w:hAnsi="仿宋" w:eastAsia="仿宋"/>
          <w:sz w:val="24"/>
          <w:szCs w:val="24"/>
          <w:lang w:val="en-US" w:eastAsia="zh-CN"/>
        </w:rPr>
        <w:t>的</w:t>
      </w:r>
      <w:r>
        <w:rPr>
          <w:rFonts w:hint="eastAsia" w:ascii="仿宋" w:hAnsi="仿宋" w:eastAsia="仿宋"/>
          <w:sz w:val="24"/>
          <w:szCs w:val="24"/>
        </w:rPr>
        <w:t>服务器升级：现有</w:t>
      </w:r>
      <w:r>
        <w:rPr>
          <w:rFonts w:hint="eastAsia" w:ascii="仿宋" w:hAnsi="仿宋" w:eastAsia="仿宋"/>
          <w:sz w:val="24"/>
          <w:szCs w:val="24"/>
          <w:lang w:val="en-US" w:eastAsia="zh-CN"/>
        </w:rPr>
        <w:t>的</w:t>
      </w:r>
      <w:r>
        <w:rPr>
          <w:rFonts w:hint="eastAsia" w:ascii="仿宋" w:hAnsi="仿宋" w:eastAsia="仿宋"/>
          <w:sz w:val="24"/>
          <w:szCs w:val="24"/>
        </w:rPr>
        <w:t>服务器需重新规划，具体工作如下：</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将当前VMware vSphere软件版本从6.0升级至服务器可支持的最高版本；</w:t>
      </w:r>
    </w:p>
    <w:p>
      <w:pPr>
        <w:spacing w:line="520" w:lineRule="exact"/>
        <w:ind w:firstLine="480" w:firstLineChars="200"/>
        <w:rPr>
          <w:rFonts w:hint="eastAsia" w:ascii="仿宋" w:hAnsi="仿宋" w:eastAsia="仿宋"/>
          <w:sz w:val="24"/>
          <w:szCs w:val="24"/>
        </w:rPr>
      </w:pPr>
      <w:r>
        <w:rPr>
          <w:rFonts w:hint="eastAsia" w:ascii="仿宋" w:hAnsi="仿宋" w:eastAsia="仿宋"/>
          <w:sz w:val="24"/>
          <w:szCs w:val="24"/>
        </w:rPr>
        <w:t>重新规划IP地址，规划相关网络层面信息；重新做RAID，重新装云操作系统，实现各驱动的匹配；调整虚拟交换机配置，部署虚拟分布式交换机；并且实现与现有存储（2台FC存储、2台Ipsan存储）、SAN交换机以及网络的联通。安装统一管理平台，实现集群的统一管控；纳入到当前虚拟化平台中进行统一管理；一台服务器宕机可实现虚拟机的自动切换，并做相关的容灾演练；将相关虚拟机迁移到此新搭建的平台；实现关键虚拟机的备份，并做相关的容灾演练；含相关辅材（网络跳线、光纤跳线等）。</w:t>
      </w:r>
    </w:p>
    <w:p>
      <w:pPr>
        <w:spacing w:line="380" w:lineRule="exact"/>
        <w:ind w:left="147" w:leftChars="67"/>
        <w:rPr>
          <w:rFonts w:hint="eastAsia" w:ascii="仿宋" w:hAnsi="仿宋" w:eastAsia="仿宋"/>
          <w:sz w:val="28"/>
          <w:szCs w:val="28"/>
        </w:rPr>
      </w:pPr>
    </w:p>
    <w:p>
      <w:pPr>
        <w:spacing w:line="380" w:lineRule="exact"/>
        <w:ind w:left="147" w:leftChars="67"/>
        <w:rPr>
          <w:rFonts w:hint="eastAsia"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92996451"/>
      <w:bookmarkStart w:id="117" w:name="_Toc227058536"/>
      <w:bookmarkStart w:id="118" w:name="_Toc193160453"/>
      <w:bookmarkStart w:id="119" w:name="_Toc160880534"/>
      <w:bookmarkStart w:id="120" w:name="_Toc219800249"/>
      <w:bookmarkStart w:id="121" w:name="_Toc191802695"/>
      <w:bookmarkStart w:id="122" w:name="_Toc191803631"/>
      <w:bookmarkStart w:id="123" w:name="_Toc232302122"/>
      <w:bookmarkStart w:id="124" w:name="_Toc267059186"/>
      <w:bookmarkStart w:id="125" w:name="_Toc249325720"/>
      <w:bookmarkStart w:id="126" w:name="_Toc211917121"/>
      <w:bookmarkStart w:id="127" w:name="_Toc170798798"/>
      <w:bookmarkStart w:id="128" w:name="_Toc251613839"/>
      <w:bookmarkStart w:id="129" w:name="_Toc251586241"/>
      <w:bookmarkStart w:id="130" w:name="_Toc266870916"/>
      <w:bookmarkStart w:id="131" w:name="_Toc258401265"/>
      <w:bookmarkStart w:id="132" w:name="_Toc192663840"/>
      <w:bookmarkStart w:id="133" w:name="_Toc169332954"/>
      <w:bookmarkStart w:id="134" w:name="_Toc213756057"/>
      <w:bookmarkStart w:id="135" w:name="_Toc181436466"/>
      <w:bookmarkStart w:id="136" w:name="_Toc236021457"/>
      <w:bookmarkStart w:id="137" w:name="_Toc253066624"/>
      <w:bookmarkStart w:id="138" w:name="_Toc169332843"/>
      <w:bookmarkStart w:id="139" w:name="_Toc213755945"/>
      <w:bookmarkStart w:id="140" w:name="_Toc192996343"/>
      <w:bookmarkStart w:id="141" w:name="_Toc235437998"/>
      <w:bookmarkStart w:id="142" w:name="_Toc181436570"/>
      <w:bookmarkStart w:id="143" w:name="_Toc191783227"/>
      <w:bookmarkStart w:id="144" w:name="_Toc203355738"/>
      <w:bookmarkStart w:id="145" w:name="_Toc223146614"/>
      <w:bookmarkStart w:id="146" w:name="_Toc273178703"/>
      <w:bookmarkStart w:id="147" w:name="_Toc180302918"/>
      <w:bookmarkStart w:id="148" w:name="_Toc267060461"/>
      <w:bookmarkStart w:id="149" w:name="_Toc217891408"/>
      <w:bookmarkStart w:id="150" w:name="_Toc182805222"/>
      <w:bookmarkStart w:id="151" w:name="_Toc259692749"/>
      <w:bookmarkStart w:id="152" w:name="_Toc177985474"/>
      <w:bookmarkStart w:id="153" w:name="_Toc160880165"/>
      <w:bookmarkStart w:id="154" w:name="_Toc230071153"/>
      <w:bookmarkStart w:id="155" w:name="_Toc235438352"/>
      <w:bookmarkStart w:id="156" w:name="_Toc192663691"/>
      <w:bookmarkStart w:id="157" w:name="_Toc266870441"/>
      <w:bookmarkStart w:id="158" w:name="_Toc255975016"/>
      <w:bookmarkStart w:id="159" w:name="_Toc266868943"/>
      <w:bookmarkStart w:id="160" w:name="_Toc259520874"/>
      <w:bookmarkStart w:id="161" w:name="_Toc235438281"/>
      <w:bookmarkStart w:id="162" w:name="_Toc213755864"/>
      <w:bookmarkStart w:id="163" w:name="_Toc259692656"/>
      <w:bookmarkStart w:id="164" w:name="_Toc192664158"/>
      <w:bookmarkStart w:id="165" w:name="_Toc182372787"/>
      <w:bookmarkStart w:id="166" w:name="_Toc267059924"/>
      <w:bookmarkStart w:id="167" w:name="_Toc267060326"/>
      <w:bookmarkStart w:id="168" w:name="_Toc266870839"/>
      <w:bookmarkStart w:id="169" w:name="_Toc266868679"/>
      <w:bookmarkStart w:id="170" w:name="_Toc254790909"/>
      <w:bookmarkStart w:id="171" w:name="_Toc267059811"/>
      <w:bookmarkStart w:id="172" w:name="_Toc267060076"/>
      <w:bookmarkStart w:id="173" w:name="_Toc213208771"/>
      <w:bookmarkStart w:id="174" w:name="_Toc267059544"/>
      <w:bookmarkStart w:id="175" w:name="_Toc213756001"/>
      <w:bookmarkStart w:id="176" w:name="_Toc191789334"/>
      <w:bookmarkStart w:id="177" w:name="_Toc225669328"/>
      <w:bookmarkStart w:id="178" w:name="_Toc267060216"/>
      <w:bookmarkStart w:id="179" w:name="_Toc267059658"/>
      <w:bookmarkStart w:id="180" w:name="_Toc193165739"/>
      <w:bookmarkStart w:id="181" w:name="_Toc267059035"/>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8"/>
          <w:szCs w:val="28"/>
        </w:rPr>
        <w:t>参与人资质材料</w:t>
      </w:r>
    </w:p>
    <w:p>
      <w:pPr>
        <w:pStyle w:val="39"/>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4"/>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4"/>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4"/>
        <w:numPr>
          <w:ilvl w:val="0"/>
          <w:numId w:val="4"/>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2U0MGMxY2NjNjE2NmEwOWFmZjA4ZDNhZTQ3ZGYifQ=="/>
  </w:docVars>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92413"/>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46D3389"/>
    <w:rsid w:val="0B572E41"/>
    <w:rsid w:val="0DDF0767"/>
    <w:rsid w:val="12C46232"/>
    <w:rsid w:val="169423E8"/>
    <w:rsid w:val="18BC74A8"/>
    <w:rsid w:val="1AF86C7A"/>
    <w:rsid w:val="1DBA42D1"/>
    <w:rsid w:val="20971783"/>
    <w:rsid w:val="25D616D8"/>
    <w:rsid w:val="25E26738"/>
    <w:rsid w:val="26C52F3C"/>
    <w:rsid w:val="27DF7178"/>
    <w:rsid w:val="30246D25"/>
    <w:rsid w:val="343078CD"/>
    <w:rsid w:val="373811C6"/>
    <w:rsid w:val="3A1B26D4"/>
    <w:rsid w:val="3E8F78AF"/>
    <w:rsid w:val="41787950"/>
    <w:rsid w:val="46E315A7"/>
    <w:rsid w:val="4CFF0EDC"/>
    <w:rsid w:val="4F4B5A44"/>
    <w:rsid w:val="4FA964E9"/>
    <w:rsid w:val="5024046C"/>
    <w:rsid w:val="5B3A0165"/>
    <w:rsid w:val="5D6610B7"/>
    <w:rsid w:val="5E6C56A0"/>
    <w:rsid w:val="5F653482"/>
    <w:rsid w:val="651D60C4"/>
    <w:rsid w:val="6A97584F"/>
    <w:rsid w:val="6CBA14D5"/>
    <w:rsid w:val="6F256F1B"/>
    <w:rsid w:val="7310532B"/>
    <w:rsid w:val="75662603"/>
    <w:rsid w:val="75FC6C07"/>
    <w:rsid w:val="7A636B1E"/>
    <w:rsid w:val="7AB53205"/>
    <w:rsid w:val="7CFC2B59"/>
    <w:rsid w:val="7DC52EBD"/>
    <w:rsid w:val="7EBD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0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14</Pages>
  <Words>6951</Words>
  <Characters>7511</Characters>
  <Lines>15</Lines>
  <Paragraphs>4</Paragraphs>
  <TotalTime>62</TotalTime>
  <ScaleCrop>false</ScaleCrop>
  <LinksUpToDate>false</LinksUpToDate>
  <CharactersWithSpaces>7723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dell</cp:lastModifiedBy>
  <dcterms:modified xsi:type="dcterms:W3CDTF">2022-05-23T07:19:15Z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50D7C9CC2F3E4CAF91A5EFC1A1918DD3</vt:lpwstr>
  </property>
</Properties>
</file>