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12456146"/>
      <w:bookmarkStart w:id="1" w:name="_Toc212526081"/>
      <w:bookmarkStart w:id="2" w:name="_Toc212530253"/>
      <w:bookmarkStart w:id="3" w:name="_Toc216241307"/>
      <w:bookmarkStart w:id="4" w:name="_Toc217891359"/>
      <w:bookmarkStart w:id="5" w:name="_Toc225669277"/>
      <w:bookmarkStart w:id="6" w:name="_Toc219800200"/>
      <w:bookmarkStart w:id="7" w:name="_Toc223146565"/>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eastAsia="仿宋"/>
          <w:sz w:val="24"/>
          <w:szCs w:val="24"/>
        </w:rPr>
      </w:pPr>
      <w:bookmarkStart w:id="45" w:name="_Hlk10840310"/>
      <w:r>
        <w:rPr>
          <w:rFonts w:hint="eastAsia" w:ascii="仿宋" w:eastAsia="仿宋"/>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工程制图实验室设备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项目编号：A20220604</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项目名称：工程制图实验室设备项目</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数量及主要技术要求:详见《公开询价项目介绍》。</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r>
        <w:rPr>
          <w:rFonts w:ascii="仿宋" w:hAnsi="仿宋" w:eastAsia="仿宋"/>
          <w:color w:val="000000" w:themeColor="text1"/>
          <w:sz w:val="24"/>
          <w:szCs w:val="24"/>
          <w14:textFill>
            <w14:solidFill>
              <w14:schemeClr w14:val="tx1"/>
            </w14:solidFill>
          </w14:textFill>
        </w:rPr>
        <w:t xml:space="preserve"> </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参与人应具有独立法人资格的生产厂商或授权经销商。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w:t>
      </w:r>
      <w:r>
        <w:rPr>
          <w:rFonts w:hint="eastAsia" w:ascii="仿宋" w:hAnsi="仿宋" w:eastAsia="仿宋"/>
          <w:color w:val="000000" w:themeColor="text1"/>
          <w:sz w:val="24"/>
          <w:szCs w:val="24"/>
          <w14:textFill>
            <w14:solidFill>
              <w14:schemeClr w14:val="tx1"/>
            </w14:solidFill>
          </w14:textFill>
        </w:rPr>
        <w:t>括网络设备资质</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color w:val="000000" w:themeColor="text1"/>
          <w:sz w:val="24"/>
          <w:szCs w:val="24"/>
          <w14:textFill>
            <w14:solidFill>
              <w14:schemeClr w14:val="tx1"/>
            </w14:solidFill>
          </w14:textFill>
        </w:rPr>
        <w:t>供网络设备</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报价响应文件递交方式：密封报价，按规定时间送达或邮寄。</w:t>
      </w:r>
    </w:p>
    <w:p>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sz w:val="24"/>
          <w:szCs w:val="24"/>
        </w:rPr>
        <w:t>报价响应文件递交截止</w:t>
      </w:r>
      <w:r>
        <w:rPr>
          <w:rFonts w:hint="eastAsia" w:ascii="仿宋" w:hAnsi="仿宋" w:eastAsia="仿宋"/>
          <w:color w:val="000000" w:themeColor="text1"/>
          <w:sz w:val="24"/>
          <w:szCs w:val="24"/>
          <w14:textFill>
            <w14:solidFill>
              <w14:schemeClr w14:val="tx1"/>
            </w14:solidFill>
          </w14:textFill>
        </w:rPr>
        <w:t>时间</w:t>
      </w:r>
      <w:r>
        <w:rPr>
          <w:rFonts w:hint="eastAsia" w:ascii="仿宋" w:hAnsi="仿宋" w:eastAsia="仿宋"/>
          <w:color w:val="000000" w:themeColor="text1"/>
          <w:sz w:val="24"/>
          <w:szCs w:val="24"/>
          <w:shd w:val="clear" w:color="auto" w:fill="FFFFFF"/>
          <w14:textFill>
            <w14:solidFill>
              <w14:schemeClr w14:val="tx1"/>
            </w14:solidFill>
          </w14:textFill>
        </w:rPr>
        <w:t>：2022年06</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14:textFill>
            <w14:solidFill>
              <w14:schemeClr w14:val="tx1"/>
            </w14:solidFill>
          </w14:textFill>
        </w:rPr>
        <w:t>29</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16</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前（以参与人快递寄出时间为准，邮寄时应提前告知）。</w:t>
      </w:r>
    </w:p>
    <w:p>
      <w:pPr>
        <w:pStyle w:val="55"/>
        <w:numPr>
          <w:ilvl w:val="1"/>
          <w:numId w:val="1"/>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报价响应文件递交地点：广州市白云江高镇田南路13号。</w:t>
      </w:r>
    </w:p>
    <w:p>
      <w:pPr>
        <w:pStyle w:val="55"/>
        <w:spacing w:after="0" w:line="500" w:lineRule="exact"/>
        <w:ind w:left="839"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联系人：李树泽；联系电话：13416175669</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公开询价邀请函列示内容存有疑问的</w:t>
      </w:r>
      <w:r>
        <w:rPr>
          <w:rFonts w:hint="eastAsia" w:ascii="仿宋" w:hAnsi="仿宋" w:eastAsia="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，请在报价响应文件递交截止之日前，将问题以书面形式（有效签署的原件并加盖公章）提交至学校业务对接人，联系人：李树泽，电话：13416175669。采购人不对超时提交及未加盖公章的质疑文件进行回复。</w:t>
      </w:r>
    </w:p>
    <w:p>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bookmarkStart w:id="46" w:name="_Hlk97917519"/>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28"/>
          <w:rFonts w:hint="eastAsia" w:ascii="仿宋" w:hAnsi="仿宋" w:eastAsia="仿宋"/>
          <w:color w:val="000000" w:themeColor="text1"/>
          <w:sz w:val="24"/>
          <w:szCs w:val="24"/>
          <w14:textFill>
            <w14:solidFill>
              <w14:schemeClr w14:val="tx1"/>
            </w14:solidFill>
          </w14:textFill>
        </w:rPr>
        <w:t>www.ceghqxz.com</w:t>
      </w:r>
      <w:r>
        <w:rPr>
          <w:rStyle w:val="28"/>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6"/>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w:t>
      </w:r>
      <w:r>
        <w:rPr>
          <w:rFonts w:hint="eastAsia" w:ascii="仿宋" w:hAnsi="仿宋" w:eastAsia="仿宋"/>
          <w:color w:val="000000" w:themeColor="text1"/>
          <w:sz w:val="24"/>
          <w:szCs w:val="24"/>
          <w14:textFill>
            <w14:solidFill>
              <w14:schemeClr w14:val="tx1"/>
            </w14:solidFill>
          </w14:textFill>
        </w:rPr>
        <w:t>期:不少于12个</w:t>
      </w:r>
      <w:r>
        <w:rPr>
          <w:rFonts w:hint="eastAsia" w:ascii="仿宋" w:hAnsi="仿宋" w:eastAsia="仿宋"/>
          <w:sz w:val="24"/>
          <w:szCs w:val="24"/>
        </w:rPr>
        <w:t>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spacing w:after="0" w:line="500" w:lineRule="exact"/>
        <w:ind w:firstLine="7497" w:firstLineChars="3124"/>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广东白云学院</w:t>
      </w:r>
    </w:p>
    <w:p>
      <w:pPr>
        <w:pStyle w:val="55"/>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2022年06月2</w:t>
      </w:r>
      <w:r>
        <w:rPr>
          <w:rFonts w:hint="eastAsia" w:ascii="仿宋" w:hAnsi="仿宋" w:eastAsia="仿宋"/>
          <w:color w:val="000000" w:themeColor="text1"/>
          <w:sz w:val="24"/>
          <w:szCs w:val="24"/>
          <w:lang w:val="en-US" w:eastAsia="zh-CN"/>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日</w:t>
      </w:r>
    </w:p>
    <w:p>
      <w:pPr>
        <w:pStyle w:val="55"/>
        <w:spacing w:after="0" w:line="500" w:lineRule="exact"/>
        <w:ind w:left="851" w:leftChars="387" w:firstLine="2520" w:firstLineChars="900"/>
        <w:jc w:val="left"/>
        <w:rPr>
          <w:rFonts w:ascii="仿宋" w:hAnsi="仿宋" w:eastAsia="仿宋"/>
          <w:sz w:val="24"/>
          <w:szCs w:val="24"/>
        </w:rPr>
      </w:pPr>
      <w:bookmarkStart w:id="180" w:name="_GoBack"/>
      <w:bookmarkEnd w:id="180"/>
      <w:r>
        <w:rPr>
          <w:rFonts w:ascii="仿宋" w:hAnsi="仿宋" w:eastAsia="仿宋"/>
          <w:color w:val="FF0000"/>
          <w:sz w:val="28"/>
          <w:szCs w:val="28"/>
        </w:rPr>
        <w:br w:type="page"/>
      </w:r>
      <w:r>
        <w:rPr>
          <w:rFonts w:hint="eastAsia" w:ascii="仿宋" w:hAnsi="仿宋" w:eastAsia="仿宋"/>
          <w:b/>
          <w:sz w:val="44"/>
          <w:szCs w:val="44"/>
        </w:rPr>
        <w:t>公开询价项目介绍</w:t>
      </w:r>
      <w:bookmarkEnd w:id="45"/>
    </w:p>
    <w:tbl>
      <w:tblPr>
        <w:tblStyle w:val="24"/>
        <w:tblW w:w="5018" w:type="pct"/>
        <w:tblInd w:w="0" w:type="dxa"/>
        <w:tblLayout w:type="autofit"/>
        <w:tblCellMar>
          <w:top w:w="0" w:type="dxa"/>
          <w:left w:w="108" w:type="dxa"/>
          <w:bottom w:w="0" w:type="dxa"/>
          <w:right w:w="108" w:type="dxa"/>
        </w:tblCellMar>
      </w:tblPr>
      <w:tblGrid>
        <w:gridCol w:w="627"/>
        <w:gridCol w:w="1746"/>
        <w:gridCol w:w="1421"/>
        <w:gridCol w:w="991"/>
        <w:gridCol w:w="712"/>
        <w:gridCol w:w="1132"/>
        <w:gridCol w:w="1280"/>
        <w:gridCol w:w="1276"/>
        <w:gridCol w:w="847"/>
      </w:tblGrid>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87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0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rPr>
              <w:t>规格型号           （技术参数）</w:t>
            </w:r>
            <w:bookmarkEnd w:id="47"/>
          </w:p>
        </w:tc>
        <w:tc>
          <w:tcPr>
            <w:tcW w:w="49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5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56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      （元）</w:t>
            </w:r>
          </w:p>
        </w:tc>
        <w:tc>
          <w:tcPr>
            <w:tcW w:w="63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  （元）</w:t>
            </w:r>
          </w:p>
        </w:tc>
        <w:tc>
          <w:tcPr>
            <w:tcW w:w="6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      供样品</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1</w:t>
            </w:r>
          </w:p>
        </w:tc>
        <w:tc>
          <w:tcPr>
            <w:tcW w:w="870"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机构运动简图测绘模型</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ascii="仿宋" w:hAnsi="仿宋" w:eastAsia="仿宋"/>
                <w:szCs w:val="21"/>
              </w:rPr>
              <w:t>CQJ-B</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 w:val="20"/>
                <w:szCs w:val="20"/>
              </w:rPr>
              <w:t>套</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1</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686"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2</w:t>
            </w:r>
          </w:p>
        </w:tc>
        <w:tc>
          <w:tcPr>
            <w:tcW w:w="870"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机构运动简图测绘模型</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ascii="仿宋" w:hAnsi="仿宋" w:eastAsia="仿宋"/>
                <w:szCs w:val="21"/>
              </w:rPr>
              <w:t>CQJ-D/Fe</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 w:val="20"/>
                <w:szCs w:val="20"/>
              </w:rPr>
              <w:t>套</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1</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3</w:t>
            </w:r>
          </w:p>
        </w:tc>
        <w:tc>
          <w:tcPr>
            <w:tcW w:w="870"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机构运动简图测绘模型</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hint="eastAsia" w:ascii="仿宋" w:hAnsi="仿宋" w:eastAsia="仿宋"/>
                <w:szCs w:val="21"/>
              </w:rPr>
              <w:t>BR-CH(F型)</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 w:val="20"/>
                <w:szCs w:val="20"/>
              </w:rPr>
              <w:t>套</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1</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4</w:t>
            </w:r>
          </w:p>
        </w:tc>
        <w:tc>
          <w:tcPr>
            <w:tcW w:w="870" w:type="pct"/>
            <w:tcBorders>
              <w:top w:val="single" w:color="auto" w:sz="4" w:space="0"/>
              <w:left w:val="nil"/>
              <w:bottom w:val="single" w:color="auto" w:sz="4" w:space="0"/>
              <w:right w:val="single" w:color="auto" w:sz="4" w:space="0"/>
            </w:tcBorders>
            <w:vAlign w:val="center"/>
          </w:tcPr>
          <w:p>
            <w:pPr>
              <w:rPr>
                <w:rFonts w:hint="eastAsia" w:ascii="仿宋" w:hAnsi="仿宋" w:eastAsia="仿宋" w:cs="Tahoma"/>
                <w:b/>
                <w:bCs/>
                <w:color w:val="000000"/>
                <w:sz w:val="20"/>
                <w:szCs w:val="20"/>
              </w:rPr>
            </w:pPr>
            <w:r>
              <w:rPr>
                <w:rFonts w:hint="eastAsia" w:ascii="仿宋" w:hAnsi="仿宋" w:eastAsia="仿宋"/>
                <w:szCs w:val="21"/>
              </w:rPr>
              <w:t>公差与技术测量组合装置Ⅰ</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ascii="仿宋" w:hAnsi="仿宋" w:eastAsia="仿宋"/>
                <w:szCs w:val="21"/>
              </w:rPr>
              <w:t>JY201</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 w:val="20"/>
                <w:szCs w:val="20"/>
              </w:rPr>
              <w:t>套</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2</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5</w:t>
            </w:r>
          </w:p>
        </w:tc>
        <w:tc>
          <w:tcPr>
            <w:tcW w:w="870" w:type="pct"/>
            <w:tcBorders>
              <w:top w:val="single" w:color="auto" w:sz="4" w:space="0"/>
              <w:left w:val="nil"/>
              <w:bottom w:val="single" w:color="auto" w:sz="4" w:space="0"/>
              <w:right w:val="single" w:color="auto" w:sz="4" w:space="0"/>
            </w:tcBorders>
            <w:vAlign w:val="center"/>
          </w:tcPr>
          <w:p>
            <w:pPr>
              <w:rPr>
                <w:rFonts w:hint="eastAsia" w:ascii="仿宋" w:hAnsi="仿宋" w:eastAsia="仿宋" w:cs="Tahoma"/>
                <w:b/>
                <w:bCs/>
                <w:color w:val="000000"/>
                <w:sz w:val="20"/>
                <w:szCs w:val="20"/>
              </w:rPr>
            </w:pPr>
            <w:r>
              <w:rPr>
                <w:rFonts w:hint="eastAsia" w:ascii="仿宋" w:hAnsi="仿宋" w:eastAsia="仿宋"/>
                <w:szCs w:val="21"/>
              </w:rPr>
              <w:t>公差与技术测量组合装置Ⅱ</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ascii="仿宋" w:hAnsi="仿宋" w:eastAsia="仿宋"/>
                <w:szCs w:val="21"/>
              </w:rPr>
              <w:t>JY202</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 w:val="20"/>
                <w:szCs w:val="20"/>
              </w:rPr>
              <w:t>套</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2</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6</w:t>
            </w:r>
          </w:p>
        </w:tc>
        <w:tc>
          <w:tcPr>
            <w:tcW w:w="870" w:type="pct"/>
            <w:tcBorders>
              <w:top w:val="single" w:color="auto" w:sz="4" w:space="0"/>
              <w:left w:val="nil"/>
              <w:bottom w:val="single" w:color="auto" w:sz="4" w:space="0"/>
              <w:right w:val="single" w:color="auto" w:sz="4" w:space="0"/>
            </w:tcBorders>
            <w:vAlign w:val="center"/>
          </w:tcPr>
          <w:p>
            <w:pPr>
              <w:rPr>
                <w:rFonts w:hint="eastAsia" w:ascii="仿宋" w:hAnsi="仿宋" w:eastAsia="仿宋" w:cs="Tahoma"/>
                <w:b/>
                <w:bCs/>
                <w:color w:val="000000"/>
                <w:sz w:val="20"/>
                <w:szCs w:val="20"/>
              </w:rPr>
            </w:pPr>
            <w:r>
              <w:rPr>
                <w:rFonts w:hint="eastAsia" w:ascii="仿宋" w:hAnsi="仿宋" w:eastAsia="仿宋"/>
                <w:szCs w:val="21"/>
              </w:rPr>
              <w:t>WP蜗轮蜗杆减速机</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hint="eastAsia" w:ascii="仿宋" w:hAnsi="仿宋" w:eastAsia="仿宋"/>
                <w:szCs w:val="21"/>
              </w:rPr>
              <w:t>WPA120</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台</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2</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7</w:t>
            </w:r>
          </w:p>
        </w:tc>
        <w:tc>
          <w:tcPr>
            <w:tcW w:w="870" w:type="pct"/>
            <w:tcBorders>
              <w:top w:val="single" w:color="auto" w:sz="4" w:space="0"/>
              <w:left w:val="nil"/>
              <w:bottom w:val="single" w:color="auto" w:sz="4" w:space="0"/>
              <w:right w:val="single" w:color="auto" w:sz="4" w:space="0"/>
            </w:tcBorders>
            <w:vAlign w:val="center"/>
          </w:tcPr>
          <w:p>
            <w:pPr>
              <w:rPr>
                <w:rFonts w:hint="eastAsia" w:ascii="仿宋" w:hAnsi="仿宋" w:eastAsia="仿宋" w:cs="Tahoma"/>
                <w:b/>
                <w:bCs/>
                <w:color w:val="000000"/>
                <w:sz w:val="20"/>
                <w:szCs w:val="20"/>
              </w:rPr>
            </w:pPr>
            <w:r>
              <w:rPr>
                <w:rFonts w:hint="eastAsia" w:ascii="仿宋" w:hAnsi="仿宋" w:eastAsia="仿宋"/>
                <w:szCs w:val="21"/>
              </w:rPr>
              <w:t>齿轮减速机</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hint="eastAsia" w:ascii="仿宋" w:hAnsi="仿宋" w:eastAsia="仿宋"/>
                <w:szCs w:val="21"/>
              </w:rPr>
              <w:t>JZQ250型</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台</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2</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8</w:t>
            </w:r>
          </w:p>
        </w:tc>
        <w:tc>
          <w:tcPr>
            <w:tcW w:w="870" w:type="pct"/>
            <w:tcBorders>
              <w:top w:val="single" w:color="auto" w:sz="4" w:space="0"/>
              <w:left w:val="nil"/>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T型转向器减速机</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hint="eastAsia" w:ascii="仿宋" w:hAnsi="仿宋" w:eastAsia="仿宋"/>
                <w:szCs w:val="21"/>
              </w:rPr>
              <w:t>T8单轴 轴径40</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台</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2</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9</w:t>
            </w:r>
          </w:p>
        </w:tc>
        <w:tc>
          <w:tcPr>
            <w:tcW w:w="870" w:type="pct"/>
            <w:tcBorders>
              <w:top w:val="single" w:color="auto" w:sz="4" w:space="0"/>
              <w:left w:val="nil"/>
              <w:bottom w:val="single" w:color="auto" w:sz="4" w:space="0"/>
              <w:right w:val="single" w:color="auto" w:sz="4" w:space="0"/>
            </w:tcBorders>
            <w:vAlign w:val="center"/>
          </w:tcPr>
          <w:p>
            <w:pPr>
              <w:rPr>
                <w:rFonts w:hint="eastAsia" w:ascii="仿宋" w:hAnsi="仿宋" w:eastAsia="仿宋" w:cs="Tahoma"/>
                <w:b/>
                <w:bCs/>
                <w:color w:val="000000"/>
                <w:sz w:val="20"/>
                <w:szCs w:val="20"/>
              </w:rPr>
            </w:pPr>
            <w:r>
              <w:rPr>
                <w:rFonts w:hint="eastAsia" w:ascii="仿宋" w:hAnsi="仿宋" w:eastAsia="仿宋"/>
                <w:szCs w:val="21"/>
              </w:rPr>
              <w:t>精密斜齿行星减速机</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hint="eastAsia" w:ascii="仿宋" w:hAnsi="仿宋" w:eastAsia="仿宋"/>
                <w:szCs w:val="21"/>
              </w:rPr>
              <w:t>PAB060 速比15-70</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台</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2</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10</w:t>
            </w:r>
          </w:p>
        </w:tc>
        <w:tc>
          <w:tcPr>
            <w:tcW w:w="870" w:type="pct"/>
            <w:tcBorders>
              <w:top w:val="single" w:color="auto" w:sz="4" w:space="0"/>
              <w:left w:val="nil"/>
              <w:bottom w:val="single" w:color="auto" w:sz="4" w:space="0"/>
              <w:right w:val="single" w:color="auto" w:sz="4" w:space="0"/>
            </w:tcBorders>
            <w:vAlign w:val="center"/>
          </w:tcPr>
          <w:p>
            <w:pPr>
              <w:rPr>
                <w:rFonts w:hint="eastAsia" w:ascii="仿宋" w:hAnsi="仿宋" w:eastAsia="仿宋" w:cs="Tahoma"/>
                <w:b/>
                <w:bCs/>
                <w:color w:val="000000"/>
                <w:sz w:val="20"/>
                <w:szCs w:val="20"/>
              </w:rPr>
            </w:pPr>
            <w:r>
              <w:rPr>
                <w:rFonts w:hint="eastAsia" w:ascii="仿宋" w:hAnsi="仿宋" w:eastAsia="仿宋"/>
                <w:szCs w:val="21"/>
              </w:rPr>
              <w:t>齿轮范成仪</w:t>
            </w:r>
          </w:p>
        </w:tc>
        <w:tc>
          <w:tcPr>
            <w:tcW w:w="708" w:type="pct"/>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Tahoma"/>
                <w:b/>
                <w:bCs/>
                <w:color w:val="000000"/>
                <w:sz w:val="20"/>
                <w:szCs w:val="20"/>
              </w:rPr>
            </w:pPr>
            <w:r>
              <w:rPr>
                <w:rFonts w:ascii="仿宋" w:hAnsi="仿宋" w:eastAsia="仿宋"/>
                <w:szCs w:val="21"/>
              </w:rPr>
              <w:t>BR-F01</w:t>
            </w:r>
          </w:p>
        </w:tc>
        <w:tc>
          <w:tcPr>
            <w:tcW w:w="49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件</w:t>
            </w:r>
          </w:p>
        </w:tc>
        <w:tc>
          <w:tcPr>
            <w:tcW w:w="35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szCs w:val="21"/>
              </w:rPr>
              <w:t>5</w:t>
            </w:r>
          </w:p>
        </w:tc>
        <w:tc>
          <w:tcPr>
            <w:tcW w:w="564"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8"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63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Cs/>
                <w:color w:val="000000" w:themeColor="text1"/>
                <w:sz w:val="20"/>
                <w:szCs w:val="20"/>
                <w14:textFill>
                  <w14:solidFill>
                    <w14:schemeClr w14:val="tx1"/>
                  </w14:solidFill>
                </w14:textFill>
              </w:rPr>
            </w:pPr>
            <w:r>
              <w:rPr>
                <w:rFonts w:hint="eastAsia" w:ascii="仿宋" w:hAnsi="仿宋" w:eastAsia="仿宋" w:cs="Tahoma"/>
                <w:bCs/>
                <w:color w:val="000000" w:themeColor="text1"/>
                <w:sz w:val="20"/>
                <w:szCs w:val="20"/>
                <w14:textFill>
                  <w14:solidFill>
                    <w14:schemeClr w14:val="tx1"/>
                  </w14:solidFill>
                </w14:textFill>
              </w:rPr>
              <w:t>否</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Cs/>
                <w:color w:val="000000"/>
                <w:sz w:val="20"/>
                <w:szCs w:val="20"/>
              </w:rPr>
            </w:pPr>
          </w:p>
        </w:tc>
      </w:tr>
      <w:tr>
        <w:tblPrEx>
          <w:tblCellMar>
            <w:top w:w="0" w:type="dxa"/>
            <w:left w:w="108" w:type="dxa"/>
            <w:bottom w:w="0" w:type="dxa"/>
            <w:right w:w="108" w:type="dxa"/>
          </w:tblCellMar>
        </w:tblPrEx>
        <w:trPr>
          <w:trHeight w:val="665" w:hRule="atLeast"/>
        </w:trPr>
        <w:tc>
          <w:tcPr>
            <w:tcW w:w="2740"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合计</w:t>
            </w:r>
          </w:p>
        </w:tc>
        <w:tc>
          <w:tcPr>
            <w:tcW w:w="2260" w:type="pct"/>
            <w:gridSpan w:val="4"/>
            <w:tcBorders>
              <w:top w:val="single" w:color="auto" w:sz="4" w:space="0"/>
              <w:left w:val="nil"/>
              <w:bottom w:val="single" w:color="auto" w:sz="4" w:space="0"/>
              <w:right w:val="single" w:color="auto" w:sz="4" w:space="0"/>
            </w:tcBorders>
            <w:vAlign w:val="center"/>
          </w:tcPr>
          <w:p>
            <w:pPr>
              <w:rPr>
                <w:rFonts w:ascii="仿宋" w:hAnsi="仿宋" w:eastAsia="仿宋"/>
                <w:sz w:val="15"/>
                <w:szCs w:val="15"/>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ind w:left="480" w:hanging="480" w:hangingChars="200"/>
        <w:jc w:val="left"/>
        <w:rPr>
          <w:rFonts w:ascii="仿宋" w:hAnsi="仿宋" w:eastAsia="仿宋"/>
          <w:b/>
          <w:color w:val="FF0000"/>
          <w:sz w:val="36"/>
          <w:szCs w:val="36"/>
        </w:rPr>
      </w:pPr>
      <w:r>
        <w:rPr>
          <w:rFonts w:hint="eastAsia" w:ascii="仿宋" w:eastAsia="仿宋"/>
          <w:sz w:val="24"/>
          <w:szCs w:val="24"/>
        </w:rPr>
        <w:t>4） 付款方式为设备到货初验合格后二十个工作日内支付合同金额50%，验收合格后二十个工作日内支付合同金额45%，余款5%作为质保金在验收合格日算起一年后经二次验收合格后退还（乙方须提供申请退还质保金函）。</w:t>
      </w:r>
    </w:p>
    <w:p>
      <w:pPr>
        <w:rPr>
          <w:rFonts w:ascii="仿宋" w:hAnsi="仿宋" w:eastAsia="仿宋"/>
          <w:b/>
          <w:color w:val="FF0000"/>
          <w:sz w:val="36"/>
          <w:szCs w:val="36"/>
        </w:rPr>
        <w:sectPr>
          <w:headerReference r:id="rId4" w:type="first"/>
          <w:headerReference r:id="rId3"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广东白云学院</w:t>
      </w: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关于工程制图实验室设备项目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参与人手机号码：X</w:t>
      </w:r>
      <w:r>
        <w:rPr>
          <w:rFonts w:ascii="仿宋" w:hAnsi="仿宋" w:eastAsia="仿宋"/>
          <w:b/>
          <w:sz w:val="36"/>
          <w:szCs w:val="36"/>
        </w:rPr>
        <w:t>XXX</w:t>
      </w: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6" w:type="first"/>
          <w:headerReference r:id="rId5"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8" w:name="_Toc160880160"/>
      <w:bookmarkStart w:id="49" w:name="_Toc160880529"/>
      <w:bookmarkStart w:id="50" w:name="_Toc169332838"/>
      <w:bookmarkStart w:id="51" w:name="_Toc169332949"/>
      <w:bookmarkStart w:id="52" w:name="_Toc170798793"/>
      <w:bookmarkStart w:id="53" w:name="_Toc177985469"/>
      <w:bookmarkStart w:id="54" w:name="_Toc180302913"/>
      <w:bookmarkStart w:id="55" w:name="_Toc181436461"/>
      <w:bookmarkStart w:id="56" w:name="_Toc181436565"/>
      <w:bookmarkStart w:id="57" w:name="_Toc182372782"/>
      <w:bookmarkStart w:id="58" w:name="_Toc182805217"/>
      <w:bookmarkStart w:id="59" w:name="_Toc191783222"/>
      <w:bookmarkStart w:id="60" w:name="_Toc191789329"/>
      <w:bookmarkStart w:id="61" w:name="_Toc191802690"/>
      <w:bookmarkStart w:id="62" w:name="_Toc191803626"/>
      <w:bookmarkStart w:id="63" w:name="_Toc192663686"/>
      <w:bookmarkStart w:id="64" w:name="_Toc192663835"/>
      <w:bookmarkStart w:id="65" w:name="_Toc192664153"/>
      <w:bookmarkStart w:id="66" w:name="_Toc192996338"/>
      <w:bookmarkStart w:id="67" w:name="_Toc192996446"/>
      <w:bookmarkStart w:id="68" w:name="_Toc193160448"/>
      <w:bookmarkStart w:id="69" w:name="_Toc193165734"/>
      <w:bookmarkStart w:id="70" w:name="_Toc203355733"/>
      <w:bookmarkStart w:id="71" w:name="_Toc211917116"/>
      <w:bookmarkStart w:id="72" w:name="_Toc213208766"/>
      <w:bookmarkStart w:id="73" w:name="_Toc213755858"/>
      <w:bookmarkStart w:id="74" w:name="_Toc213755939"/>
      <w:bookmarkStart w:id="75" w:name="_Toc213755995"/>
      <w:bookmarkStart w:id="76" w:name="_Toc213756051"/>
      <w:bookmarkStart w:id="77" w:name="_Toc217891402"/>
      <w:bookmarkStart w:id="78" w:name="_Toc219800243"/>
      <w:bookmarkStart w:id="79" w:name="_Toc223146608"/>
      <w:bookmarkStart w:id="80" w:name="_Toc225669322"/>
      <w:bookmarkStart w:id="81" w:name="_Toc227058530"/>
      <w:bookmarkStart w:id="82" w:name="_Toc230071147"/>
      <w:bookmarkStart w:id="83" w:name="_Toc232302115"/>
      <w:bookmarkStart w:id="84" w:name="_Toc235437991"/>
      <w:bookmarkStart w:id="85" w:name="_Toc235438274"/>
      <w:bookmarkStart w:id="86" w:name="_Toc235438344"/>
      <w:bookmarkStart w:id="87" w:name="_Toc236021449"/>
      <w:bookmarkStart w:id="88" w:name="_Toc249325711"/>
      <w:bookmarkStart w:id="89" w:name="_Toc251586231"/>
      <w:bookmarkStart w:id="90" w:name="_Toc251613829"/>
      <w:bookmarkStart w:id="91" w:name="_Toc253066614"/>
      <w:bookmarkStart w:id="92" w:name="_Toc254790899"/>
      <w:bookmarkStart w:id="93" w:name="_Toc255975007"/>
      <w:bookmarkStart w:id="94" w:name="_Toc258401256"/>
      <w:bookmarkStart w:id="95" w:name="_Toc259520865"/>
      <w:bookmarkStart w:id="96" w:name="_Toc259692647"/>
      <w:bookmarkStart w:id="97" w:name="_Toc259692740"/>
      <w:bookmarkStart w:id="98" w:name="_Toc266868670"/>
      <w:bookmarkStart w:id="99" w:name="_Toc266868937"/>
      <w:bookmarkStart w:id="100" w:name="_Toc266870432"/>
      <w:bookmarkStart w:id="101" w:name="_Toc266870833"/>
      <w:bookmarkStart w:id="102" w:name="_Toc266870907"/>
      <w:bookmarkStart w:id="103" w:name="_Toc267059030"/>
      <w:bookmarkStart w:id="104" w:name="_Toc267059181"/>
      <w:bookmarkStart w:id="105" w:name="_Toc267059539"/>
      <w:bookmarkStart w:id="106" w:name="_Toc267059653"/>
      <w:bookmarkStart w:id="107" w:name="_Toc267059806"/>
      <w:bookmarkStart w:id="108" w:name="_Toc267059919"/>
      <w:bookmarkStart w:id="109" w:name="_Toc267060068"/>
      <w:bookmarkStart w:id="110" w:name="_Toc267060208"/>
      <w:bookmarkStart w:id="111" w:name="_Toc267060321"/>
      <w:bookmarkStart w:id="112" w:name="_Toc267060453"/>
      <w:bookmarkStart w:id="113" w:name="_Toc273178698"/>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致：广东白云学院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8" w:type="first"/>
          <w:headerReference r:id="rId7" w:type="default"/>
          <w:footerReference r:id="rId9"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160880534"/>
      <w:bookmarkStart w:id="115" w:name="_Toc169332843"/>
      <w:bookmarkStart w:id="116" w:name="_Toc169332954"/>
      <w:bookmarkStart w:id="117" w:name="_Toc170798798"/>
      <w:bookmarkStart w:id="118" w:name="_Toc177985474"/>
      <w:bookmarkStart w:id="119" w:name="_Toc251613839"/>
      <w:bookmarkStart w:id="120" w:name="_Toc180302918"/>
      <w:bookmarkStart w:id="121" w:name="_Toc181436466"/>
      <w:bookmarkStart w:id="122" w:name="_Toc181436570"/>
      <w:bookmarkStart w:id="123" w:name="_Toc182372787"/>
      <w:bookmarkStart w:id="124" w:name="_Toc182805222"/>
      <w:bookmarkStart w:id="125" w:name="_Toc191783227"/>
      <w:bookmarkStart w:id="126" w:name="_Toc191789334"/>
      <w:bookmarkStart w:id="127" w:name="_Toc191802695"/>
      <w:bookmarkStart w:id="128" w:name="_Toc191803631"/>
      <w:bookmarkStart w:id="129" w:name="_Toc192663691"/>
      <w:bookmarkStart w:id="130" w:name="_Toc192663840"/>
      <w:bookmarkStart w:id="131" w:name="_Toc192664158"/>
      <w:bookmarkStart w:id="132" w:name="_Toc192996343"/>
      <w:bookmarkStart w:id="133" w:name="_Toc253066624"/>
      <w:bookmarkStart w:id="134" w:name="_Toc192996451"/>
      <w:bookmarkStart w:id="135" w:name="_Toc193160453"/>
      <w:bookmarkStart w:id="136" w:name="_Toc193165739"/>
      <w:bookmarkStart w:id="137" w:name="_Toc203355738"/>
      <w:bookmarkStart w:id="138" w:name="_Toc211917121"/>
      <w:bookmarkStart w:id="139" w:name="_Toc213755864"/>
      <w:bookmarkStart w:id="140" w:name="_Toc213755945"/>
      <w:bookmarkStart w:id="141" w:name="_Toc213756001"/>
      <w:bookmarkStart w:id="142" w:name="_Toc213756057"/>
      <w:bookmarkStart w:id="143" w:name="_Toc217891408"/>
      <w:bookmarkStart w:id="144" w:name="_Toc219800249"/>
      <w:bookmarkStart w:id="145" w:name="_Toc223146614"/>
      <w:bookmarkStart w:id="146" w:name="_Toc225669328"/>
      <w:bookmarkStart w:id="147" w:name="_Toc227058536"/>
      <w:bookmarkStart w:id="148" w:name="_Toc230071153"/>
      <w:bookmarkStart w:id="149" w:name="_Toc232302122"/>
      <w:bookmarkStart w:id="150" w:name="_Toc235437998"/>
      <w:bookmarkStart w:id="151" w:name="_Toc235438281"/>
      <w:bookmarkStart w:id="152" w:name="_Toc235438352"/>
      <w:bookmarkStart w:id="153" w:name="_Toc236021457"/>
      <w:bookmarkStart w:id="154" w:name="_Toc160880165"/>
      <w:bookmarkStart w:id="155" w:name="_Toc213208771"/>
      <w:bookmarkStart w:id="156" w:name="_Toc249325720"/>
      <w:bookmarkStart w:id="157" w:name="_Toc251586241"/>
      <w:bookmarkStart w:id="158" w:name="_Toc254790909"/>
      <w:bookmarkStart w:id="159" w:name="_Toc255975016"/>
      <w:bookmarkStart w:id="160" w:name="_Toc258401265"/>
      <w:bookmarkStart w:id="161" w:name="_Toc259520874"/>
      <w:bookmarkStart w:id="162" w:name="_Toc259692656"/>
      <w:bookmarkStart w:id="163" w:name="_Toc259692749"/>
      <w:bookmarkStart w:id="164" w:name="_Toc266868679"/>
      <w:bookmarkStart w:id="165" w:name="_Toc266868943"/>
      <w:bookmarkStart w:id="166" w:name="_Toc266870441"/>
      <w:bookmarkStart w:id="167" w:name="_Toc266870839"/>
      <w:bookmarkStart w:id="168" w:name="_Toc266870916"/>
      <w:bookmarkStart w:id="169" w:name="_Toc267059035"/>
      <w:bookmarkStart w:id="170" w:name="_Toc267059186"/>
      <w:bookmarkStart w:id="171" w:name="_Toc267059544"/>
      <w:bookmarkStart w:id="172" w:name="_Toc267059658"/>
      <w:bookmarkStart w:id="173" w:name="_Toc267059811"/>
      <w:bookmarkStart w:id="174" w:name="_Toc267059924"/>
      <w:bookmarkStart w:id="175" w:name="_Toc267060076"/>
      <w:bookmarkStart w:id="176" w:name="_Toc267060216"/>
      <w:bookmarkStart w:id="177" w:name="_Toc267060326"/>
      <w:bookmarkStart w:id="178" w:name="_Toc267060461"/>
      <w:bookmarkStart w:id="179" w:name="_Toc273178703"/>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r>
              <w:rPr>
                <w:b/>
                <w:bCs/>
                <w:sz w:val="24"/>
                <w:szCs w:val="24"/>
              </w:rPr>
              <w:t xml:space="preserve">        </w:t>
            </w:r>
          </w:p>
          <w:p>
            <w:pPr>
              <w:pStyle w:val="17"/>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1312" behindDoc="0" locked="0" layoutInCell="1" allowOverlap="1">
          <wp:simplePos x="0" y="0"/>
          <wp:positionH relativeFrom="column">
            <wp:posOffset>2251710</wp:posOffset>
          </wp:positionH>
          <wp:positionV relativeFrom="paragraph">
            <wp:posOffset>-247650</wp:posOffset>
          </wp:positionV>
          <wp:extent cx="1701800" cy="354965"/>
          <wp:effectExtent l="0" t="0" r="0" b="6985"/>
          <wp:wrapSquare wrapText="bothSides"/>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2413635</wp:posOffset>
          </wp:positionH>
          <wp:positionV relativeFrom="paragraph">
            <wp:posOffset>-295275</wp:posOffset>
          </wp:positionV>
          <wp:extent cx="1701800" cy="354965"/>
          <wp:effectExtent l="0" t="0" r="0" b="6985"/>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3360" behindDoc="0" locked="0" layoutInCell="1" allowOverlap="1">
          <wp:simplePos x="0" y="0"/>
          <wp:positionH relativeFrom="column">
            <wp:posOffset>2133600</wp:posOffset>
          </wp:positionH>
          <wp:positionV relativeFrom="paragraph">
            <wp:posOffset>-238125</wp:posOffset>
          </wp:positionV>
          <wp:extent cx="1701800" cy="354965"/>
          <wp:effectExtent l="0" t="0" r="0" b="6985"/>
          <wp:wrapSquare wrapText="bothSides"/>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5408" behindDoc="0" locked="0" layoutInCell="1" allowOverlap="1">
          <wp:simplePos x="0" y="0"/>
          <wp:positionH relativeFrom="column">
            <wp:posOffset>2085975</wp:posOffset>
          </wp:positionH>
          <wp:positionV relativeFrom="paragraph">
            <wp:posOffset>-266700</wp:posOffset>
          </wp:positionV>
          <wp:extent cx="1701800" cy="354965"/>
          <wp:effectExtent l="0" t="0" r="0" b="6985"/>
          <wp:wrapSquare wrapText="bothSides"/>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7456" behindDoc="0" locked="0" layoutInCell="1" allowOverlap="1">
          <wp:simplePos x="0" y="0"/>
          <wp:positionH relativeFrom="column">
            <wp:posOffset>2143125</wp:posOffset>
          </wp:positionH>
          <wp:positionV relativeFrom="paragraph">
            <wp:posOffset>-238125</wp:posOffset>
          </wp:positionV>
          <wp:extent cx="1701800" cy="354965"/>
          <wp:effectExtent l="0" t="0" r="0" b="6985"/>
          <wp:wrapSquare wrapText="bothSides"/>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90B6E"/>
    <w:rsid w:val="001A5B43"/>
    <w:rsid w:val="001B719E"/>
    <w:rsid w:val="001C6943"/>
    <w:rsid w:val="00234324"/>
    <w:rsid w:val="00235C32"/>
    <w:rsid w:val="00244E90"/>
    <w:rsid w:val="002657F7"/>
    <w:rsid w:val="002772BB"/>
    <w:rsid w:val="002A0474"/>
    <w:rsid w:val="002A633A"/>
    <w:rsid w:val="002C2C3D"/>
    <w:rsid w:val="002C2ED7"/>
    <w:rsid w:val="002C4297"/>
    <w:rsid w:val="002F6013"/>
    <w:rsid w:val="00320C30"/>
    <w:rsid w:val="00334E6F"/>
    <w:rsid w:val="003570A0"/>
    <w:rsid w:val="003C60EF"/>
    <w:rsid w:val="003E6439"/>
    <w:rsid w:val="003F20A6"/>
    <w:rsid w:val="00404FA2"/>
    <w:rsid w:val="0040784A"/>
    <w:rsid w:val="00420752"/>
    <w:rsid w:val="004242F4"/>
    <w:rsid w:val="0043243C"/>
    <w:rsid w:val="00441955"/>
    <w:rsid w:val="00447890"/>
    <w:rsid w:val="004B66B1"/>
    <w:rsid w:val="004F6AE0"/>
    <w:rsid w:val="00502F52"/>
    <w:rsid w:val="00546E8A"/>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24E76"/>
    <w:rsid w:val="00A40610"/>
    <w:rsid w:val="00A40A87"/>
    <w:rsid w:val="00A4220E"/>
    <w:rsid w:val="00A44A63"/>
    <w:rsid w:val="00A45704"/>
    <w:rsid w:val="00A64A5B"/>
    <w:rsid w:val="00AD29A3"/>
    <w:rsid w:val="00AF3C2A"/>
    <w:rsid w:val="00B11BCD"/>
    <w:rsid w:val="00B14C37"/>
    <w:rsid w:val="00B51EE9"/>
    <w:rsid w:val="00B54440"/>
    <w:rsid w:val="00B554E7"/>
    <w:rsid w:val="00B556FC"/>
    <w:rsid w:val="00B7278F"/>
    <w:rsid w:val="00B83714"/>
    <w:rsid w:val="00BA00CA"/>
    <w:rsid w:val="00BD49FB"/>
    <w:rsid w:val="00BD51D2"/>
    <w:rsid w:val="00BD7232"/>
    <w:rsid w:val="00BE1921"/>
    <w:rsid w:val="00C035B5"/>
    <w:rsid w:val="00C66E1E"/>
    <w:rsid w:val="00C676BA"/>
    <w:rsid w:val="00C81AB4"/>
    <w:rsid w:val="00C857BF"/>
    <w:rsid w:val="00CA25CB"/>
    <w:rsid w:val="00CA4B03"/>
    <w:rsid w:val="00CA6CB6"/>
    <w:rsid w:val="00CA786D"/>
    <w:rsid w:val="00D2102C"/>
    <w:rsid w:val="00D260D0"/>
    <w:rsid w:val="00D36D52"/>
    <w:rsid w:val="00D5681D"/>
    <w:rsid w:val="00D56DEA"/>
    <w:rsid w:val="00D60F0E"/>
    <w:rsid w:val="00E11567"/>
    <w:rsid w:val="00E3310A"/>
    <w:rsid w:val="00E33B9E"/>
    <w:rsid w:val="00E33C1C"/>
    <w:rsid w:val="00E34C27"/>
    <w:rsid w:val="00E47041"/>
    <w:rsid w:val="00E76DE8"/>
    <w:rsid w:val="00E77225"/>
    <w:rsid w:val="00E95973"/>
    <w:rsid w:val="00ED2437"/>
    <w:rsid w:val="00EE3803"/>
    <w:rsid w:val="00F0149B"/>
    <w:rsid w:val="00F21640"/>
    <w:rsid w:val="00F2422C"/>
    <w:rsid w:val="00F8646A"/>
    <w:rsid w:val="00F876DE"/>
    <w:rsid w:val="00FF1750"/>
    <w:rsid w:val="00FF655F"/>
    <w:rsid w:val="246B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uiPriority w:val="0"/>
    <w:rPr>
      <w:rFonts w:hAnsi="Courier New" w:cs="Courier New" w:asciiTheme="minorEastAsia"/>
    </w:rPr>
  </w:style>
  <w:style w:type="paragraph" w:styleId="16">
    <w:name w:val="Balloon Text"/>
    <w:basedOn w:val="1"/>
    <w:link w:val="61"/>
    <w:semiHidden/>
    <w:unhideWhenUsed/>
    <w:uiPriority w:val="99"/>
    <w:pPr>
      <w:spacing w:after="0" w:line="240" w:lineRule="auto"/>
    </w:pPr>
    <w:rPr>
      <w:sz w:val="18"/>
      <w:szCs w:val="18"/>
    </w:rPr>
  </w:style>
  <w:style w:type="paragraph" w:styleId="17">
    <w:name w:val="footer"/>
    <w:basedOn w:val="1"/>
    <w:link w:val="54"/>
    <w:unhideWhenUsed/>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Char"/>
    <w:basedOn w:val="25"/>
    <w:link w:val="2"/>
    <w:uiPriority w:val="9"/>
    <w:rPr>
      <w:rFonts w:asciiTheme="majorHAnsi" w:hAnsiTheme="majorHAnsi" w:eastAsiaTheme="majorEastAsia" w:cstheme="majorBidi"/>
      <w:b/>
      <w:bCs/>
      <w:caps/>
      <w:spacing w:val="4"/>
      <w:sz w:val="28"/>
      <w:szCs w:val="28"/>
    </w:rPr>
  </w:style>
  <w:style w:type="character" w:customStyle="1" w:styleId="30">
    <w:name w:val="标题 2 Char"/>
    <w:basedOn w:val="25"/>
    <w:link w:val="3"/>
    <w:semiHidden/>
    <w:uiPriority w:val="9"/>
    <w:rPr>
      <w:rFonts w:asciiTheme="majorHAnsi" w:hAnsiTheme="majorHAnsi" w:eastAsiaTheme="majorEastAsia" w:cstheme="majorBidi"/>
      <w:b/>
      <w:bCs/>
      <w:sz w:val="28"/>
      <w:szCs w:val="28"/>
    </w:rPr>
  </w:style>
  <w:style w:type="character" w:customStyle="1" w:styleId="31">
    <w:name w:val="标题 3 Char"/>
    <w:basedOn w:val="25"/>
    <w:link w:val="4"/>
    <w:semiHidden/>
    <w:uiPriority w:val="9"/>
    <w:rPr>
      <w:rFonts w:asciiTheme="majorHAnsi" w:hAnsiTheme="majorHAnsi" w:eastAsiaTheme="majorEastAsia" w:cstheme="majorBidi"/>
      <w:spacing w:val="4"/>
      <w:sz w:val="24"/>
      <w:szCs w:val="24"/>
    </w:rPr>
  </w:style>
  <w:style w:type="character" w:customStyle="1" w:styleId="32">
    <w:name w:val="标题 4 Char"/>
    <w:basedOn w:val="25"/>
    <w:link w:val="5"/>
    <w:semiHidden/>
    <w:uiPriority w:val="9"/>
    <w:rPr>
      <w:rFonts w:asciiTheme="majorHAnsi" w:hAnsiTheme="majorHAnsi" w:eastAsiaTheme="majorEastAsia" w:cstheme="majorBidi"/>
      <w:i/>
      <w:iCs/>
      <w:sz w:val="24"/>
      <w:szCs w:val="24"/>
    </w:rPr>
  </w:style>
  <w:style w:type="character" w:customStyle="1" w:styleId="33">
    <w:name w:val="标题 5 Char"/>
    <w:basedOn w:val="25"/>
    <w:link w:val="6"/>
    <w:semiHidden/>
    <w:uiPriority w:val="9"/>
    <w:rPr>
      <w:rFonts w:asciiTheme="majorHAnsi" w:hAnsiTheme="majorHAnsi" w:eastAsiaTheme="majorEastAsia" w:cstheme="majorBidi"/>
      <w:b/>
      <w:bCs/>
    </w:rPr>
  </w:style>
  <w:style w:type="character" w:customStyle="1" w:styleId="34">
    <w:name w:val="标题 6 Char"/>
    <w:basedOn w:val="25"/>
    <w:link w:val="7"/>
    <w:semiHidden/>
    <w:uiPriority w:val="9"/>
    <w:rPr>
      <w:rFonts w:asciiTheme="majorHAnsi" w:hAnsiTheme="majorHAnsi" w:eastAsiaTheme="majorEastAsia" w:cstheme="majorBidi"/>
      <w:b/>
      <w:bCs/>
      <w:i/>
      <w:iCs/>
    </w:rPr>
  </w:style>
  <w:style w:type="character" w:customStyle="1" w:styleId="35">
    <w:name w:val="标题 7 Char"/>
    <w:basedOn w:val="25"/>
    <w:link w:val="8"/>
    <w:semiHidden/>
    <w:uiPriority w:val="9"/>
    <w:rPr>
      <w:i/>
      <w:iCs/>
    </w:rPr>
  </w:style>
  <w:style w:type="character" w:customStyle="1" w:styleId="36">
    <w:name w:val="标题 8 Char"/>
    <w:basedOn w:val="25"/>
    <w:link w:val="9"/>
    <w:semiHidden/>
    <w:uiPriority w:val="9"/>
    <w:rPr>
      <w:b/>
      <w:bCs/>
    </w:rPr>
  </w:style>
  <w:style w:type="character" w:customStyle="1" w:styleId="37">
    <w:name w:val="标题 9 Char"/>
    <w:basedOn w:val="25"/>
    <w:link w:val="10"/>
    <w:semiHidden/>
    <w:uiPriority w:val="9"/>
    <w:rPr>
      <w:i/>
      <w:iCs/>
    </w:rPr>
  </w:style>
  <w:style w:type="character" w:customStyle="1" w:styleId="38">
    <w:name w:val="标题 Char"/>
    <w:basedOn w:val="25"/>
    <w:link w:val="23"/>
    <w:uiPriority w:val="10"/>
    <w:rPr>
      <w:rFonts w:asciiTheme="majorHAnsi" w:hAnsiTheme="majorHAnsi" w:eastAsiaTheme="majorEastAsia" w:cstheme="majorBidi"/>
      <w:b/>
      <w:bCs/>
      <w:spacing w:val="-7"/>
      <w:sz w:val="48"/>
      <w:szCs w:val="48"/>
    </w:rPr>
  </w:style>
  <w:style w:type="character" w:customStyle="1" w:styleId="39">
    <w:name w:val="副标题 Char"/>
    <w:basedOn w:val="25"/>
    <w:link w:val="20"/>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5"/>
    <w:link w:val="41"/>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5"/>
    <w:link w:val="43"/>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Char"/>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Char"/>
    <w:basedOn w:val="25"/>
    <w:link w:val="18"/>
    <w:uiPriority w:val="99"/>
    <w:rPr>
      <w:sz w:val="18"/>
      <w:szCs w:val="18"/>
    </w:rPr>
  </w:style>
  <w:style w:type="character" w:customStyle="1" w:styleId="54">
    <w:name w:val="页脚 Char"/>
    <w:basedOn w:val="25"/>
    <w:link w:val="17"/>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5"/>
    <w:link w:val="21"/>
    <w:uiPriority w:val="0"/>
    <w:rPr>
      <w:rFonts w:ascii="Times New Roman" w:hAnsi="Times New Roman" w:eastAsia="宋体" w:cs="Times New Roman"/>
      <w:kern w:val="2"/>
      <w:sz w:val="16"/>
      <w:szCs w:val="16"/>
    </w:rPr>
  </w:style>
  <w:style w:type="paragraph" w:customStyle="1" w:styleId="57">
    <w:name w:val="样式3"/>
    <w:basedOn w:val="15"/>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5"/>
    <w:link w:val="15"/>
    <w:semiHidden/>
    <w:uiPriority w:val="99"/>
    <w:rPr>
      <w:rFonts w:hAnsi="Courier New" w:cs="Courier New" w:asciiTheme="minorEastAsia"/>
    </w:rPr>
  </w:style>
  <w:style w:type="character" w:customStyle="1" w:styleId="59">
    <w:name w:val="正文文本 Char"/>
    <w:basedOn w:val="25"/>
    <w:link w:val="13"/>
    <w:semiHidden/>
    <w:uiPriority w:val="99"/>
  </w:style>
  <w:style w:type="character" w:customStyle="1" w:styleId="60">
    <w:name w:val="纯文本 Char"/>
    <w:uiPriority w:val="0"/>
    <w:rPr>
      <w:rFonts w:ascii="宋体" w:hAnsi="Courier New" w:eastAsia="宋体"/>
      <w:kern w:val="2"/>
      <w:sz w:val="21"/>
      <w:lang w:val="en-US" w:eastAsia="zh-CN" w:bidi="ar-SA"/>
    </w:rPr>
  </w:style>
  <w:style w:type="character" w:customStyle="1" w:styleId="61">
    <w:name w:val="批注框文本 Char"/>
    <w:basedOn w:val="25"/>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8429A-9332-4E9A-8D4A-B558DA7850F1}">
  <ds:schemaRefs/>
</ds:datastoreItem>
</file>

<file path=docProps/app.xml><?xml version="1.0" encoding="utf-8"?>
<Properties xmlns="http://schemas.openxmlformats.org/officeDocument/2006/extended-properties" xmlns:vt="http://schemas.openxmlformats.org/officeDocument/2006/docPropsVTypes">
  <Template>Normal</Template>
  <Pages>8</Pages>
  <Words>464</Words>
  <Characters>2651</Characters>
  <Lines>22</Lines>
  <Paragraphs>6</Paragraphs>
  <TotalTime>55</TotalTime>
  <ScaleCrop>false</ScaleCrop>
  <LinksUpToDate>false</LinksUpToDate>
  <CharactersWithSpaces>3109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WPS_1490839104</cp:lastModifiedBy>
  <cp:lastPrinted>2022-06-15T00:30:00Z</cp:lastPrinted>
  <dcterms:modified xsi:type="dcterms:W3CDTF">2022-06-21T02:58:35Z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