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rPr>
          <w:rFonts w:ascii="仿宋" w:hAnsi="仿宋" w:eastAsia="仿宋"/>
          <w:b/>
          <w:sz w:val="72"/>
          <w:szCs w:val="72"/>
        </w:rPr>
      </w:pPr>
      <w:bookmarkStart w:id="0" w:name="_Hlk38472698"/>
      <w:r>
        <w:rPr>
          <w:rFonts w:hint="eastAsia" w:ascii="仿宋" w:hAnsi="仿宋" w:eastAsia="仿宋"/>
          <w:b/>
          <w:sz w:val="72"/>
          <w:szCs w:val="72"/>
        </w:rPr>
        <w:drawing>
          <wp:anchor distT="0" distB="0" distL="114300" distR="114300" simplePos="0" relativeHeight="251660288" behindDoc="0" locked="0" layoutInCell="1" allowOverlap="1">
            <wp:simplePos x="0" y="0"/>
            <wp:positionH relativeFrom="column">
              <wp:posOffset>1613535</wp:posOffset>
            </wp:positionH>
            <wp:positionV relativeFrom="page">
              <wp:posOffset>1028700</wp:posOffset>
            </wp:positionV>
            <wp:extent cx="2914650" cy="676275"/>
            <wp:effectExtent l="19050" t="0" r="3" b="0"/>
            <wp:wrapNone/>
            <wp:docPr id="3" name="图片 5" descr="jx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jxu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36037" cy="681238"/>
                    </a:xfrm>
                    <a:prstGeom prst="rect">
                      <a:avLst/>
                    </a:prstGeom>
                    <a:noFill/>
                    <a:ln>
                      <a:noFill/>
                    </a:ln>
                  </pic:spPr>
                </pic:pic>
              </a:graphicData>
            </a:graphic>
          </wp:anchor>
        </w:drawing>
      </w:r>
    </w:p>
    <w:p>
      <w:pPr>
        <w:spacing w:line="1000" w:lineRule="exact"/>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江西科技学</w:t>
      </w:r>
      <w:bookmarkStart w:id="209" w:name="_GoBack"/>
      <w:bookmarkEnd w:id="209"/>
      <w:r>
        <w:rPr>
          <w:rFonts w:hint="eastAsia" w:ascii="仿宋" w:hAnsi="仿宋" w:eastAsia="仿宋"/>
          <w:b/>
          <w:color w:val="000000" w:themeColor="text1"/>
          <w:sz w:val="36"/>
          <w:szCs w:val="36"/>
          <w14:textFill>
            <w14:solidFill>
              <w14:schemeClr w14:val="tx1"/>
            </w14:solidFill>
          </w14:textFill>
        </w:rPr>
        <w:t>院关于</w:t>
      </w:r>
      <w:bookmarkEnd w:id="0"/>
      <w:r>
        <w:rPr>
          <w:rFonts w:hint="eastAsia" w:ascii="仿宋" w:hAnsi="仿宋" w:eastAsia="仿宋"/>
          <w:b/>
          <w:color w:val="000000" w:themeColor="text1"/>
          <w:sz w:val="36"/>
          <w:szCs w:val="36"/>
          <w14:textFill>
            <w14:solidFill>
              <w14:schemeClr w14:val="tx1"/>
            </w14:solidFill>
          </w14:textFill>
        </w:rPr>
        <w:t>第九期工程场馆看台及座椅采购项目</w:t>
      </w:r>
    </w:p>
    <w:p>
      <w:pPr>
        <w:spacing w:line="1000" w:lineRule="exact"/>
        <w:jc w:val="center"/>
        <w:rPr>
          <w:rFonts w:ascii="仿宋" w:hAnsi="仿宋" w:eastAsia="仿宋"/>
          <w:b/>
          <w:color w:val="000000" w:themeColor="text1"/>
          <w:sz w:val="72"/>
          <w:szCs w:val="72"/>
          <w14:textFill>
            <w14:solidFill>
              <w14:schemeClr w14:val="tx1"/>
            </w14:solidFill>
          </w14:textFill>
        </w:rPr>
      </w:pPr>
      <w:r>
        <w:rPr>
          <w:rFonts w:hint="eastAsia" w:ascii="仿宋" w:hAnsi="仿宋" w:eastAsia="仿宋"/>
          <w:b/>
          <w:color w:val="000000" w:themeColor="text1"/>
          <w:sz w:val="72"/>
          <w:szCs w:val="72"/>
          <w14:textFill>
            <w14:solidFill>
              <w14:schemeClr w14:val="tx1"/>
            </w14:solidFill>
          </w14:textFill>
        </w:rPr>
        <w:t>公</w:t>
      </w:r>
    </w:p>
    <w:p>
      <w:pPr>
        <w:spacing w:line="1000" w:lineRule="exact"/>
        <w:jc w:val="center"/>
        <w:rPr>
          <w:rFonts w:ascii="仿宋" w:hAnsi="仿宋" w:eastAsia="仿宋"/>
          <w:b/>
          <w:color w:val="000000" w:themeColor="text1"/>
          <w:sz w:val="72"/>
          <w:szCs w:val="72"/>
          <w14:textFill>
            <w14:solidFill>
              <w14:schemeClr w14:val="tx1"/>
            </w14:solidFill>
          </w14:textFill>
        </w:rPr>
      </w:pPr>
      <w:r>
        <w:rPr>
          <w:rFonts w:hint="eastAsia" w:ascii="仿宋" w:hAnsi="仿宋" w:eastAsia="仿宋"/>
          <w:b/>
          <w:color w:val="000000" w:themeColor="text1"/>
          <w:sz w:val="72"/>
          <w:szCs w:val="72"/>
          <w14:textFill>
            <w14:solidFill>
              <w14:schemeClr w14:val="tx1"/>
            </w14:solidFill>
          </w14:textFill>
        </w:rPr>
        <w:t>开</w:t>
      </w:r>
    </w:p>
    <w:p>
      <w:pPr>
        <w:spacing w:line="1000" w:lineRule="exact"/>
        <w:jc w:val="center"/>
        <w:rPr>
          <w:rFonts w:ascii="仿宋" w:hAnsi="仿宋" w:eastAsia="仿宋"/>
          <w:b/>
          <w:color w:val="000000" w:themeColor="text1"/>
          <w:sz w:val="72"/>
          <w:szCs w:val="72"/>
          <w14:textFill>
            <w14:solidFill>
              <w14:schemeClr w14:val="tx1"/>
            </w14:solidFill>
          </w14:textFill>
        </w:rPr>
      </w:pPr>
      <w:r>
        <w:rPr>
          <w:rFonts w:hint="eastAsia" w:ascii="仿宋" w:hAnsi="仿宋" w:eastAsia="仿宋"/>
          <w:b/>
          <w:color w:val="000000" w:themeColor="text1"/>
          <w:sz w:val="72"/>
          <w:szCs w:val="72"/>
          <w14:textFill>
            <w14:solidFill>
              <w14:schemeClr w14:val="tx1"/>
            </w14:solidFill>
          </w14:textFill>
        </w:rPr>
        <w:t>询</w:t>
      </w:r>
    </w:p>
    <w:p>
      <w:pPr>
        <w:spacing w:line="1000" w:lineRule="exact"/>
        <w:jc w:val="center"/>
        <w:rPr>
          <w:rFonts w:ascii="仿宋" w:hAnsi="仿宋" w:eastAsia="仿宋"/>
          <w:b/>
          <w:color w:val="000000" w:themeColor="text1"/>
          <w:sz w:val="72"/>
          <w:szCs w:val="72"/>
          <w14:textFill>
            <w14:solidFill>
              <w14:schemeClr w14:val="tx1"/>
            </w14:solidFill>
          </w14:textFill>
        </w:rPr>
      </w:pPr>
      <w:r>
        <w:rPr>
          <w:rFonts w:hint="eastAsia" w:ascii="仿宋" w:hAnsi="仿宋" w:eastAsia="仿宋"/>
          <w:b/>
          <w:color w:val="000000" w:themeColor="text1"/>
          <w:sz w:val="72"/>
          <w:szCs w:val="72"/>
          <w14:textFill>
            <w14:solidFill>
              <w14:schemeClr w14:val="tx1"/>
            </w14:solidFill>
          </w14:textFill>
        </w:rPr>
        <w:t>价</w:t>
      </w:r>
    </w:p>
    <w:p>
      <w:pPr>
        <w:spacing w:line="1000" w:lineRule="exact"/>
        <w:jc w:val="center"/>
        <w:rPr>
          <w:rFonts w:ascii="仿宋" w:hAnsi="仿宋" w:eastAsia="仿宋"/>
          <w:b/>
          <w:color w:val="000000" w:themeColor="text1"/>
          <w:sz w:val="72"/>
          <w:szCs w:val="72"/>
          <w14:textFill>
            <w14:solidFill>
              <w14:schemeClr w14:val="tx1"/>
            </w14:solidFill>
          </w14:textFill>
        </w:rPr>
      </w:pPr>
      <w:r>
        <w:rPr>
          <w:rFonts w:hint="eastAsia" w:ascii="仿宋" w:hAnsi="仿宋" w:eastAsia="仿宋"/>
          <w:b/>
          <w:color w:val="000000" w:themeColor="text1"/>
          <w:sz w:val="72"/>
          <w:szCs w:val="72"/>
          <w14:textFill>
            <w14:solidFill>
              <w14:schemeClr w14:val="tx1"/>
            </w14:solidFill>
          </w14:textFill>
        </w:rPr>
        <w:t>邀</w:t>
      </w:r>
    </w:p>
    <w:p>
      <w:pPr>
        <w:spacing w:line="1000" w:lineRule="exact"/>
        <w:jc w:val="center"/>
        <w:rPr>
          <w:rFonts w:ascii="仿宋" w:hAnsi="仿宋" w:eastAsia="仿宋"/>
          <w:b/>
          <w:color w:val="000000" w:themeColor="text1"/>
          <w:sz w:val="72"/>
          <w:szCs w:val="72"/>
          <w14:textFill>
            <w14:solidFill>
              <w14:schemeClr w14:val="tx1"/>
            </w14:solidFill>
          </w14:textFill>
        </w:rPr>
      </w:pPr>
      <w:r>
        <w:rPr>
          <w:rFonts w:hint="eastAsia" w:ascii="仿宋" w:hAnsi="仿宋" w:eastAsia="仿宋"/>
          <w:b/>
          <w:color w:val="000000" w:themeColor="text1"/>
          <w:sz w:val="72"/>
          <w:szCs w:val="72"/>
          <w14:textFill>
            <w14:solidFill>
              <w14:schemeClr w14:val="tx1"/>
            </w14:solidFill>
          </w14:textFill>
        </w:rPr>
        <w:t>请</w:t>
      </w:r>
    </w:p>
    <w:p>
      <w:pPr>
        <w:spacing w:line="1000" w:lineRule="exact"/>
        <w:jc w:val="center"/>
        <w:rPr>
          <w:rFonts w:ascii="仿宋" w:hAnsi="仿宋" w:eastAsia="仿宋"/>
          <w:b/>
          <w:color w:val="000000" w:themeColor="text1"/>
          <w:sz w:val="72"/>
          <w:szCs w:val="72"/>
          <w14:textFill>
            <w14:solidFill>
              <w14:schemeClr w14:val="tx1"/>
            </w14:solidFill>
          </w14:textFill>
        </w:rPr>
      </w:pPr>
      <w:r>
        <w:rPr>
          <w:rFonts w:hint="eastAsia" w:ascii="仿宋" w:hAnsi="仿宋" w:eastAsia="仿宋"/>
          <w:b/>
          <w:color w:val="000000" w:themeColor="text1"/>
          <w:sz w:val="72"/>
          <w:szCs w:val="72"/>
          <w14:textFill>
            <w14:solidFill>
              <w14:schemeClr w14:val="tx1"/>
            </w14:solidFill>
          </w14:textFill>
        </w:rPr>
        <w:t>函</w:t>
      </w:r>
    </w:p>
    <w:p>
      <w:pPr>
        <w:spacing w:line="500" w:lineRule="exact"/>
        <w:ind w:firstLine="1943" w:firstLineChars="645"/>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项目编号：</w:t>
      </w:r>
      <w:bookmarkStart w:id="1" w:name="_Toc169332792"/>
      <w:bookmarkStart w:id="2" w:name="_Toc160880485"/>
      <w:bookmarkStart w:id="3" w:name="_Toc160880118"/>
      <w:r>
        <w:rPr>
          <w:rFonts w:hint="eastAsia" w:ascii="仿宋" w:hAnsi="仿宋" w:eastAsia="仿宋"/>
          <w:b/>
          <w:color w:val="000000" w:themeColor="text1"/>
          <w:sz w:val="30"/>
          <w:szCs w:val="30"/>
          <w14:textFill>
            <w14:solidFill>
              <w14:schemeClr w14:val="tx1"/>
            </w14:solidFill>
          </w14:textFill>
        </w:rPr>
        <w:t>JK2022</w:t>
      </w:r>
      <w:r>
        <w:rPr>
          <w:rFonts w:ascii="仿宋" w:hAnsi="仿宋" w:eastAsia="仿宋"/>
          <w:b/>
          <w:color w:val="000000" w:themeColor="text1"/>
          <w:sz w:val="30"/>
          <w:szCs w:val="30"/>
          <w14:textFill>
            <w14:solidFill>
              <w14:schemeClr w14:val="tx1"/>
            </w14:solidFill>
          </w14:textFill>
        </w:rPr>
        <w:t>0615001</w:t>
      </w:r>
    </w:p>
    <w:p>
      <w:pPr>
        <w:spacing w:line="500" w:lineRule="exact"/>
        <w:ind w:firstLine="1943" w:firstLineChars="645"/>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项目名称</w:t>
      </w:r>
      <w:bookmarkEnd w:id="1"/>
      <w:bookmarkEnd w:id="2"/>
      <w:bookmarkEnd w:id="3"/>
      <w:r>
        <w:rPr>
          <w:rFonts w:hint="eastAsia" w:ascii="仿宋" w:hAnsi="仿宋" w:eastAsia="仿宋"/>
          <w:b/>
          <w:color w:val="000000" w:themeColor="text1"/>
          <w:sz w:val="30"/>
          <w:szCs w:val="30"/>
          <w14:textFill>
            <w14:solidFill>
              <w14:schemeClr w14:val="tx1"/>
            </w14:solidFill>
          </w14:textFill>
        </w:rPr>
        <w:t>：</w:t>
      </w:r>
      <w:bookmarkStart w:id="4" w:name="_Toc169332794"/>
      <w:bookmarkStart w:id="5" w:name="_Toc267060022"/>
      <w:bookmarkStart w:id="6" w:name="_Toc267059633"/>
      <w:bookmarkStart w:id="7" w:name="_Toc267060407"/>
      <w:bookmarkStart w:id="8" w:name="_Toc170798743"/>
      <w:bookmarkStart w:id="9" w:name="_Toc267060162"/>
      <w:bookmarkStart w:id="10" w:name="_Toc212526081"/>
      <w:bookmarkStart w:id="11" w:name="_Toc225669277"/>
      <w:bookmarkStart w:id="12" w:name="_Toc273178686"/>
      <w:bookmarkStart w:id="13" w:name="_Toc223146565"/>
      <w:bookmarkStart w:id="14" w:name="_Toc169332904"/>
      <w:bookmarkStart w:id="15" w:name="_Toc253066567"/>
      <w:bookmarkStart w:id="16" w:name="_Toc266868624"/>
      <w:bookmarkStart w:id="17" w:name="_Toc267059519"/>
      <w:bookmarkStart w:id="18" w:name="_Toc217891359"/>
      <w:bookmarkStart w:id="19" w:name="_Toc267059786"/>
      <w:bookmarkStart w:id="20" w:name="_Toc235437942"/>
      <w:bookmarkStart w:id="21" w:name="_Toc267059010"/>
      <w:bookmarkStart w:id="22" w:name="_Toc258401210"/>
      <w:bookmarkStart w:id="23" w:name="_Toc207014580"/>
      <w:bookmarkStart w:id="24" w:name="_Toc235438227"/>
      <w:bookmarkStart w:id="25" w:name="_Toc259692600"/>
      <w:bookmarkStart w:id="26" w:name="_Toc160880487"/>
      <w:bookmarkStart w:id="27" w:name="_Toc235438297"/>
      <w:bookmarkStart w:id="28" w:name="_Toc216241307"/>
      <w:bookmarkStart w:id="29" w:name="_Toc211937196"/>
      <w:bookmarkStart w:id="30" w:name="_Toc227058483"/>
      <w:bookmarkStart w:id="31" w:name="_Toc249325665"/>
      <w:bookmarkStart w:id="32" w:name="_Toc259692693"/>
      <w:bookmarkStart w:id="33" w:name="_Toc212454753"/>
      <w:bookmarkStart w:id="34" w:name="_Toc212530253"/>
      <w:bookmarkStart w:id="35" w:name="_Toc219800200"/>
      <w:bookmarkStart w:id="36" w:name="_Toc254790852"/>
      <w:bookmarkStart w:id="37" w:name="_Toc236021402"/>
      <w:bookmarkStart w:id="38" w:name="_Toc212456146"/>
      <w:bookmarkStart w:id="39" w:name="_Toc266870861"/>
      <w:bookmarkStart w:id="40" w:name="_Toc177985424"/>
      <w:bookmarkStart w:id="41" w:name="_Toc266870386"/>
      <w:bookmarkStart w:id="42" w:name="_Toc267059161"/>
      <w:bookmarkStart w:id="43" w:name="_Toc266868924"/>
      <w:bookmarkStart w:id="44" w:name="_Toc255974963"/>
      <w:bookmarkStart w:id="45" w:name="_Toc251613780"/>
      <w:bookmarkStart w:id="46" w:name="_Toc259520819"/>
      <w:bookmarkStart w:id="47" w:name="_Toc251586187"/>
      <w:bookmarkStart w:id="48" w:name="_Toc267059899"/>
      <w:r>
        <w:rPr>
          <w:rFonts w:hint="eastAsia" w:ascii="仿宋" w:hAnsi="仿宋" w:eastAsia="仿宋"/>
          <w:b/>
          <w:color w:val="000000" w:themeColor="text1"/>
          <w:sz w:val="32"/>
          <w:szCs w:val="32"/>
          <w14:textFill>
            <w14:solidFill>
              <w14:schemeClr w14:val="tx1"/>
            </w14:solidFill>
          </w14:textFill>
        </w:rPr>
        <w:t>第九期工程场馆看台及座椅采购项目</w:t>
      </w:r>
    </w:p>
    <w:p>
      <w:pPr>
        <w:spacing w:line="500" w:lineRule="exact"/>
        <w:ind w:firstLine="1943" w:firstLineChars="645"/>
        <w:rPr>
          <w:rFonts w:ascii="仿宋" w:hAnsi="仿宋" w:eastAsia="仿宋"/>
          <w:b/>
          <w:color w:val="000000" w:themeColor="text1"/>
          <w:sz w:val="30"/>
          <w:szCs w:val="30"/>
          <w14:textFill>
            <w14:solidFill>
              <w14:schemeClr w14:val="tx1"/>
            </w14:solidFill>
          </w14:textFill>
        </w:rPr>
        <w:sectPr>
          <w:footerReference r:id="rId5" w:type="default"/>
          <w:pgSz w:w="11906" w:h="16838"/>
          <w:pgMar w:top="1440" w:right="1416" w:bottom="1440" w:left="1134" w:header="851" w:footer="680" w:gutter="0"/>
          <w:cols w:space="425" w:num="1"/>
          <w:titlePg/>
          <w:docGrid w:type="lines" w:linePitch="312" w:charSpace="0"/>
        </w:sectPr>
      </w:pPr>
    </w:p>
    <w:p>
      <w:pPr>
        <w:pStyle w:val="55"/>
        <w:spacing w:line="360" w:lineRule="auto"/>
        <w:jc w:val="center"/>
        <w:outlineLvl w:val="0"/>
        <w:rPr>
          <w:rFonts w:ascii="仿宋" w:hAnsi="仿宋" w:eastAsia="仿宋"/>
          <w:b/>
          <w:color w:val="000000" w:themeColor="text1"/>
          <w:sz w:val="44"/>
          <w:szCs w:val="44"/>
          <w14:textFill>
            <w14:solidFill>
              <w14:schemeClr w14:val="tx1"/>
            </w14:solidFill>
          </w14:textFill>
        </w:rPr>
      </w:pPr>
      <w:r>
        <w:rPr>
          <w:rFonts w:hint="eastAsia" w:ascii="仿宋" w:hAnsi="仿宋" w:eastAsia="仿宋"/>
          <w:b/>
          <w:color w:val="000000" w:themeColor="text1"/>
          <w:sz w:val="44"/>
          <w:szCs w:val="44"/>
          <w14:textFill>
            <w14:solidFill>
              <w14:schemeClr w14:val="tx1"/>
            </w14:solidFill>
          </w14:textFill>
        </w:rPr>
        <w:t>一、询价邀请</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rFonts w:hint="eastAsia" w:ascii="仿宋" w:hAnsi="仿宋" w:eastAsia="仿宋"/>
          <w:b/>
          <w:color w:val="000000" w:themeColor="text1"/>
          <w:sz w:val="44"/>
          <w:szCs w:val="44"/>
          <w14:textFill>
            <w14:solidFill>
              <w14:schemeClr w14:val="tx1"/>
            </w14:solidFill>
          </w14:textFill>
        </w:rPr>
        <w:t>函</w:t>
      </w:r>
    </w:p>
    <w:p>
      <w:pPr>
        <w:spacing w:after="0" w:line="500" w:lineRule="exact"/>
        <w:ind w:firstLine="364" w:firstLineChars="152"/>
        <w:jc w:val="left"/>
        <w:rPr>
          <w:rFonts w:hint="eastAsia" w:ascii="仿宋" w:hAnsi="仿宋" w:eastAsia="仿宋" w:cs="仿宋"/>
          <w:color w:val="000000" w:themeColor="text1"/>
          <w:sz w:val="24"/>
          <w:szCs w:val="24"/>
          <w14:textFill>
            <w14:solidFill>
              <w14:schemeClr w14:val="tx1"/>
            </w14:solidFill>
          </w14:textFill>
        </w:rPr>
      </w:pPr>
      <w:bookmarkStart w:id="49" w:name="_Hlk10840310"/>
      <w:r>
        <w:rPr>
          <w:rFonts w:hint="eastAsia" w:ascii="仿宋" w:hAnsi="仿宋" w:eastAsia="仿宋" w:cs="仿宋"/>
          <w:color w:val="000000" w:themeColor="text1"/>
          <w:sz w:val="24"/>
          <w:szCs w:val="24"/>
          <w14:textFill>
            <w14:solidFill>
              <w14:schemeClr w14:val="tx1"/>
            </w14:solidFill>
          </w14:textFill>
        </w:rPr>
        <w:t>按照公开、公平、公正的原则，经学校研究决定，将江西科技学院第九期工程场馆看台及座椅采购项目公开询价信息公布，欢迎国内合格的供应商参与,校内教职工均可推荐符合条件的供应商来参与，以利于做好信息透明、机会均等、程序规范、标准统一的要求。</w:t>
      </w:r>
    </w:p>
    <w:p>
      <w:pPr>
        <w:spacing w:after="0" w:line="500" w:lineRule="exact"/>
        <w:ind w:firstLine="364" w:firstLineChars="152"/>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一、项目说明</w:t>
      </w:r>
    </w:p>
    <w:p>
      <w:pPr>
        <w:widowControl w:val="0"/>
        <w:numPr>
          <w:ilvl w:val="1"/>
          <w:numId w:val="1"/>
        </w:numPr>
        <w:spacing w:after="0" w:line="500" w:lineRule="exact"/>
        <w:ind w:left="859" w:leftChars="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项目编号：JK20220615001</w:t>
      </w:r>
    </w:p>
    <w:p>
      <w:pPr>
        <w:widowControl w:val="0"/>
        <w:numPr>
          <w:ilvl w:val="1"/>
          <w:numId w:val="1"/>
        </w:numPr>
        <w:spacing w:after="0" w:line="500" w:lineRule="exact"/>
        <w:ind w:left="859" w:leftChars="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项目名称第九期工程场馆看台及座椅采购项目</w:t>
      </w:r>
    </w:p>
    <w:p>
      <w:pPr>
        <w:widowControl w:val="0"/>
        <w:numPr>
          <w:ilvl w:val="1"/>
          <w:numId w:val="1"/>
        </w:numPr>
        <w:spacing w:after="0" w:line="500" w:lineRule="exact"/>
        <w:ind w:left="859" w:leftChars="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数量及主要技术要求:</w:t>
      </w:r>
      <w:r>
        <w:rPr>
          <w:rFonts w:hint="eastAsia" w:ascii="仿宋" w:hAnsi="仿宋" w:eastAsia="仿宋" w:cs="仿宋"/>
          <w:sz w:val="24"/>
          <w:szCs w:val="24"/>
        </w:rPr>
        <w:t>1</w:t>
      </w:r>
      <w:r>
        <w:rPr>
          <w:rFonts w:hint="eastAsia" w:ascii="仿宋" w:hAnsi="仿宋" w:eastAsia="仿宋" w:cs="仿宋"/>
          <w:color w:val="000000" w:themeColor="text1"/>
          <w:sz w:val="24"/>
          <w:szCs w:val="24"/>
          <w14:textFill>
            <w14:solidFill>
              <w14:schemeClr w14:val="tx1"/>
            </w14:solidFill>
          </w14:textFill>
        </w:rPr>
        <w:t xml:space="preserve"> </w:t>
      </w:r>
    </w:p>
    <w:p>
      <w:pPr>
        <w:widowControl w:val="0"/>
        <w:numPr>
          <w:ilvl w:val="1"/>
          <w:numId w:val="1"/>
        </w:numPr>
        <w:spacing w:after="0" w:line="500" w:lineRule="exact"/>
        <w:ind w:left="859" w:leftChars="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参与人资格标准：</w:t>
      </w:r>
    </w:p>
    <w:p>
      <w:pPr>
        <w:widowControl w:val="0"/>
        <w:spacing w:after="0" w:line="440" w:lineRule="exact"/>
        <w:ind w:left="811"/>
        <w:rPr>
          <w:rFonts w:hint="eastAsia" w:ascii="仿宋" w:hAnsi="仿宋" w:eastAsia="仿宋" w:cs="仿宋"/>
          <w:sz w:val="24"/>
          <w:szCs w:val="24"/>
        </w:rPr>
      </w:pPr>
      <w:r>
        <w:rPr>
          <w:rFonts w:hint="eastAsia" w:ascii="仿宋" w:hAnsi="仿宋" w:eastAsia="仿宋" w:cs="仿宋"/>
          <w:sz w:val="24"/>
          <w:szCs w:val="24"/>
        </w:rPr>
        <w:t>本项目采用资格预审制，发布</w:t>
      </w:r>
      <w:r>
        <w:rPr>
          <w:rFonts w:hint="eastAsia" w:ascii="仿宋" w:hAnsi="仿宋" w:eastAsia="仿宋" w:cs="仿宋"/>
          <w:sz w:val="24"/>
          <w:szCs w:val="24"/>
          <w:lang w:eastAsia="zh-CN"/>
        </w:rPr>
        <w:t>公开询价公告</w:t>
      </w:r>
      <w:r>
        <w:rPr>
          <w:rFonts w:hint="eastAsia" w:ascii="仿宋" w:hAnsi="仿宋" w:eastAsia="仿宋" w:cs="仿宋"/>
          <w:sz w:val="24"/>
          <w:szCs w:val="24"/>
        </w:rPr>
        <w:t>后，各潜在参与人在满足资格要求并提供以下相关证明资料方</w:t>
      </w:r>
      <w:r>
        <w:rPr>
          <w:rFonts w:hint="eastAsia" w:ascii="仿宋" w:hAnsi="仿宋" w:eastAsia="仿宋" w:cs="仿宋"/>
          <w:sz w:val="24"/>
          <w:szCs w:val="24"/>
          <w:lang w:eastAsia="zh-CN"/>
        </w:rPr>
        <w:t>能参与本项目报价，并需缴纳项目保证金</w:t>
      </w:r>
      <w:r>
        <w:rPr>
          <w:rFonts w:hint="eastAsia" w:ascii="仿宋" w:hAnsi="仿宋" w:eastAsia="仿宋" w:cs="仿宋"/>
          <w:sz w:val="24"/>
          <w:szCs w:val="24"/>
          <w:lang w:val="en-US" w:eastAsia="zh-CN"/>
        </w:rPr>
        <w:t>贰万元整</w:t>
      </w:r>
      <w:r>
        <w:rPr>
          <w:rFonts w:hint="eastAsia" w:ascii="仿宋" w:hAnsi="仿宋" w:eastAsia="仿宋" w:cs="仿宋"/>
          <w:sz w:val="24"/>
          <w:szCs w:val="24"/>
        </w:rPr>
        <w:t>。</w:t>
      </w:r>
    </w:p>
    <w:p>
      <w:pPr>
        <w:spacing w:after="0" w:line="500" w:lineRule="exact"/>
        <w:ind w:left="1310" w:leftChars="322" w:hanging="602" w:hangingChars="251"/>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sz w:val="24"/>
          <w:szCs w:val="24"/>
        </w:rPr>
        <w:t>参与人</w:t>
      </w:r>
      <w:r>
        <w:rPr>
          <w:rFonts w:hint="eastAsia" w:ascii="仿宋" w:hAnsi="仿宋" w:eastAsia="仿宋" w:cs="仿宋"/>
          <w:sz w:val="24"/>
          <w:szCs w:val="24"/>
          <w:lang w:eastAsia="zh-CN"/>
        </w:rPr>
        <w:t>需提供所取得</w:t>
      </w:r>
      <w:r>
        <w:rPr>
          <w:rFonts w:hint="eastAsia" w:ascii="仿宋" w:hAnsi="仿宋" w:eastAsia="仿宋" w:cs="仿宋"/>
          <w:sz w:val="24"/>
          <w:szCs w:val="24"/>
        </w:rPr>
        <w:t>营业执照</w:t>
      </w:r>
      <w:r>
        <w:rPr>
          <w:rFonts w:hint="eastAsia" w:ascii="仿宋" w:hAnsi="仿宋" w:eastAsia="仿宋" w:cs="仿宋"/>
          <w:sz w:val="24"/>
          <w:szCs w:val="24"/>
          <w:lang w:eastAsia="zh-CN"/>
        </w:rPr>
        <w:t>复印件并</w:t>
      </w:r>
      <w:r>
        <w:rPr>
          <w:rFonts w:hint="eastAsia" w:ascii="仿宋" w:hAnsi="仿宋" w:eastAsia="仿宋" w:cs="仿宋"/>
          <w:sz w:val="24"/>
          <w:szCs w:val="24"/>
        </w:rPr>
        <w:t>具有独立法人资格，具有独立承担民事责任能力的生产厂商或授权代理商</w:t>
      </w:r>
      <w:r>
        <w:rPr>
          <w:rFonts w:hint="eastAsia" w:ascii="仿宋" w:hAnsi="仿宋" w:eastAsia="仿宋" w:cs="仿宋"/>
          <w:sz w:val="24"/>
          <w:szCs w:val="24"/>
          <w:lang w:eastAsia="zh-CN"/>
        </w:rPr>
        <w:t>，所供家具品牌应有品牌厂家授权函</w:t>
      </w:r>
      <w:r>
        <w:rPr>
          <w:rFonts w:hint="eastAsia" w:ascii="仿宋" w:hAnsi="仿宋" w:eastAsia="仿宋" w:cs="仿宋"/>
          <w:sz w:val="24"/>
          <w:szCs w:val="24"/>
        </w:rPr>
        <w:t>。</w:t>
      </w:r>
    </w:p>
    <w:p>
      <w:pPr>
        <w:spacing w:after="0" w:line="500" w:lineRule="exact"/>
        <w:ind w:left="1310" w:leftChars="322" w:hanging="602" w:hangingChars="251"/>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（2）参与人应具有提供场馆看台及座椅销售及服务的资格及能力，具备相应的维护保养能力。在南昌市范围</w:t>
      </w:r>
      <w:r>
        <w:rPr>
          <w:rFonts w:hint="eastAsia" w:ascii="仿宋" w:hAnsi="仿宋" w:eastAsia="仿宋" w:cs="仿宋"/>
          <w:color w:val="000000" w:themeColor="text1"/>
          <w:sz w:val="24"/>
          <w:szCs w:val="24"/>
          <w:lang w:val="en-US" w:eastAsia="zh-CN"/>
          <w14:textFill>
            <w14:solidFill>
              <w14:schemeClr w14:val="tx1"/>
            </w14:solidFill>
          </w14:textFill>
        </w:rPr>
        <w:t>内有</w:t>
      </w:r>
      <w:r>
        <w:rPr>
          <w:rFonts w:hint="eastAsia" w:ascii="仿宋" w:hAnsi="仿宋" w:eastAsia="仿宋" w:cs="仿宋"/>
          <w:color w:val="000000" w:themeColor="text1"/>
          <w:sz w:val="24"/>
          <w:szCs w:val="24"/>
          <w14:textFill>
            <w14:solidFill>
              <w14:schemeClr w14:val="tx1"/>
            </w14:solidFill>
          </w14:textFill>
        </w:rPr>
        <w:t>固定服务机构</w:t>
      </w:r>
      <w:r>
        <w:rPr>
          <w:rFonts w:hint="eastAsia" w:ascii="仿宋" w:hAnsi="仿宋" w:eastAsia="仿宋" w:cs="仿宋"/>
          <w:color w:val="000000" w:themeColor="text1"/>
          <w:sz w:val="24"/>
          <w:szCs w:val="24"/>
          <w:lang w:val="en-US" w:eastAsia="zh-CN"/>
          <w14:textFill>
            <w14:solidFill>
              <w14:schemeClr w14:val="tx1"/>
            </w14:solidFill>
          </w14:textFill>
        </w:rPr>
        <w:t>优先或能满足售后维保要求</w:t>
      </w:r>
      <w:r>
        <w:rPr>
          <w:rFonts w:hint="eastAsia" w:ascii="仿宋" w:hAnsi="仿宋" w:eastAsia="仿宋" w:cs="仿宋"/>
          <w:color w:val="000000" w:themeColor="text1"/>
          <w:sz w:val="24"/>
          <w:szCs w:val="24"/>
          <w14:textFill>
            <w14:solidFill>
              <w14:schemeClr w14:val="tx1"/>
            </w14:solidFill>
          </w14:textFill>
        </w:rPr>
        <w:t>。</w:t>
      </w:r>
    </w:p>
    <w:p>
      <w:pPr>
        <w:spacing w:after="0" w:line="500" w:lineRule="exact"/>
        <w:ind w:left="1070" w:leftChars="322" w:hanging="362" w:hangingChars="151"/>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（3）参与人应遵守中国的有关法律、法规和规章的规定。</w:t>
      </w:r>
    </w:p>
    <w:p>
      <w:pPr>
        <w:spacing w:after="0" w:line="500" w:lineRule="exact"/>
        <w:ind w:left="1310" w:leftChars="322" w:hanging="602" w:hangingChars="251"/>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参与人</w:t>
      </w:r>
      <w:r>
        <w:rPr>
          <w:rFonts w:hint="eastAsia" w:ascii="仿宋" w:hAnsi="仿宋" w:eastAsia="仿宋" w:cs="仿宋"/>
          <w:sz w:val="24"/>
          <w:szCs w:val="24"/>
          <w:lang w:eastAsia="zh-CN"/>
        </w:rPr>
        <w:t>业绩要求：</w:t>
      </w:r>
      <w:r>
        <w:rPr>
          <w:rFonts w:hint="eastAsia" w:ascii="仿宋" w:hAnsi="仿宋" w:eastAsia="仿宋" w:cs="仿宋"/>
          <w:sz w:val="24"/>
          <w:szCs w:val="24"/>
        </w:rPr>
        <w:t>参与人</w:t>
      </w:r>
      <w:r>
        <w:rPr>
          <w:rFonts w:hint="eastAsia" w:ascii="仿宋" w:hAnsi="仿宋" w:eastAsia="仿宋" w:cs="仿宋"/>
          <w:sz w:val="24"/>
          <w:szCs w:val="24"/>
          <w:lang w:eastAsia="zh-CN"/>
        </w:rPr>
        <w:t>需提供</w:t>
      </w:r>
      <w:r>
        <w:rPr>
          <w:rFonts w:hint="eastAsia" w:ascii="仿宋" w:hAnsi="仿宋" w:eastAsia="仿宋" w:cs="仿宋"/>
          <w:sz w:val="24"/>
          <w:szCs w:val="24"/>
          <w:lang w:val="en-US" w:eastAsia="zh-CN"/>
        </w:rPr>
        <w:t>2019</w:t>
      </w:r>
      <w:r>
        <w:rPr>
          <w:rFonts w:hint="eastAsia" w:ascii="仿宋" w:hAnsi="仿宋" w:eastAsia="仿宋" w:cs="仿宋"/>
          <w:sz w:val="24"/>
          <w:szCs w:val="24"/>
        </w:rPr>
        <w:t>年</w:t>
      </w:r>
      <w:r>
        <w:rPr>
          <w:rFonts w:hint="eastAsia" w:ascii="仿宋" w:hAnsi="仿宋" w:eastAsia="仿宋" w:cs="仿宋"/>
          <w:sz w:val="24"/>
          <w:szCs w:val="24"/>
          <w:lang w:val="en-US" w:eastAsia="zh-CN"/>
        </w:rPr>
        <w:t>1</w:t>
      </w:r>
      <w:r>
        <w:rPr>
          <w:rFonts w:hint="eastAsia" w:ascii="仿宋" w:hAnsi="仿宋" w:eastAsia="仿宋" w:cs="仿宋"/>
          <w:sz w:val="24"/>
          <w:szCs w:val="24"/>
        </w:rPr>
        <w:t>月</w:t>
      </w:r>
      <w:r>
        <w:rPr>
          <w:rFonts w:hint="eastAsia" w:ascii="仿宋" w:hAnsi="仿宋" w:eastAsia="仿宋" w:cs="仿宋"/>
          <w:sz w:val="24"/>
          <w:szCs w:val="24"/>
          <w:lang w:val="en-US" w:eastAsia="zh-CN"/>
        </w:rPr>
        <w:t>1</w:t>
      </w:r>
      <w:r>
        <w:rPr>
          <w:rFonts w:hint="eastAsia" w:ascii="仿宋" w:hAnsi="仿宋" w:eastAsia="仿宋" w:cs="仿宋"/>
          <w:sz w:val="24"/>
          <w:szCs w:val="24"/>
        </w:rPr>
        <w:t>日起（以合同签订时间为准）承接</w:t>
      </w:r>
      <w:r>
        <w:rPr>
          <w:rFonts w:hint="eastAsia" w:ascii="仿宋" w:hAnsi="仿宋" w:eastAsia="仿宋" w:cs="仿宋"/>
          <w:sz w:val="24"/>
          <w:szCs w:val="24"/>
          <w:lang w:val="en-US" w:eastAsia="zh-CN"/>
        </w:rPr>
        <w:t>2</w:t>
      </w:r>
      <w:r>
        <w:rPr>
          <w:rFonts w:hint="eastAsia" w:ascii="仿宋" w:hAnsi="仿宋" w:eastAsia="仿宋" w:cs="仿宋"/>
          <w:sz w:val="24"/>
          <w:szCs w:val="24"/>
        </w:rPr>
        <w:t>个（含）以上</w:t>
      </w:r>
      <w:r>
        <w:rPr>
          <w:rFonts w:hint="eastAsia" w:ascii="仿宋" w:hAnsi="仿宋" w:eastAsia="仿宋" w:cs="仿宋"/>
          <w:sz w:val="24"/>
          <w:szCs w:val="24"/>
          <w:lang w:eastAsia="zh-CN"/>
        </w:rPr>
        <w:t>价值</w:t>
      </w:r>
      <w:r>
        <w:rPr>
          <w:rFonts w:hint="eastAsia" w:ascii="仿宋" w:hAnsi="仿宋" w:eastAsia="仿宋" w:cs="仿宋"/>
          <w:sz w:val="24"/>
          <w:szCs w:val="24"/>
          <w:lang w:val="en-US" w:eastAsia="zh-CN"/>
        </w:rPr>
        <w:t>60万以上</w:t>
      </w:r>
      <w:r>
        <w:rPr>
          <w:rFonts w:hint="eastAsia" w:ascii="仿宋" w:hAnsi="仿宋" w:eastAsia="仿宋" w:cs="仿宋"/>
          <w:sz w:val="24"/>
          <w:szCs w:val="24"/>
        </w:rPr>
        <w:t>项目应用成功案例</w:t>
      </w:r>
      <w:r>
        <w:rPr>
          <w:rFonts w:hint="eastAsia" w:ascii="仿宋" w:hAnsi="仿宋" w:eastAsia="仿宋" w:cs="仿宋"/>
          <w:sz w:val="24"/>
          <w:szCs w:val="24"/>
          <w:lang w:eastAsia="zh-CN"/>
        </w:rPr>
        <w:t>证明材料。</w:t>
      </w:r>
    </w:p>
    <w:p>
      <w:pPr>
        <w:spacing w:after="0" w:line="500" w:lineRule="exact"/>
        <w:ind w:left="1310" w:leftChars="322" w:hanging="602" w:hangingChars="251"/>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参与人具有近三年未发生重大安全或质量事故。</w:t>
      </w:r>
    </w:p>
    <w:p>
      <w:pPr>
        <w:spacing w:after="0" w:line="500" w:lineRule="exact"/>
        <w:ind w:left="1070" w:leftChars="322" w:hanging="362" w:hangingChars="151"/>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）参与人须有良好的商业信誉和健全的财务制度。</w:t>
      </w:r>
    </w:p>
    <w:p>
      <w:pPr>
        <w:spacing w:after="0" w:line="500" w:lineRule="exact"/>
        <w:ind w:left="1070" w:leftChars="322" w:hanging="362" w:hangingChars="151"/>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）参与人有依法缴纳税金的良好记录。</w:t>
      </w:r>
    </w:p>
    <w:p>
      <w:pPr>
        <w:widowControl w:val="0"/>
        <w:numPr>
          <w:ilvl w:val="1"/>
          <w:numId w:val="1"/>
        </w:numPr>
        <w:spacing w:after="0" w:line="500" w:lineRule="exact"/>
        <w:ind w:left="859" w:leftChars="0" w:firstLineChars="0"/>
        <w:rPr>
          <w:rFonts w:hint="eastAsia" w:ascii="仿宋" w:hAnsi="仿宋" w:eastAsia="仿宋" w:cs="仿宋"/>
          <w:color w:val="000000" w:themeColor="text1"/>
          <w:sz w:val="24"/>
          <w:szCs w:val="24"/>
          <w:shd w:val="clear" w:color="auto" w:fill="FFFFFF"/>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报价响应文件递交方式：密封报价，按规定时间送达或邮寄。</w:t>
      </w:r>
    </w:p>
    <w:p>
      <w:pPr>
        <w:widowControl w:val="0"/>
        <w:numPr>
          <w:ilvl w:val="1"/>
          <w:numId w:val="1"/>
        </w:numPr>
        <w:spacing w:after="0" w:line="500" w:lineRule="exact"/>
        <w:ind w:left="859" w:leftChars="0" w:firstLineChars="0"/>
        <w:rPr>
          <w:rFonts w:hint="eastAsia" w:ascii="仿宋" w:hAnsi="仿宋" w:eastAsia="仿宋" w:cs="仿宋"/>
          <w:color w:val="000000" w:themeColor="text1"/>
          <w:sz w:val="24"/>
          <w:szCs w:val="24"/>
          <w:shd w:val="clear" w:color="auto" w:fill="FFFFFF"/>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报价响应文件递交截止时间</w:t>
      </w:r>
      <w:r>
        <w:rPr>
          <w:rFonts w:hint="eastAsia" w:ascii="仿宋" w:hAnsi="仿宋" w:eastAsia="仿宋" w:cs="仿宋"/>
          <w:color w:val="000000" w:themeColor="text1"/>
          <w:sz w:val="24"/>
          <w:szCs w:val="24"/>
          <w:shd w:val="clear" w:color="auto" w:fill="FFFFFF"/>
          <w14:textFill>
            <w14:solidFill>
              <w14:schemeClr w14:val="tx1"/>
            </w14:solidFill>
          </w14:textFill>
        </w:rPr>
        <w:t>：2022年</w:t>
      </w:r>
      <w:r>
        <w:rPr>
          <w:rFonts w:hint="eastAsia" w:ascii="仿宋" w:hAnsi="仿宋" w:eastAsia="仿宋" w:cs="仿宋"/>
          <w:color w:val="000000" w:themeColor="text1"/>
          <w:sz w:val="24"/>
          <w:szCs w:val="24"/>
          <w:shd w:val="clear" w:color="auto" w:fill="FFFFFF"/>
          <w:lang w:val="en-US" w:eastAsia="zh-CN"/>
          <w14:textFill>
            <w14:solidFill>
              <w14:schemeClr w14:val="tx1"/>
            </w14:solidFill>
          </w14:textFill>
        </w:rPr>
        <w:t>7</w:t>
      </w:r>
      <w:r>
        <w:rPr>
          <w:rFonts w:hint="eastAsia" w:ascii="仿宋" w:hAnsi="仿宋" w:eastAsia="仿宋" w:cs="仿宋"/>
          <w:color w:val="000000" w:themeColor="text1"/>
          <w:sz w:val="24"/>
          <w:szCs w:val="24"/>
          <w:shd w:val="clear" w:color="auto" w:fill="FFFFFF"/>
          <w14:textFill>
            <w14:solidFill>
              <w14:schemeClr w14:val="tx1"/>
            </w14:solidFill>
          </w14:textFill>
        </w:rPr>
        <w:t>月3日下午16:00前。</w:t>
      </w:r>
    </w:p>
    <w:p>
      <w:pPr>
        <w:pStyle w:val="58"/>
        <w:numPr>
          <w:ilvl w:val="1"/>
          <w:numId w:val="1"/>
        </w:numPr>
        <w:spacing w:after="0" w:line="500" w:lineRule="exact"/>
        <w:ind w:left="859" w:leftChars="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报价响应文件递交地点：后勤中心204</w:t>
      </w:r>
    </w:p>
    <w:p>
      <w:pPr>
        <w:pStyle w:val="58"/>
        <w:spacing w:after="0" w:line="500" w:lineRule="exact"/>
        <w:ind w:left="839" w:firstLine="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联系人：吴震林；联系电话：13870830011</w:t>
      </w:r>
    </w:p>
    <w:p>
      <w:pPr>
        <w:widowControl w:val="0"/>
        <w:numPr>
          <w:ilvl w:val="0"/>
          <w:numId w:val="0"/>
        </w:numPr>
        <w:spacing w:after="0" w:line="500" w:lineRule="exact"/>
        <w:ind w:left="440" w:leftChars="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8.</w:t>
      </w:r>
      <w:r>
        <w:rPr>
          <w:rFonts w:hint="eastAsia" w:ascii="仿宋" w:hAnsi="仿宋" w:eastAsia="仿宋" w:cs="仿宋"/>
          <w:color w:val="000000" w:themeColor="text1"/>
          <w:sz w:val="24"/>
          <w:szCs w:val="24"/>
          <w:highlight w:val="none"/>
          <w14:textFill>
            <w14:solidFill>
              <w14:schemeClr w14:val="tx1"/>
            </w14:solidFill>
          </w14:textFill>
        </w:rPr>
        <w:t>本项目需参与人在递交响应文件同时提供所投产品样品，成交参与人样品视情况予以封存或退回。</w:t>
      </w:r>
    </w:p>
    <w:p>
      <w:pPr>
        <w:widowControl w:val="0"/>
        <w:numPr>
          <w:ilvl w:val="0"/>
          <w:numId w:val="0"/>
        </w:numPr>
        <w:spacing w:after="0" w:line="500" w:lineRule="exact"/>
        <w:ind w:left="420" w:leftChars="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9.</w:t>
      </w:r>
      <w:r>
        <w:rPr>
          <w:rFonts w:hint="eastAsia" w:ascii="仿宋" w:hAnsi="仿宋" w:eastAsia="仿宋" w:cs="仿宋"/>
          <w:color w:val="000000" w:themeColor="text1"/>
          <w:sz w:val="24"/>
          <w:szCs w:val="24"/>
          <w:highlight w:val="none"/>
          <w14:textFill>
            <w14:solidFill>
              <w14:schemeClr w14:val="tx1"/>
            </w14:solidFill>
          </w14:textFill>
        </w:rPr>
        <w:t>本项目需缴纳</w:t>
      </w:r>
      <w:r>
        <w:rPr>
          <w:rFonts w:hint="eastAsia" w:ascii="仿宋" w:hAnsi="仿宋" w:eastAsia="仿宋" w:cs="仿宋"/>
          <w:color w:val="000000" w:themeColor="text1"/>
          <w:sz w:val="24"/>
          <w:szCs w:val="24"/>
          <w:highlight w:val="none"/>
          <w:lang w:eastAsia="zh-CN"/>
          <w14:textFill>
            <w14:solidFill>
              <w14:schemeClr w14:val="tx1"/>
            </w14:solidFill>
          </w14:textFill>
        </w:rPr>
        <w:t>项目</w:t>
      </w:r>
      <w:r>
        <w:rPr>
          <w:rFonts w:hint="eastAsia" w:ascii="仿宋" w:hAnsi="仿宋" w:eastAsia="仿宋" w:cs="仿宋"/>
          <w:color w:val="000000" w:themeColor="text1"/>
          <w:sz w:val="24"/>
          <w:szCs w:val="24"/>
          <w:highlight w:val="none"/>
          <w14:textFill>
            <w14:solidFill>
              <w14:schemeClr w14:val="tx1"/>
            </w14:solidFill>
          </w14:textFill>
        </w:rPr>
        <w:t>保证金</w:t>
      </w:r>
      <w:r>
        <w:rPr>
          <w:rFonts w:hint="eastAsia" w:ascii="仿宋" w:hAnsi="仿宋" w:eastAsia="仿宋" w:cs="仿宋"/>
          <w:color w:val="000000" w:themeColor="text1"/>
          <w:sz w:val="24"/>
          <w:szCs w:val="24"/>
          <w:highlight w:val="none"/>
          <w:lang w:val="en-US" w:eastAsia="zh-CN"/>
          <w14:textFill>
            <w14:solidFill>
              <w14:schemeClr w14:val="tx1"/>
            </w14:solidFill>
          </w14:textFill>
        </w:rPr>
        <w:t>贰</w:t>
      </w:r>
      <w:r>
        <w:rPr>
          <w:rFonts w:hint="eastAsia" w:ascii="仿宋" w:hAnsi="仿宋" w:eastAsia="仿宋" w:cs="仿宋"/>
          <w:color w:val="000000" w:themeColor="text1"/>
          <w:sz w:val="24"/>
          <w:szCs w:val="24"/>
          <w:highlight w:val="none"/>
          <w14:textFill>
            <w14:solidFill>
              <w14:schemeClr w14:val="tx1"/>
            </w14:solidFill>
          </w14:textFill>
        </w:rPr>
        <w:t>万元</w:t>
      </w:r>
      <w:r>
        <w:rPr>
          <w:rFonts w:hint="eastAsia" w:ascii="仿宋" w:hAnsi="仿宋" w:eastAsia="仿宋" w:cs="仿宋"/>
          <w:color w:val="000000" w:themeColor="text1"/>
          <w:sz w:val="24"/>
          <w:szCs w:val="24"/>
          <w:highlight w:val="none"/>
          <w:lang w:val="en-US" w:eastAsia="zh-CN"/>
          <w14:textFill>
            <w14:solidFill>
              <w14:schemeClr w14:val="tx1"/>
            </w14:solidFill>
          </w14:textFill>
        </w:rPr>
        <w:t>整</w:t>
      </w:r>
      <w:r>
        <w:rPr>
          <w:rFonts w:hint="eastAsia" w:ascii="仿宋" w:hAnsi="仿宋" w:eastAsia="仿宋" w:cs="仿宋"/>
          <w:color w:val="000000" w:themeColor="text1"/>
          <w:sz w:val="24"/>
          <w:szCs w:val="24"/>
          <w:highlight w:val="none"/>
          <w:lang w:eastAsia="zh-CN"/>
          <w14:textFill>
            <w14:solidFill>
              <w14:schemeClr w14:val="tx1"/>
            </w14:solidFill>
          </w14:textFill>
        </w:rPr>
        <w:t>（递交投标文件前需将项目保证金转账凭证及资格预审</w:t>
      </w:r>
      <w:r>
        <w:rPr>
          <w:rFonts w:hint="eastAsia" w:ascii="仿宋" w:hAnsi="仿宋" w:eastAsia="仿宋" w:cs="仿宋"/>
          <w:color w:val="000000" w:themeColor="text1"/>
          <w:sz w:val="24"/>
          <w:szCs w:val="24"/>
          <w:highlight w:val="none"/>
          <w:lang w:val="en-US" w:eastAsia="zh-CN"/>
          <w14:textFill>
            <w14:solidFill>
              <w14:schemeClr w14:val="tx1"/>
            </w14:solidFill>
          </w14:textFill>
        </w:rPr>
        <w:t>文件扫描件</w:t>
      </w:r>
      <w:r>
        <w:rPr>
          <w:rFonts w:hint="eastAsia" w:ascii="仿宋" w:hAnsi="仿宋" w:eastAsia="仿宋" w:cs="仿宋"/>
          <w:color w:val="000000" w:themeColor="text1"/>
          <w:sz w:val="24"/>
          <w:szCs w:val="24"/>
          <w:highlight w:val="none"/>
          <w:lang w:eastAsia="zh-CN"/>
          <w14:textFill>
            <w14:solidFill>
              <w14:schemeClr w14:val="tx1"/>
            </w14:solidFill>
          </w14:textFill>
        </w:rPr>
        <w:t>微信转发给联系人）</w:t>
      </w:r>
      <w:r>
        <w:rPr>
          <w:rFonts w:hint="eastAsia" w:ascii="仿宋" w:hAnsi="仿宋" w:eastAsia="仿宋" w:cs="仿宋"/>
          <w:color w:val="000000" w:themeColor="text1"/>
          <w:sz w:val="24"/>
          <w:szCs w:val="24"/>
          <w:highlight w:val="none"/>
          <w14:textFill>
            <w14:solidFill>
              <w14:schemeClr w14:val="tx1"/>
            </w14:solidFill>
          </w14:textFill>
        </w:rPr>
        <w:t>，成交参与人</w:t>
      </w:r>
      <w:r>
        <w:rPr>
          <w:rFonts w:hint="eastAsia" w:ascii="仿宋" w:hAnsi="仿宋" w:eastAsia="仿宋" w:cs="仿宋"/>
          <w:color w:val="000000" w:themeColor="text1"/>
          <w:sz w:val="24"/>
          <w:szCs w:val="24"/>
          <w:highlight w:val="none"/>
          <w:lang w:eastAsia="zh-CN"/>
          <w14:textFill>
            <w14:solidFill>
              <w14:schemeClr w14:val="tx1"/>
            </w14:solidFill>
          </w14:textFill>
        </w:rPr>
        <w:t>项目</w:t>
      </w:r>
      <w:r>
        <w:rPr>
          <w:rFonts w:hint="eastAsia" w:ascii="仿宋" w:hAnsi="仿宋" w:eastAsia="仿宋" w:cs="仿宋"/>
          <w:color w:val="000000" w:themeColor="text1"/>
          <w:sz w:val="24"/>
          <w:szCs w:val="24"/>
          <w:highlight w:val="none"/>
          <w14:textFill>
            <w14:solidFill>
              <w14:schemeClr w14:val="tx1"/>
            </w14:solidFill>
          </w14:textFill>
        </w:rPr>
        <w:t>保证金自动转为履约质保金，履约质保金在验收合格日算起十五个工作日内无息退还，未成交参与人的</w:t>
      </w:r>
      <w:r>
        <w:rPr>
          <w:rFonts w:hint="eastAsia" w:ascii="仿宋" w:hAnsi="仿宋" w:eastAsia="仿宋" w:cs="仿宋"/>
          <w:color w:val="000000" w:themeColor="text1"/>
          <w:sz w:val="24"/>
          <w:szCs w:val="24"/>
          <w:highlight w:val="none"/>
          <w:lang w:eastAsia="zh-CN"/>
          <w14:textFill>
            <w14:solidFill>
              <w14:schemeClr w14:val="tx1"/>
            </w14:solidFill>
          </w14:textFill>
        </w:rPr>
        <w:t>项目</w:t>
      </w:r>
      <w:r>
        <w:rPr>
          <w:rFonts w:hint="eastAsia" w:ascii="仿宋" w:hAnsi="仿宋" w:eastAsia="仿宋" w:cs="仿宋"/>
          <w:color w:val="000000" w:themeColor="text1"/>
          <w:sz w:val="24"/>
          <w:szCs w:val="24"/>
          <w:highlight w:val="none"/>
          <w14:textFill>
            <w14:solidFill>
              <w14:schemeClr w14:val="tx1"/>
            </w14:solidFill>
          </w14:textFill>
        </w:rPr>
        <w:t>保证金，将按</w:t>
      </w:r>
      <w:r>
        <w:rPr>
          <w:rFonts w:hint="eastAsia" w:ascii="仿宋" w:hAnsi="仿宋" w:eastAsia="仿宋" w:cs="仿宋"/>
          <w:color w:val="000000" w:themeColor="text1"/>
          <w:sz w:val="24"/>
          <w:szCs w:val="24"/>
          <w:highlight w:val="none"/>
          <w:lang w:eastAsia="zh-CN"/>
          <w14:textFill>
            <w14:solidFill>
              <w14:schemeClr w14:val="tx1"/>
            </w14:solidFill>
          </w14:textFill>
        </w:rPr>
        <w:t>询价</w:t>
      </w:r>
      <w:r>
        <w:rPr>
          <w:rFonts w:hint="eastAsia" w:ascii="仿宋" w:hAnsi="仿宋" w:eastAsia="仿宋" w:cs="仿宋"/>
          <w:color w:val="000000" w:themeColor="text1"/>
          <w:sz w:val="24"/>
          <w:szCs w:val="24"/>
          <w:highlight w:val="none"/>
          <w14:textFill>
            <w14:solidFill>
              <w14:schemeClr w14:val="tx1"/>
            </w14:solidFill>
          </w14:textFill>
        </w:rPr>
        <w:t>文件规定在确定成交参与人成交通知书发出之后，十五个工作日办理原额无息退还手续。</w:t>
      </w:r>
    </w:p>
    <w:p>
      <w:pPr>
        <w:widowControl w:val="0"/>
        <w:numPr>
          <w:ilvl w:val="0"/>
          <w:numId w:val="0"/>
        </w:numPr>
        <w:spacing w:after="0" w:line="440" w:lineRule="exact"/>
        <w:ind w:left="420" w:leftChars="0"/>
        <w:rPr>
          <w:rFonts w:hint="eastAsia" w:ascii="仿宋" w:hAnsi="仿宋" w:eastAsia="仿宋" w:cs="仿宋"/>
          <w:sz w:val="24"/>
          <w:szCs w:val="24"/>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10.</w:t>
      </w:r>
      <w:r>
        <w:rPr>
          <w:rFonts w:hint="eastAsia" w:ascii="仿宋" w:hAnsi="仿宋" w:eastAsia="仿宋" w:cs="仿宋"/>
          <w:sz w:val="24"/>
          <w:szCs w:val="24"/>
          <w:lang w:eastAsia="zh-CN"/>
        </w:rPr>
        <w:t>项目</w:t>
      </w:r>
      <w:r>
        <w:rPr>
          <w:rFonts w:hint="eastAsia" w:ascii="仿宋" w:hAnsi="仿宋" w:eastAsia="仿宋" w:cs="仿宋"/>
          <w:sz w:val="24"/>
          <w:szCs w:val="24"/>
        </w:rPr>
        <w:t>保证金汇款账号</w:t>
      </w:r>
    </w:p>
    <w:p>
      <w:pPr>
        <w:widowControl w:val="0"/>
        <w:numPr>
          <w:ilvl w:val="0"/>
          <w:numId w:val="0"/>
        </w:numPr>
        <w:spacing w:after="0" w:line="460" w:lineRule="exact"/>
        <w:ind w:left="420" w:leftChars="0" w:firstLine="458" w:firstLineChars="191"/>
        <w:rPr>
          <w:rFonts w:hint="eastAsia" w:ascii="仿宋" w:hAnsi="仿宋" w:eastAsia="仿宋" w:cs="仿宋"/>
          <w:sz w:val="24"/>
          <w:szCs w:val="24"/>
        </w:rPr>
      </w:pPr>
      <w:r>
        <w:rPr>
          <w:rFonts w:hint="eastAsia" w:ascii="仿宋" w:hAnsi="仿宋" w:eastAsia="仿宋" w:cs="仿宋"/>
          <w:sz w:val="24"/>
          <w:szCs w:val="24"/>
        </w:rPr>
        <w:t>开户名称： 江西科技学院</w:t>
      </w:r>
    </w:p>
    <w:p>
      <w:pPr>
        <w:widowControl w:val="0"/>
        <w:numPr>
          <w:ilvl w:val="0"/>
          <w:numId w:val="0"/>
        </w:numPr>
        <w:spacing w:after="0" w:line="460" w:lineRule="exact"/>
        <w:ind w:left="420" w:leftChars="0" w:firstLine="458" w:firstLineChars="191"/>
        <w:rPr>
          <w:rFonts w:hint="eastAsia" w:ascii="仿宋" w:hAnsi="仿宋" w:eastAsia="仿宋" w:cs="仿宋"/>
          <w:sz w:val="24"/>
          <w:szCs w:val="24"/>
        </w:rPr>
      </w:pPr>
      <w:r>
        <w:rPr>
          <w:rFonts w:hint="eastAsia" w:ascii="仿宋" w:hAnsi="仿宋" w:eastAsia="仿宋" w:cs="仿宋"/>
          <w:sz w:val="24"/>
          <w:szCs w:val="24"/>
        </w:rPr>
        <w:t>账    号：1881 2801 8090 5199 30</w:t>
      </w:r>
    </w:p>
    <w:p>
      <w:pPr>
        <w:widowControl w:val="0"/>
        <w:numPr>
          <w:ilvl w:val="0"/>
          <w:numId w:val="0"/>
        </w:numPr>
        <w:spacing w:after="0" w:line="460" w:lineRule="exact"/>
        <w:ind w:left="420" w:leftChars="0" w:firstLine="458" w:firstLineChars="191"/>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sz w:val="24"/>
          <w:szCs w:val="24"/>
        </w:rPr>
        <w:t>开户银行：江西银行铁路支行</w:t>
      </w:r>
    </w:p>
    <w:p>
      <w:pPr>
        <w:widowControl w:val="0"/>
        <w:numPr>
          <w:ilvl w:val="0"/>
          <w:numId w:val="0"/>
        </w:numPr>
        <w:spacing w:after="0" w:line="500" w:lineRule="exact"/>
        <w:ind w:left="440" w:left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11.</w:t>
      </w:r>
      <w:r>
        <w:rPr>
          <w:rFonts w:hint="eastAsia" w:ascii="仿宋" w:hAnsi="仿宋" w:eastAsia="仿宋" w:cs="仿宋"/>
          <w:color w:val="000000" w:themeColor="text1"/>
          <w:sz w:val="24"/>
          <w:szCs w:val="24"/>
          <w14:textFill>
            <w14:solidFill>
              <w14:schemeClr w14:val="tx1"/>
            </w14:solidFill>
          </w14:textFill>
        </w:rPr>
        <w:t>参加本项目的参与人如对</w:t>
      </w:r>
      <w:r>
        <w:rPr>
          <w:rFonts w:hint="eastAsia" w:ascii="仿宋" w:hAnsi="仿宋" w:eastAsia="仿宋" w:cs="仿宋"/>
          <w:b/>
          <w:bCs/>
          <w:color w:val="000000" w:themeColor="text1"/>
          <w:sz w:val="24"/>
          <w:szCs w:val="24"/>
          <w14:textFill>
            <w14:solidFill>
              <w14:schemeClr w14:val="tx1"/>
            </w14:solidFill>
          </w14:textFill>
        </w:rPr>
        <w:t>公开询价邀请函列示内容存有疑问的</w:t>
      </w:r>
      <w:r>
        <w:rPr>
          <w:rFonts w:hint="eastAsia" w:ascii="仿宋" w:hAnsi="仿宋" w:eastAsia="仿宋" w:cs="仿宋"/>
          <w:color w:val="000000" w:themeColor="text1"/>
          <w:sz w:val="24"/>
          <w:szCs w:val="24"/>
          <w14:textFill>
            <w14:solidFill>
              <w14:schemeClr w14:val="tx1"/>
            </w14:solidFill>
          </w14:textFill>
        </w:rPr>
        <w:t>，请在报价响应文件递交截止之日前，将问题以书面形式（有效签署的原件并加盖公章）提交至学校业务对接人，联系人：</w:t>
      </w:r>
      <w:r>
        <w:rPr>
          <w:rFonts w:hint="eastAsia" w:ascii="仿宋" w:hAnsi="仿宋" w:eastAsia="仿宋" w:cs="仿宋"/>
          <w:sz w:val="24"/>
          <w:szCs w:val="24"/>
        </w:rPr>
        <w:t>宋欧（体育学院）</w:t>
      </w:r>
      <w:r>
        <w:rPr>
          <w:rFonts w:hint="eastAsia" w:ascii="仿宋" w:hAnsi="仿宋" w:eastAsia="仿宋" w:cs="仿宋"/>
          <w:color w:val="000000" w:themeColor="text1"/>
          <w:sz w:val="24"/>
          <w:szCs w:val="24"/>
          <w14:textFill>
            <w14:solidFill>
              <w14:schemeClr w14:val="tx1"/>
            </w14:solidFill>
          </w14:textFill>
        </w:rPr>
        <w:t>，电话：</w:t>
      </w:r>
      <w:r>
        <w:rPr>
          <w:rFonts w:hint="eastAsia" w:ascii="仿宋" w:hAnsi="仿宋" w:eastAsia="仿宋" w:cs="仿宋"/>
          <w:sz w:val="24"/>
          <w:szCs w:val="24"/>
        </w:rPr>
        <w:t>13576138858</w:t>
      </w:r>
      <w:r>
        <w:rPr>
          <w:rFonts w:hint="eastAsia" w:ascii="仿宋" w:hAnsi="仿宋" w:eastAsia="仿宋" w:cs="仿宋"/>
          <w:color w:val="000000" w:themeColor="text1"/>
          <w:sz w:val="24"/>
          <w:szCs w:val="24"/>
          <w14:textFill>
            <w14:solidFill>
              <w14:schemeClr w14:val="tx1"/>
            </w14:solidFill>
          </w14:textFill>
        </w:rPr>
        <w:t>和胡鑫硕（文传学院）13963326648.采购人不对超时提交及未加盖公章的质疑文件进行回复。</w:t>
      </w:r>
    </w:p>
    <w:p>
      <w:pPr>
        <w:widowControl w:val="0"/>
        <w:numPr>
          <w:ilvl w:val="0"/>
          <w:numId w:val="0"/>
        </w:numPr>
        <w:spacing w:after="0" w:line="460" w:lineRule="exact"/>
        <w:ind w:left="440" w:leftChars="0"/>
        <w:rPr>
          <w:rFonts w:hint="eastAsia" w:ascii="仿宋" w:hAnsi="仿宋" w:eastAsia="仿宋" w:cs="仿宋"/>
          <w:color w:val="000000" w:themeColor="text1"/>
          <w:sz w:val="24"/>
          <w:szCs w:val="24"/>
          <w14:textFill>
            <w14:solidFill>
              <w14:schemeClr w14:val="tx1"/>
            </w14:solidFill>
          </w14:textFill>
        </w:rPr>
      </w:pPr>
      <w:bookmarkStart w:id="50" w:name="_Hlk97917519"/>
      <w:r>
        <w:rPr>
          <w:rFonts w:hint="eastAsia" w:ascii="仿宋" w:hAnsi="仿宋" w:eastAsia="仿宋" w:cs="仿宋"/>
          <w:color w:val="000000" w:themeColor="text1"/>
          <w:sz w:val="24"/>
          <w:szCs w:val="24"/>
          <w:lang w:val="en-US" w:eastAsia="zh-CN"/>
          <w14:textFill>
            <w14:solidFill>
              <w14:schemeClr w14:val="tx1"/>
            </w14:solidFill>
          </w14:textFill>
        </w:rPr>
        <w:t>12.</w:t>
      </w:r>
      <w:r>
        <w:rPr>
          <w:rFonts w:hint="eastAsia" w:ascii="仿宋" w:hAnsi="仿宋" w:eastAsia="仿宋" w:cs="仿宋"/>
          <w:color w:val="000000" w:themeColor="text1"/>
          <w:sz w:val="24"/>
          <w:szCs w:val="24"/>
          <w14:textFill>
            <w14:solidFill>
              <w14:schemeClr w14:val="tx1"/>
            </w14:solidFill>
          </w14:textFill>
        </w:rPr>
        <w:t>本项目最终成交结果会在中教集团后勤贤知平台“中标信息公示”板块公示，网址：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"http://www.ceghqxz.com" </w:instrText>
      </w:r>
      <w:r>
        <w:rPr>
          <w:rFonts w:hint="eastAsia" w:ascii="仿宋" w:hAnsi="仿宋" w:eastAsia="仿宋" w:cs="仿宋"/>
          <w:sz w:val="24"/>
          <w:szCs w:val="24"/>
        </w:rPr>
        <w:fldChar w:fldCharType="separate"/>
      </w:r>
      <w:r>
        <w:rPr>
          <w:rStyle w:val="31"/>
          <w:rFonts w:hint="eastAsia" w:ascii="仿宋" w:hAnsi="仿宋" w:eastAsia="仿宋" w:cs="仿宋"/>
          <w:color w:val="000000" w:themeColor="text1"/>
          <w:sz w:val="24"/>
          <w:szCs w:val="24"/>
          <w14:textFill>
            <w14:solidFill>
              <w14:schemeClr w14:val="tx1"/>
            </w14:solidFill>
          </w14:textFill>
        </w:rPr>
        <w:t>www.ceghqxz.com</w:t>
      </w:r>
      <w:r>
        <w:rPr>
          <w:rStyle w:val="31"/>
          <w:rFonts w:hint="eastAsia" w:ascii="仿宋" w:hAnsi="仿宋" w:eastAsia="仿宋" w:cs="仿宋"/>
          <w:color w:val="000000" w:themeColor="text1"/>
          <w:sz w:val="24"/>
          <w:szCs w:val="24"/>
          <w14:textFill>
            <w14:solidFill>
              <w14:schemeClr w14:val="tx1"/>
            </w14:solidFill>
          </w14:textFill>
        </w:rPr>
        <w:fldChar w:fldCharType="end"/>
      </w:r>
      <w:r>
        <w:rPr>
          <w:rFonts w:hint="eastAsia" w:ascii="仿宋" w:hAnsi="仿宋" w:eastAsia="仿宋" w:cs="仿宋"/>
          <w:color w:val="000000" w:themeColor="text1"/>
          <w:sz w:val="24"/>
          <w:szCs w:val="24"/>
          <w14:textFill>
            <w14:solidFill>
              <w14:schemeClr w14:val="tx1"/>
            </w14:solidFill>
          </w14:textFill>
        </w:rPr>
        <w:t>。参加本项目的参与人如对</w:t>
      </w:r>
      <w:r>
        <w:rPr>
          <w:rFonts w:hint="eastAsia" w:ascii="仿宋" w:hAnsi="仿宋" w:eastAsia="仿宋" w:cs="仿宋"/>
          <w:b/>
          <w:bCs/>
          <w:color w:val="000000" w:themeColor="text1"/>
          <w:sz w:val="24"/>
          <w:szCs w:val="24"/>
          <w14:textFill>
            <w14:solidFill>
              <w14:schemeClr w14:val="tx1"/>
            </w14:solidFill>
          </w14:textFill>
        </w:rPr>
        <w:t>采购过程和成交结果有异议的，</w:t>
      </w:r>
      <w:bookmarkEnd w:id="50"/>
      <w:r>
        <w:rPr>
          <w:rFonts w:hint="eastAsia" w:ascii="仿宋" w:hAnsi="仿宋" w:eastAsia="仿宋" w:cs="仿宋"/>
          <w:color w:val="000000" w:themeColor="text1"/>
          <w:sz w:val="24"/>
          <w:szCs w:val="24"/>
          <w14:textFill>
            <w14:solidFill>
              <w14:schemeClr w14:val="tx1"/>
            </w14:solidFill>
          </w14:textFill>
        </w:rPr>
        <w:t>请以书面形式（有效签署的原件并加盖公章），并附有相关的证据材料，提交至集团内控部。投诉受理部门：中教集团内控部，投诉电话： 0791-88106510 /0791-88102608</w:t>
      </w:r>
    </w:p>
    <w:p>
      <w:pPr>
        <w:spacing w:after="0" w:line="500" w:lineRule="exact"/>
        <w:ind w:firstLine="364" w:firstLineChars="152"/>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二、参与人须知</w:t>
      </w:r>
    </w:p>
    <w:p>
      <w:pPr>
        <w:widowControl w:val="0"/>
        <w:spacing w:after="0" w:line="500" w:lineRule="exact"/>
        <w:ind w:left="426"/>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1.所有货物均以人民币报价；</w:t>
      </w:r>
    </w:p>
    <w:p>
      <w:pPr>
        <w:widowControl w:val="0"/>
        <w:spacing w:after="0" w:line="500" w:lineRule="exact"/>
        <w:ind w:left="426"/>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2.报价响应文件2份，报价响应文件必须用A4幅面纸张打印，须由参与人填写并加盖公章（正本1份副本1份）；</w:t>
      </w:r>
    </w:p>
    <w:p>
      <w:pPr>
        <w:widowControl w:val="0"/>
        <w:spacing w:after="0" w:line="500" w:lineRule="exact"/>
        <w:ind w:left="426"/>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3.报价响应文件用不退色墨水书写或打印，因字迹潦草或表达不清所引起的后果由参与人自负；</w:t>
      </w:r>
    </w:p>
    <w:p>
      <w:pPr>
        <w:widowControl w:val="0"/>
        <w:spacing w:after="0" w:line="500" w:lineRule="exact"/>
        <w:ind w:left="426"/>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4. </w:t>
      </w:r>
      <w:r>
        <w:rPr>
          <w:rFonts w:hint="eastAsia" w:ascii="仿宋" w:hAnsi="仿宋" w:eastAsia="仿宋" w:cs="仿宋"/>
          <w:b/>
          <w:bCs/>
          <w:color w:val="000000" w:themeColor="text1"/>
          <w:sz w:val="24"/>
          <w:szCs w:val="24"/>
          <w14:textFill>
            <w14:solidFill>
              <w14:schemeClr w14:val="tx1"/>
            </w14:solidFill>
          </w14:textFill>
        </w:rPr>
        <w:t>报价响应文件及所有相关资料需同时进行密封处理，并在密封处加盖公章，未做密封处理及未加盖公章的视为无效报价；</w:t>
      </w:r>
    </w:p>
    <w:p>
      <w:pPr>
        <w:widowControl w:val="0"/>
        <w:spacing w:after="0" w:line="500" w:lineRule="exact"/>
        <w:ind w:left="426"/>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5.一个参与人只能提交一个报价响应文件。但如果参与人之间存在下列互为关联关系情形之一的，不得同时参加本项目报价：</w:t>
      </w:r>
    </w:p>
    <w:p>
      <w:pPr>
        <w:widowControl w:val="0"/>
        <w:spacing w:after="0" w:line="500" w:lineRule="exact"/>
        <w:ind w:left="426"/>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 法定代表人为同一人的两个及两个以上法人；</w:t>
      </w:r>
    </w:p>
    <w:p>
      <w:pPr>
        <w:widowControl w:val="0"/>
        <w:spacing w:after="0" w:line="500" w:lineRule="exact"/>
        <w:ind w:left="426"/>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 母公司、直接或间接持股50％及以上的被投资公司;</w:t>
      </w:r>
    </w:p>
    <w:p>
      <w:pPr>
        <w:widowControl w:val="0"/>
        <w:spacing w:after="0" w:line="500" w:lineRule="exact"/>
        <w:ind w:left="426"/>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 均为同一家母公司直接或间接持股50％及以上的被投资公司。</w:t>
      </w:r>
    </w:p>
    <w:p>
      <w:pPr>
        <w:spacing w:after="0" w:line="500" w:lineRule="exact"/>
        <w:ind w:firstLine="364" w:firstLineChars="152"/>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三、售后服务要求</w:t>
      </w:r>
    </w:p>
    <w:p>
      <w:pPr>
        <w:widowControl w:val="0"/>
        <w:spacing w:after="0" w:line="500" w:lineRule="exact"/>
        <w:ind w:left="426"/>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1.免费保修期；</w:t>
      </w:r>
    </w:p>
    <w:p>
      <w:pPr>
        <w:widowControl w:val="0"/>
        <w:spacing w:after="0" w:line="500" w:lineRule="exact"/>
        <w:ind w:left="426"/>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2.应急维修时间安排；</w:t>
      </w:r>
    </w:p>
    <w:p>
      <w:pPr>
        <w:widowControl w:val="0"/>
        <w:spacing w:after="0" w:line="500" w:lineRule="exact"/>
        <w:ind w:left="426"/>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3.培训计划及人员安排；</w:t>
      </w:r>
    </w:p>
    <w:p>
      <w:pPr>
        <w:widowControl w:val="0"/>
        <w:spacing w:after="0" w:line="500" w:lineRule="exact"/>
        <w:ind w:left="426"/>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4.维修地点、地址、联系电话及联系人员；</w:t>
      </w:r>
    </w:p>
    <w:p>
      <w:pPr>
        <w:widowControl w:val="0"/>
        <w:spacing w:after="0" w:line="500" w:lineRule="exact"/>
        <w:ind w:left="426"/>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5.维修服务收费标准；</w:t>
      </w:r>
    </w:p>
    <w:p>
      <w:pPr>
        <w:widowControl w:val="0"/>
        <w:spacing w:after="0" w:line="500" w:lineRule="exact"/>
        <w:ind w:left="426"/>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6.主要零配件及易耗品价格；</w:t>
      </w:r>
    </w:p>
    <w:p>
      <w:pPr>
        <w:widowControl w:val="0"/>
        <w:spacing w:after="0" w:line="500" w:lineRule="exact"/>
        <w:ind w:left="426"/>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7.制造商的技术支持；</w:t>
      </w:r>
    </w:p>
    <w:p>
      <w:pPr>
        <w:spacing w:after="0" w:line="500" w:lineRule="exact"/>
        <w:ind w:firstLine="364" w:firstLineChars="152"/>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四、确定成交参与人标准及原则：</w:t>
      </w:r>
    </w:p>
    <w:p>
      <w:pPr>
        <w:pStyle w:val="58"/>
        <w:numPr>
          <w:ilvl w:val="0"/>
          <w:numId w:val="2"/>
        </w:numPr>
        <w:spacing w:after="0" w:line="500" w:lineRule="exact"/>
        <w:ind w:left="851" w:hanging="425" w:firstLineChars="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本项目为自有资金而非财政性资金采购，采购人按企业内部规定的标准进行评定 。</w:t>
      </w:r>
    </w:p>
    <w:p>
      <w:pPr>
        <w:pStyle w:val="58"/>
        <w:numPr>
          <w:ilvl w:val="0"/>
          <w:numId w:val="2"/>
        </w:numPr>
        <w:spacing w:after="0" w:line="500" w:lineRule="exact"/>
        <w:ind w:left="851" w:hanging="425" w:firstLineChars="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参与人所投物品符合需求、质量和服务等的要求,经过磋商所报价格为合理价格的参与人为成交参与人。</w:t>
      </w:r>
    </w:p>
    <w:p>
      <w:pPr>
        <w:pStyle w:val="58"/>
        <w:numPr>
          <w:ilvl w:val="0"/>
          <w:numId w:val="2"/>
        </w:numPr>
        <w:spacing w:after="0" w:line="500" w:lineRule="exact"/>
        <w:ind w:left="851" w:hanging="425" w:firstLineChars="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最低报价不作为成交的保证。</w:t>
      </w:r>
    </w:p>
    <w:p>
      <w:pPr>
        <w:pStyle w:val="58"/>
        <w:spacing w:after="0" w:line="500" w:lineRule="exact"/>
        <w:ind w:firstLine="0" w:firstLineChars="0"/>
        <w:jc w:val="left"/>
        <w:rPr>
          <w:rFonts w:ascii="仿宋" w:hAnsi="仿宋" w:eastAsia="仿宋"/>
          <w:color w:val="000000" w:themeColor="text1"/>
          <w:sz w:val="28"/>
          <w:szCs w:val="28"/>
          <w14:textFill>
            <w14:solidFill>
              <w14:schemeClr w14:val="tx1"/>
            </w14:solidFill>
          </w14:textFill>
        </w:rPr>
      </w:pPr>
    </w:p>
    <w:p>
      <w:pPr>
        <w:pStyle w:val="58"/>
        <w:spacing w:after="0" w:line="500" w:lineRule="exact"/>
        <w:ind w:firstLine="0" w:firstLineChars="0"/>
        <w:jc w:val="left"/>
        <w:rPr>
          <w:rFonts w:ascii="仿宋" w:hAnsi="仿宋" w:eastAsia="仿宋"/>
          <w:color w:val="000000" w:themeColor="text1"/>
          <w:sz w:val="28"/>
          <w:szCs w:val="28"/>
          <w14:textFill>
            <w14:solidFill>
              <w14:schemeClr w14:val="tx1"/>
            </w14:solidFill>
          </w14:textFill>
        </w:rPr>
      </w:pPr>
    </w:p>
    <w:p>
      <w:pPr>
        <w:pStyle w:val="58"/>
        <w:spacing w:after="0" w:line="500" w:lineRule="exact"/>
        <w:ind w:firstLine="0" w:firstLineChars="0"/>
        <w:jc w:val="left"/>
        <w:rPr>
          <w:rFonts w:ascii="仿宋" w:hAnsi="仿宋" w:eastAsia="仿宋"/>
          <w:color w:val="000000" w:themeColor="text1"/>
          <w:sz w:val="28"/>
          <w:szCs w:val="28"/>
          <w14:textFill>
            <w14:solidFill>
              <w14:schemeClr w14:val="tx1"/>
            </w14:solidFill>
          </w14:textFill>
        </w:rPr>
      </w:pPr>
    </w:p>
    <w:p>
      <w:pPr>
        <w:pStyle w:val="58"/>
        <w:spacing w:after="0" w:line="500" w:lineRule="exact"/>
        <w:ind w:firstLine="0" w:firstLineChars="0"/>
        <w:jc w:val="left"/>
        <w:rPr>
          <w:rFonts w:ascii="仿宋" w:hAnsi="仿宋" w:eastAsia="仿宋"/>
          <w:color w:val="000000" w:themeColor="text1"/>
          <w:sz w:val="28"/>
          <w:szCs w:val="28"/>
          <w14:textFill>
            <w14:solidFill>
              <w14:schemeClr w14:val="tx1"/>
            </w14:solidFill>
          </w14:textFill>
        </w:rPr>
      </w:pPr>
    </w:p>
    <w:p>
      <w:pPr>
        <w:pStyle w:val="58"/>
        <w:spacing w:after="0" w:line="500" w:lineRule="exact"/>
        <w:ind w:firstLine="0" w:firstLineChars="0"/>
        <w:jc w:val="righ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江西科技学院</w:t>
      </w:r>
    </w:p>
    <w:p>
      <w:pPr>
        <w:pStyle w:val="58"/>
        <w:spacing w:after="0" w:line="500" w:lineRule="exact"/>
        <w:ind w:firstLine="0" w:firstLineChars="0"/>
        <w:jc w:val="right"/>
        <w:rPr>
          <w:rFonts w:hint="eastAsia" w:ascii="仿宋" w:hAnsi="仿宋" w:eastAsia="仿宋" w:cs="仿宋"/>
          <w:color w:val="000000" w:themeColor="text1"/>
          <w:sz w:val="28"/>
          <w:szCs w:val="28"/>
          <w14:textFill>
            <w14:solidFill>
              <w14:schemeClr w14:val="tx1"/>
            </w14:solidFill>
          </w14:textFill>
        </w:rPr>
      </w:pPr>
    </w:p>
    <w:p>
      <w:pPr>
        <w:pStyle w:val="58"/>
        <w:spacing w:after="0" w:line="500" w:lineRule="exact"/>
        <w:ind w:firstLine="0" w:firstLineChars="0"/>
        <w:jc w:val="right"/>
        <w:rPr>
          <w:rFonts w:hint="eastAsia" w:ascii="仿宋" w:hAnsi="仿宋" w:eastAsia="仿宋" w:cs="仿宋"/>
          <w:color w:val="000000" w:themeColor="text1"/>
          <w:sz w:val="28"/>
          <w:szCs w:val="28"/>
          <w14:textFill>
            <w14:solidFill>
              <w14:schemeClr w14:val="tx1"/>
            </w14:solidFill>
          </w14:textFill>
        </w:rPr>
      </w:pPr>
    </w:p>
    <w:p>
      <w:pPr>
        <w:pStyle w:val="58"/>
        <w:spacing w:after="0" w:line="500" w:lineRule="exact"/>
        <w:ind w:firstLine="0" w:firstLineChars="0"/>
        <w:jc w:val="right"/>
        <w:rPr>
          <w:rFonts w:hint="eastAsia" w:ascii="仿宋" w:hAnsi="仿宋" w:eastAsia="仿宋" w:cs="仿宋"/>
          <w:color w:val="000000" w:themeColor="text1"/>
          <w:sz w:val="28"/>
          <w:szCs w:val="28"/>
          <w14:textFill>
            <w14:solidFill>
              <w14:schemeClr w14:val="tx1"/>
            </w14:solidFill>
          </w14:textFill>
        </w:rPr>
      </w:pPr>
    </w:p>
    <w:p>
      <w:pPr>
        <w:pStyle w:val="58"/>
        <w:spacing w:after="0" w:line="500" w:lineRule="exact"/>
        <w:ind w:firstLine="0" w:firstLineChars="0"/>
        <w:jc w:val="right"/>
        <w:rPr>
          <w:rFonts w:hint="eastAsia" w:ascii="仿宋" w:hAnsi="仿宋" w:eastAsia="仿宋" w:cs="仿宋"/>
          <w:color w:val="000000" w:themeColor="text1"/>
          <w:sz w:val="28"/>
          <w:szCs w:val="28"/>
          <w14:textFill>
            <w14:solidFill>
              <w14:schemeClr w14:val="tx1"/>
            </w14:solidFill>
          </w14:textFill>
        </w:rPr>
      </w:pPr>
    </w:p>
    <w:p>
      <w:pPr>
        <w:pStyle w:val="58"/>
        <w:spacing w:after="0" w:line="500" w:lineRule="exact"/>
        <w:ind w:firstLine="0" w:firstLineChars="0"/>
        <w:jc w:val="right"/>
        <w:rPr>
          <w:rFonts w:hint="eastAsia" w:ascii="仿宋" w:hAnsi="仿宋" w:eastAsia="仿宋" w:cs="仿宋"/>
          <w:color w:val="000000" w:themeColor="text1"/>
          <w:sz w:val="28"/>
          <w:szCs w:val="28"/>
          <w14:textFill>
            <w14:solidFill>
              <w14:schemeClr w14:val="tx1"/>
            </w14:solidFill>
          </w14:textFill>
        </w:rPr>
      </w:pPr>
    </w:p>
    <w:p>
      <w:pPr>
        <w:spacing w:after="0" w:line="500" w:lineRule="exact"/>
        <w:jc w:val="right"/>
        <w:rPr>
          <w:rFonts w:ascii="仿宋" w:hAnsi="仿宋" w:eastAsia="仿宋"/>
          <w:b/>
          <w:color w:val="000000" w:themeColor="text1"/>
          <w:sz w:val="44"/>
          <w:szCs w:val="44"/>
          <w14:textFill>
            <w14:solidFill>
              <w14:schemeClr w14:val="tx1"/>
            </w14:solidFill>
          </w14:textFill>
        </w:rPr>
      </w:pPr>
    </w:p>
    <w:p>
      <w:pPr>
        <w:pStyle w:val="55"/>
        <w:spacing w:line="360" w:lineRule="auto"/>
        <w:jc w:val="center"/>
        <w:outlineLvl w:val="0"/>
        <w:rPr>
          <w:rFonts w:ascii="仿宋" w:hAnsi="仿宋" w:eastAsia="仿宋"/>
          <w:b/>
          <w:color w:val="000000" w:themeColor="text1"/>
          <w:sz w:val="44"/>
          <w:szCs w:val="44"/>
          <w14:textFill>
            <w14:solidFill>
              <w14:schemeClr w14:val="tx1"/>
            </w14:solidFill>
          </w14:textFill>
        </w:rPr>
      </w:pPr>
      <w:r>
        <w:rPr>
          <w:rFonts w:hint="eastAsia" w:ascii="仿宋" w:hAnsi="仿宋" w:eastAsia="仿宋"/>
          <w:b/>
          <w:color w:val="000000" w:themeColor="text1"/>
          <w:sz w:val="44"/>
          <w:szCs w:val="44"/>
          <w14:textFill>
            <w14:solidFill>
              <w14:schemeClr w14:val="tx1"/>
            </w14:solidFill>
          </w14:textFill>
        </w:rPr>
        <w:t>二、</w:t>
      </w:r>
      <w:bookmarkEnd w:id="49"/>
      <w:r>
        <w:rPr>
          <w:rFonts w:hint="eastAsia" w:ascii="仿宋" w:hAnsi="仿宋" w:eastAsia="仿宋"/>
          <w:b/>
          <w:color w:val="000000" w:themeColor="text1"/>
          <w:sz w:val="44"/>
          <w:szCs w:val="44"/>
          <w14:textFill>
            <w14:solidFill>
              <w14:schemeClr w14:val="tx1"/>
            </w14:solidFill>
          </w14:textFill>
        </w:rPr>
        <w:t>公开询价货物一览表</w:t>
      </w:r>
    </w:p>
    <w:p>
      <w:pPr>
        <w:pStyle w:val="55"/>
        <w:spacing w:line="360" w:lineRule="auto"/>
        <w:jc w:val="center"/>
        <w:outlineLvl w:val="0"/>
        <w:rPr>
          <w:rFonts w:ascii="仿宋" w:hAnsi="仿宋" w:eastAsia="仿宋"/>
          <w:b/>
          <w:color w:val="000000" w:themeColor="text1"/>
          <w:sz w:val="44"/>
          <w:szCs w:val="44"/>
          <w14:textFill>
            <w14:solidFill>
              <w14:schemeClr w14:val="tx1"/>
            </w14:solidFill>
          </w14:textFill>
        </w:rPr>
      </w:pPr>
      <w:r>
        <w:rPr>
          <w:rFonts w:hint="eastAsia" w:ascii="仿宋" w:hAnsi="仿宋" w:eastAsia="仿宋"/>
          <w:b/>
          <w:color w:val="000000" w:themeColor="text1"/>
          <w:sz w:val="44"/>
          <w:szCs w:val="44"/>
          <w14:textFill>
            <w14:solidFill>
              <w14:schemeClr w14:val="tx1"/>
            </w14:solidFill>
          </w14:textFill>
        </w:rPr>
        <w:t>一、项目内容、参数</w:t>
      </w:r>
    </w:p>
    <w:tbl>
      <w:tblPr>
        <w:tblStyle w:val="25"/>
        <w:tblW w:w="10285" w:type="dxa"/>
        <w:jc w:val="center"/>
        <w:tblLayout w:type="fixed"/>
        <w:tblCellMar>
          <w:top w:w="0" w:type="dxa"/>
          <w:left w:w="0" w:type="dxa"/>
          <w:bottom w:w="0" w:type="dxa"/>
          <w:right w:w="0" w:type="dxa"/>
        </w:tblCellMar>
      </w:tblPr>
      <w:tblGrid>
        <w:gridCol w:w="602"/>
        <w:gridCol w:w="1848"/>
        <w:gridCol w:w="4422"/>
        <w:gridCol w:w="703"/>
        <w:gridCol w:w="645"/>
        <w:gridCol w:w="562"/>
        <w:gridCol w:w="582"/>
        <w:gridCol w:w="921"/>
      </w:tblGrid>
      <w:tr>
        <w:tblPrEx>
          <w:tblCellMar>
            <w:top w:w="0" w:type="dxa"/>
            <w:left w:w="0" w:type="dxa"/>
            <w:bottom w:w="0" w:type="dxa"/>
            <w:right w:w="0" w:type="dxa"/>
          </w:tblCellMar>
        </w:tblPrEx>
        <w:trPr>
          <w:trHeight w:val="753"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rPr>
              <w:t>序号</w:t>
            </w:r>
          </w:p>
        </w:tc>
        <w:tc>
          <w:tcPr>
            <w:tcW w:w="184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rPr>
              <w:t>物品名称</w:t>
            </w:r>
          </w:p>
        </w:tc>
        <w:tc>
          <w:tcPr>
            <w:tcW w:w="442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rPr>
              <w:t>技术参数</w:t>
            </w:r>
          </w:p>
        </w:tc>
        <w:tc>
          <w:tcPr>
            <w:tcW w:w="70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rPr>
              <w:t>数量</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rPr>
              <w:t>单位</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rPr>
              <w:t>单价</w:t>
            </w:r>
          </w:p>
        </w:tc>
        <w:tc>
          <w:tcPr>
            <w:tcW w:w="582" w:type="dxa"/>
            <w:tcBorders>
              <w:top w:val="single" w:color="000000" w:sz="4" w:space="0"/>
              <w:left w:val="single" w:color="000000" w:sz="4" w:space="0"/>
              <w:bottom w:val="single" w:color="000000" w:sz="4" w:space="0"/>
              <w:right w:val="single" w:color="auto" w:sz="4" w:space="0"/>
            </w:tcBorders>
            <w:noWrap/>
            <w:tcMar>
              <w:top w:w="15" w:type="dxa"/>
              <w:left w:w="15" w:type="dxa"/>
              <w:bottom w:w="0" w:type="dxa"/>
              <w:right w:w="15" w:type="dxa"/>
            </w:tcMar>
            <w:vAlign w:val="center"/>
          </w:tcPr>
          <w:p>
            <w:pPr>
              <w:jc w:val="center"/>
              <w:textAlignment w:val="center"/>
              <w:rPr>
                <w:rFonts w:ascii="仿宋" w:hAnsi="仿宋" w:eastAsia="仿宋" w:cs="仿宋"/>
                <w:color w:val="000000"/>
              </w:rPr>
            </w:pPr>
            <w:r>
              <w:rPr>
                <w:rFonts w:hint="eastAsia" w:ascii="仿宋" w:hAnsi="仿宋" w:eastAsia="仿宋" w:cs="仿宋"/>
                <w:color w:val="000000"/>
              </w:rPr>
              <w:t>总价</w:t>
            </w:r>
          </w:p>
        </w:tc>
        <w:tc>
          <w:tcPr>
            <w:tcW w:w="921" w:type="dxa"/>
            <w:tcBorders>
              <w:top w:val="single" w:color="000000" w:sz="4" w:space="0"/>
              <w:left w:val="single" w:color="auto" w:sz="4" w:space="0"/>
              <w:bottom w:val="single" w:color="000000" w:sz="4" w:space="0"/>
              <w:right w:val="single" w:color="000000" w:sz="4" w:space="0"/>
            </w:tcBorders>
            <w:vAlign w:val="center"/>
          </w:tcPr>
          <w:p>
            <w:pPr>
              <w:jc w:val="center"/>
              <w:textAlignment w:val="center"/>
              <w:rPr>
                <w:rFonts w:ascii="仿宋" w:hAnsi="仿宋" w:eastAsia="仿宋" w:cs="仿宋"/>
                <w:color w:val="000000"/>
              </w:rPr>
            </w:pPr>
            <w:r>
              <w:rPr>
                <w:rFonts w:hint="eastAsia" w:ascii="仿宋" w:hAnsi="仿宋" w:eastAsia="仿宋" w:cs="仿宋"/>
                <w:color w:val="000000"/>
              </w:rPr>
              <w:t>备注</w:t>
            </w:r>
          </w:p>
        </w:tc>
      </w:tr>
      <w:tr>
        <w:tblPrEx>
          <w:tblCellMar>
            <w:top w:w="0" w:type="dxa"/>
            <w:left w:w="0" w:type="dxa"/>
            <w:bottom w:w="0" w:type="dxa"/>
            <w:right w:w="0" w:type="dxa"/>
          </w:tblCellMar>
        </w:tblPrEx>
        <w:trPr>
          <w:trHeight w:val="456"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rPr>
              <w:t>1</w:t>
            </w:r>
          </w:p>
        </w:tc>
        <w:tc>
          <w:tcPr>
            <w:tcW w:w="184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ascii="仿宋" w:hAnsi="仿宋" w:eastAsia="仿宋" w:cs="仿宋"/>
                <w:sz w:val="24"/>
                <w:szCs w:val="24"/>
              </w:rPr>
            </w:pPr>
            <w:r>
              <w:rPr>
                <w:rFonts w:hint="eastAsia" w:ascii="仿宋" w:hAnsi="仿宋" w:eastAsia="仿宋" w:cs="仿宋"/>
                <w:sz w:val="24"/>
                <w:szCs w:val="24"/>
              </w:rPr>
              <w:t>无靠背座椅电动伸缩看台</w:t>
            </w:r>
          </w:p>
        </w:tc>
        <w:tc>
          <w:tcPr>
            <w:tcW w:w="442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tcPr>
          <w:p>
            <w:pPr>
              <w:widowControl w:val="0"/>
              <w:spacing w:after="0" w:line="500" w:lineRule="exact"/>
              <w:ind w:left="426"/>
              <w:jc w:val="left"/>
              <w:rPr>
                <w:rFonts w:ascii="仿宋" w:hAnsi="仿宋" w:eastAsia="仿宋"/>
                <w:sz w:val="21"/>
                <w:szCs w:val="21"/>
              </w:rPr>
            </w:pPr>
            <w:r>
              <w:rPr>
                <w:rFonts w:hint="eastAsia" w:ascii="仿宋" w:hAnsi="仿宋" w:eastAsia="仿宋"/>
                <w:sz w:val="21"/>
                <w:szCs w:val="21"/>
              </w:rPr>
              <w:t>含5</w:t>
            </w:r>
            <w:r>
              <w:rPr>
                <w:rFonts w:ascii="仿宋" w:hAnsi="仿宋" w:eastAsia="仿宋"/>
                <w:sz w:val="21"/>
                <w:szCs w:val="21"/>
              </w:rPr>
              <w:t>10</w:t>
            </w:r>
            <w:r>
              <w:rPr>
                <w:rFonts w:hint="eastAsia" w:ascii="仿宋" w:hAnsi="仿宋" w:eastAsia="仿宋"/>
                <w:sz w:val="21"/>
                <w:szCs w:val="21"/>
              </w:rPr>
              <w:t>个座椅（参数中一）</w:t>
            </w:r>
          </w:p>
        </w:tc>
        <w:tc>
          <w:tcPr>
            <w:tcW w:w="70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ascii="仿宋" w:hAnsi="仿宋" w:eastAsia="仿宋" w:cs="仿宋"/>
                <w:color w:val="000000"/>
                <w:sz w:val="24"/>
                <w:szCs w:val="24"/>
              </w:rPr>
            </w:pPr>
            <w:r>
              <w:rPr>
                <w:rFonts w:ascii="仿宋" w:hAnsi="仿宋" w:eastAsia="仿宋" w:cs="仿宋"/>
                <w:color w:val="000000"/>
                <w:sz w:val="24"/>
                <w:szCs w:val="24"/>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rPr>
              <w:t>套</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rPr>
                <w:rFonts w:ascii="宋体" w:hAnsi="宋体" w:cs="宋体"/>
                <w:color w:val="000000"/>
              </w:rPr>
            </w:pPr>
          </w:p>
        </w:tc>
        <w:tc>
          <w:tcPr>
            <w:tcW w:w="582" w:type="dxa"/>
            <w:tcBorders>
              <w:top w:val="single" w:color="000000" w:sz="4" w:space="0"/>
              <w:left w:val="single" w:color="000000" w:sz="4" w:space="0"/>
              <w:bottom w:val="single" w:color="000000" w:sz="4" w:space="0"/>
              <w:right w:val="single" w:color="auto" w:sz="4" w:space="0"/>
            </w:tcBorders>
            <w:noWrap/>
            <w:tcMar>
              <w:top w:w="15" w:type="dxa"/>
              <w:left w:w="15" w:type="dxa"/>
              <w:bottom w:w="0" w:type="dxa"/>
              <w:right w:w="15" w:type="dxa"/>
            </w:tcMar>
            <w:vAlign w:val="center"/>
          </w:tcPr>
          <w:p>
            <w:pPr>
              <w:rPr>
                <w:rFonts w:ascii="宋体" w:hAnsi="宋体" w:cs="宋体"/>
                <w:color w:val="000000"/>
              </w:rPr>
            </w:pPr>
          </w:p>
        </w:tc>
        <w:tc>
          <w:tcPr>
            <w:tcW w:w="921" w:type="dxa"/>
            <w:tcBorders>
              <w:top w:val="single" w:color="000000" w:sz="4" w:space="0"/>
              <w:left w:val="single" w:color="auto" w:sz="4" w:space="0"/>
              <w:bottom w:val="single" w:color="000000" w:sz="4" w:space="0"/>
              <w:right w:val="single" w:color="000000" w:sz="4" w:space="0"/>
            </w:tcBorders>
            <w:vAlign w:val="center"/>
          </w:tcPr>
          <w:p>
            <w:pPr>
              <w:jc w:val="center"/>
              <w:textAlignment w:val="center"/>
              <w:rPr>
                <w:rFonts w:hint="eastAsia" w:ascii="仿宋" w:hAnsi="仿宋" w:eastAsia="仿宋" w:cs="仿宋"/>
                <w:sz w:val="24"/>
                <w:szCs w:val="24"/>
              </w:rPr>
            </w:pPr>
            <w:r>
              <w:rPr>
                <w:rFonts w:hint="eastAsia" w:ascii="仿宋" w:hAnsi="仿宋" w:eastAsia="仿宋" w:cs="仿宋"/>
                <w:sz w:val="24"/>
                <w:szCs w:val="24"/>
              </w:rPr>
              <w:t>样品</w:t>
            </w:r>
          </w:p>
        </w:tc>
      </w:tr>
      <w:tr>
        <w:tblPrEx>
          <w:tblCellMar>
            <w:top w:w="0" w:type="dxa"/>
            <w:left w:w="0" w:type="dxa"/>
            <w:bottom w:w="0" w:type="dxa"/>
            <w:right w:w="0" w:type="dxa"/>
          </w:tblCellMar>
        </w:tblPrEx>
        <w:trPr>
          <w:trHeight w:val="456"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rPr>
              <w:t>2</w:t>
            </w:r>
          </w:p>
        </w:tc>
        <w:tc>
          <w:tcPr>
            <w:tcW w:w="184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hint="eastAsia" w:ascii="仿宋" w:hAnsi="仿宋" w:eastAsia="仿宋" w:cs="仿宋"/>
                <w:sz w:val="24"/>
                <w:szCs w:val="24"/>
              </w:rPr>
            </w:pPr>
            <w:r>
              <w:rPr>
                <w:rFonts w:hint="eastAsia" w:ascii="仿宋" w:hAnsi="仿宋" w:eastAsia="仿宋" w:cs="仿宋"/>
                <w:sz w:val="24"/>
                <w:szCs w:val="24"/>
              </w:rPr>
              <w:t>高靠背座椅电动伸缩看台</w:t>
            </w:r>
          </w:p>
        </w:tc>
        <w:tc>
          <w:tcPr>
            <w:tcW w:w="442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tcPr>
          <w:p>
            <w:pPr>
              <w:widowControl w:val="0"/>
              <w:spacing w:after="0" w:line="500" w:lineRule="exact"/>
              <w:ind w:left="426"/>
              <w:jc w:val="left"/>
              <w:rPr>
                <w:rFonts w:ascii="仿宋" w:hAnsi="仿宋" w:eastAsia="仿宋"/>
                <w:sz w:val="21"/>
                <w:szCs w:val="21"/>
              </w:rPr>
            </w:pPr>
            <w:r>
              <w:rPr>
                <w:rFonts w:hint="eastAsia" w:ascii="仿宋" w:hAnsi="仿宋" w:eastAsia="仿宋"/>
                <w:sz w:val="21"/>
                <w:szCs w:val="21"/>
              </w:rPr>
              <w:t>含1</w:t>
            </w:r>
            <w:r>
              <w:rPr>
                <w:rFonts w:ascii="仿宋" w:hAnsi="仿宋" w:eastAsia="仿宋"/>
                <w:sz w:val="21"/>
                <w:szCs w:val="21"/>
              </w:rPr>
              <w:t>62</w:t>
            </w:r>
            <w:r>
              <w:rPr>
                <w:rFonts w:hint="eastAsia" w:ascii="仿宋" w:hAnsi="仿宋" w:eastAsia="仿宋"/>
                <w:sz w:val="21"/>
                <w:szCs w:val="21"/>
              </w:rPr>
              <w:t>个座椅（参数中二）</w:t>
            </w:r>
          </w:p>
        </w:tc>
        <w:tc>
          <w:tcPr>
            <w:tcW w:w="70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ascii="仿宋" w:hAnsi="仿宋" w:eastAsia="仿宋" w:cs="仿宋"/>
                <w:color w:val="000000"/>
                <w:sz w:val="24"/>
                <w:szCs w:val="24"/>
              </w:rPr>
            </w:pPr>
            <w:r>
              <w:rPr>
                <w:rFonts w:ascii="仿宋" w:hAnsi="仿宋" w:eastAsia="仿宋" w:cs="仿宋"/>
                <w:color w:val="000000"/>
                <w:sz w:val="24"/>
                <w:szCs w:val="24"/>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rPr>
              <w:t>套</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rPr>
                <w:rFonts w:ascii="宋体" w:hAnsi="宋体" w:cs="宋体"/>
                <w:color w:val="000000"/>
              </w:rPr>
            </w:pPr>
          </w:p>
        </w:tc>
        <w:tc>
          <w:tcPr>
            <w:tcW w:w="582" w:type="dxa"/>
            <w:tcBorders>
              <w:top w:val="single" w:color="000000" w:sz="4" w:space="0"/>
              <w:left w:val="single" w:color="000000" w:sz="4" w:space="0"/>
              <w:bottom w:val="single" w:color="000000" w:sz="4" w:space="0"/>
              <w:right w:val="single" w:color="auto" w:sz="4" w:space="0"/>
            </w:tcBorders>
            <w:noWrap/>
            <w:tcMar>
              <w:top w:w="15" w:type="dxa"/>
              <w:left w:w="15" w:type="dxa"/>
              <w:bottom w:w="0" w:type="dxa"/>
              <w:right w:w="15" w:type="dxa"/>
            </w:tcMar>
            <w:vAlign w:val="center"/>
          </w:tcPr>
          <w:p>
            <w:pPr>
              <w:rPr>
                <w:rFonts w:ascii="宋体" w:hAnsi="宋体" w:cs="宋体"/>
                <w:color w:val="000000"/>
              </w:rPr>
            </w:pPr>
          </w:p>
        </w:tc>
        <w:tc>
          <w:tcPr>
            <w:tcW w:w="921" w:type="dxa"/>
            <w:tcBorders>
              <w:top w:val="single" w:color="000000" w:sz="4" w:space="0"/>
              <w:left w:val="single" w:color="auto" w:sz="4" w:space="0"/>
              <w:bottom w:val="single" w:color="000000" w:sz="4" w:space="0"/>
              <w:right w:val="single" w:color="000000" w:sz="4" w:space="0"/>
            </w:tcBorders>
            <w:vAlign w:val="center"/>
          </w:tcPr>
          <w:p>
            <w:pPr>
              <w:jc w:val="center"/>
              <w:textAlignment w:val="center"/>
              <w:rPr>
                <w:rFonts w:hint="eastAsia" w:ascii="仿宋" w:hAnsi="仿宋" w:eastAsia="仿宋" w:cs="仿宋"/>
                <w:sz w:val="24"/>
                <w:szCs w:val="24"/>
              </w:rPr>
            </w:pPr>
            <w:r>
              <w:rPr>
                <w:rFonts w:hint="eastAsia" w:ascii="仿宋" w:hAnsi="仿宋" w:eastAsia="仿宋" w:cs="仿宋"/>
                <w:sz w:val="24"/>
                <w:szCs w:val="24"/>
              </w:rPr>
              <w:t>样品</w:t>
            </w:r>
          </w:p>
        </w:tc>
      </w:tr>
      <w:tr>
        <w:tblPrEx>
          <w:tblCellMar>
            <w:top w:w="0" w:type="dxa"/>
            <w:left w:w="0" w:type="dxa"/>
            <w:bottom w:w="0" w:type="dxa"/>
            <w:right w:w="0" w:type="dxa"/>
          </w:tblCellMar>
        </w:tblPrEx>
        <w:trPr>
          <w:trHeight w:val="456"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rPr>
              <w:t>3</w:t>
            </w:r>
          </w:p>
        </w:tc>
        <w:tc>
          <w:tcPr>
            <w:tcW w:w="184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hint="eastAsia" w:ascii="仿宋" w:hAnsi="仿宋" w:eastAsia="仿宋" w:cs="仿宋"/>
                <w:sz w:val="24"/>
                <w:szCs w:val="24"/>
              </w:rPr>
            </w:pPr>
            <w:r>
              <w:rPr>
                <w:rFonts w:hint="eastAsia" w:ascii="仿宋" w:hAnsi="仿宋" w:eastAsia="仿宋" w:cs="仿宋"/>
                <w:sz w:val="24"/>
                <w:szCs w:val="24"/>
              </w:rPr>
              <w:t>高靠背固定座椅</w:t>
            </w:r>
          </w:p>
        </w:tc>
        <w:tc>
          <w:tcPr>
            <w:tcW w:w="442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tcPr>
          <w:p>
            <w:pPr>
              <w:widowControl w:val="0"/>
              <w:spacing w:after="0" w:line="500" w:lineRule="exact"/>
              <w:ind w:left="426"/>
              <w:jc w:val="left"/>
              <w:rPr>
                <w:rFonts w:ascii="仿宋" w:hAnsi="仿宋" w:eastAsia="仿宋"/>
                <w:sz w:val="21"/>
                <w:szCs w:val="21"/>
              </w:rPr>
            </w:pPr>
            <w:r>
              <w:rPr>
                <w:rFonts w:hint="eastAsia" w:ascii="仿宋" w:hAnsi="仿宋" w:eastAsia="仿宋"/>
                <w:sz w:val="21"/>
                <w:szCs w:val="21"/>
              </w:rPr>
              <w:t>参数中三</w:t>
            </w:r>
          </w:p>
        </w:tc>
        <w:tc>
          <w:tcPr>
            <w:tcW w:w="70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ascii="仿宋" w:hAnsi="仿宋" w:eastAsia="仿宋" w:cs="仿宋"/>
                <w:color w:val="000000"/>
                <w:sz w:val="24"/>
                <w:szCs w:val="24"/>
              </w:rPr>
            </w:pPr>
            <w:r>
              <w:rPr>
                <w:rFonts w:ascii="仿宋" w:hAnsi="仿宋" w:eastAsia="仿宋" w:cs="仿宋"/>
                <w:color w:val="000000"/>
                <w:sz w:val="24"/>
                <w:szCs w:val="24"/>
              </w:rPr>
              <w:t>508</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rPr>
              <w:t>个</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rPr>
                <w:rFonts w:ascii="宋体" w:hAnsi="宋体" w:cs="宋体"/>
                <w:color w:val="000000"/>
              </w:rPr>
            </w:pPr>
          </w:p>
        </w:tc>
        <w:tc>
          <w:tcPr>
            <w:tcW w:w="582" w:type="dxa"/>
            <w:tcBorders>
              <w:top w:val="single" w:color="000000" w:sz="4" w:space="0"/>
              <w:left w:val="single" w:color="000000" w:sz="4" w:space="0"/>
              <w:bottom w:val="single" w:color="000000" w:sz="4" w:space="0"/>
              <w:right w:val="single" w:color="auto" w:sz="4" w:space="0"/>
            </w:tcBorders>
            <w:noWrap/>
            <w:tcMar>
              <w:top w:w="15" w:type="dxa"/>
              <w:left w:w="15" w:type="dxa"/>
              <w:bottom w:w="0" w:type="dxa"/>
              <w:right w:w="15" w:type="dxa"/>
            </w:tcMar>
            <w:vAlign w:val="center"/>
          </w:tcPr>
          <w:p>
            <w:pPr>
              <w:rPr>
                <w:rFonts w:ascii="宋体" w:hAnsi="宋体" w:cs="宋体"/>
                <w:color w:val="000000"/>
              </w:rPr>
            </w:pPr>
          </w:p>
        </w:tc>
        <w:tc>
          <w:tcPr>
            <w:tcW w:w="921" w:type="dxa"/>
            <w:tcBorders>
              <w:top w:val="single" w:color="000000" w:sz="4" w:space="0"/>
              <w:left w:val="single" w:color="auto" w:sz="4" w:space="0"/>
              <w:bottom w:val="single" w:color="000000" w:sz="4" w:space="0"/>
              <w:right w:val="single" w:color="000000" w:sz="4" w:space="0"/>
            </w:tcBorders>
            <w:vAlign w:val="center"/>
          </w:tcPr>
          <w:p>
            <w:pPr>
              <w:jc w:val="center"/>
              <w:textAlignment w:val="center"/>
              <w:rPr>
                <w:rFonts w:hint="eastAsia" w:ascii="仿宋" w:hAnsi="仿宋" w:eastAsia="仿宋" w:cs="仿宋"/>
                <w:sz w:val="24"/>
                <w:szCs w:val="24"/>
              </w:rPr>
            </w:pPr>
            <w:r>
              <w:rPr>
                <w:rFonts w:hint="eastAsia" w:ascii="仿宋" w:hAnsi="仿宋" w:eastAsia="仿宋" w:cs="仿宋"/>
                <w:sz w:val="24"/>
                <w:szCs w:val="24"/>
              </w:rPr>
              <w:t>样品</w:t>
            </w:r>
          </w:p>
        </w:tc>
      </w:tr>
      <w:tr>
        <w:tblPrEx>
          <w:tblCellMar>
            <w:top w:w="0" w:type="dxa"/>
            <w:left w:w="0" w:type="dxa"/>
            <w:bottom w:w="0" w:type="dxa"/>
            <w:right w:w="0" w:type="dxa"/>
          </w:tblCellMar>
        </w:tblPrEx>
        <w:trPr>
          <w:trHeight w:val="456"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rPr>
              <w:t>4</w:t>
            </w:r>
          </w:p>
        </w:tc>
        <w:tc>
          <w:tcPr>
            <w:tcW w:w="184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hint="eastAsia" w:ascii="仿宋" w:hAnsi="仿宋" w:eastAsia="仿宋" w:cs="仿宋"/>
                <w:sz w:val="24"/>
                <w:szCs w:val="24"/>
              </w:rPr>
            </w:pPr>
            <w:r>
              <w:rPr>
                <w:rFonts w:hint="eastAsia" w:ascii="仿宋" w:hAnsi="仿宋" w:eastAsia="仿宋" w:cs="仿宋"/>
                <w:sz w:val="24"/>
                <w:szCs w:val="24"/>
              </w:rPr>
              <w:t>辅材</w:t>
            </w:r>
          </w:p>
        </w:tc>
        <w:tc>
          <w:tcPr>
            <w:tcW w:w="442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widowControl w:val="0"/>
              <w:tabs>
                <w:tab w:val="left" w:pos="420"/>
              </w:tabs>
              <w:spacing w:after="0" w:line="240" w:lineRule="auto"/>
              <w:rPr>
                <w:rFonts w:ascii="等线" w:hAnsi="等线" w:eastAsia="等线"/>
                <w:b/>
                <w:bCs/>
                <w:color w:val="000000" w:themeColor="text1"/>
                <w:sz w:val="21"/>
                <w:szCs w:val="21"/>
                <w14:textFill>
                  <w14:solidFill>
                    <w14:schemeClr w14:val="tx1"/>
                  </w14:solidFill>
                </w14:textFill>
              </w:rPr>
            </w:pPr>
          </w:p>
        </w:tc>
        <w:tc>
          <w:tcPr>
            <w:tcW w:w="70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rPr>
              <w:t>批</w:t>
            </w:r>
          </w:p>
        </w:tc>
        <w:tc>
          <w:tcPr>
            <w:tcW w:w="562" w:type="dxa"/>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rPr>
                <w:rFonts w:ascii="宋体" w:hAnsi="宋体" w:cs="宋体"/>
                <w:color w:val="000000"/>
              </w:rPr>
            </w:pPr>
          </w:p>
        </w:tc>
        <w:tc>
          <w:tcPr>
            <w:tcW w:w="582" w:type="dxa"/>
            <w:tcBorders>
              <w:top w:val="single" w:color="000000" w:sz="4" w:space="0"/>
              <w:left w:val="single" w:color="000000" w:sz="4" w:space="0"/>
              <w:bottom w:val="single" w:color="000000" w:sz="4" w:space="0"/>
              <w:right w:val="single" w:color="auto" w:sz="4" w:space="0"/>
            </w:tcBorders>
            <w:noWrap/>
            <w:tcMar>
              <w:top w:w="15" w:type="dxa"/>
              <w:left w:w="15" w:type="dxa"/>
              <w:bottom w:w="0" w:type="dxa"/>
              <w:right w:w="15" w:type="dxa"/>
            </w:tcMar>
            <w:vAlign w:val="center"/>
          </w:tcPr>
          <w:p>
            <w:pPr>
              <w:rPr>
                <w:rFonts w:ascii="宋体" w:hAnsi="宋体" w:cs="宋体"/>
                <w:color w:val="000000"/>
              </w:rPr>
            </w:pPr>
          </w:p>
        </w:tc>
        <w:tc>
          <w:tcPr>
            <w:tcW w:w="921" w:type="dxa"/>
            <w:tcBorders>
              <w:top w:val="single" w:color="000000" w:sz="4" w:space="0"/>
              <w:left w:val="single" w:color="auto" w:sz="4" w:space="0"/>
              <w:bottom w:val="single" w:color="000000" w:sz="4" w:space="0"/>
              <w:right w:val="single" w:color="000000" w:sz="4" w:space="0"/>
            </w:tcBorders>
            <w:vAlign w:val="center"/>
          </w:tcPr>
          <w:p>
            <w:pPr>
              <w:rPr>
                <w:rFonts w:ascii="宋体" w:hAnsi="宋体" w:cs="宋体"/>
                <w:color w:val="000000"/>
              </w:rPr>
            </w:pPr>
          </w:p>
        </w:tc>
      </w:tr>
      <w:tr>
        <w:tblPrEx>
          <w:tblCellMar>
            <w:top w:w="0" w:type="dxa"/>
            <w:left w:w="0" w:type="dxa"/>
            <w:bottom w:w="0" w:type="dxa"/>
            <w:right w:w="0" w:type="dxa"/>
          </w:tblCellMar>
        </w:tblPrEx>
        <w:trPr>
          <w:trHeight w:val="456" w:hRule="atLeast"/>
          <w:jc w:val="center"/>
        </w:trPr>
        <w:tc>
          <w:tcPr>
            <w:tcW w:w="6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ascii="仿宋" w:hAnsi="仿宋" w:eastAsia="仿宋" w:cs="仿宋"/>
                <w:color w:val="000000"/>
                <w:sz w:val="24"/>
                <w:szCs w:val="24"/>
              </w:rPr>
            </w:pPr>
          </w:p>
        </w:tc>
        <w:tc>
          <w:tcPr>
            <w:tcW w:w="184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textAlignment w:val="center"/>
              <w:rPr>
                <w:rFonts w:hint="eastAsia" w:ascii="仿宋" w:hAnsi="仿宋" w:eastAsia="仿宋" w:cs="仿宋"/>
                <w:sz w:val="24"/>
                <w:szCs w:val="24"/>
              </w:rPr>
            </w:pPr>
            <w:r>
              <w:rPr>
                <w:rFonts w:hint="eastAsia" w:ascii="仿宋" w:hAnsi="仿宋" w:eastAsia="仿宋" w:cs="仿宋"/>
                <w:sz w:val="24"/>
                <w:szCs w:val="24"/>
              </w:rPr>
              <w:t>总计</w:t>
            </w:r>
          </w:p>
        </w:tc>
        <w:tc>
          <w:tcPr>
            <w:tcW w:w="7835" w:type="dxa"/>
            <w:gridSpan w:val="6"/>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rPr>
                <w:rFonts w:ascii="宋体" w:hAnsi="宋体" w:cs="宋体"/>
                <w:color w:val="000000"/>
              </w:rPr>
            </w:pPr>
          </w:p>
        </w:tc>
      </w:tr>
    </w:tbl>
    <w:p>
      <w:pPr>
        <w:pStyle w:val="55"/>
        <w:spacing w:line="360" w:lineRule="auto"/>
        <w:outlineLvl w:val="0"/>
        <w:rPr>
          <w:rFonts w:ascii="仿宋" w:hAnsi="仿宋" w:eastAsia="仿宋"/>
          <w:b/>
          <w:color w:val="000000" w:themeColor="text1"/>
          <w:sz w:val="44"/>
          <w:szCs w:val="44"/>
          <w14:textFill>
            <w14:solidFill>
              <w14:schemeClr w14:val="tx1"/>
            </w14:solidFill>
          </w14:textFill>
        </w:rPr>
      </w:pPr>
    </w:p>
    <w:tbl>
      <w:tblPr>
        <w:tblStyle w:val="25"/>
        <w:tblpPr w:leftFromText="180" w:rightFromText="180" w:vertAnchor="text" w:horzAnchor="page" w:tblpXSpec="center" w:tblpY="357"/>
        <w:tblOverlap w:val="never"/>
        <w:tblW w:w="9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71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sz w:val="24"/>
                <w:szCs w:val="24"/>
                <w:lang w:eastAsia="zh-Hans"/>
              </w:rPr>
            </w:pPr>
            <w:bookmarkStart w:id="51" w:name="_Toc334083881"/>
            <w:r>
              <w:rPr>
                <w:rFonts w:hint="eastAsia" w:ascii="仿宋" w:hAnsi="仿宋" w:eastAsia="仿宋" w:cs="仿宋"/>
                <w:sz w:val="24"/>
                <w:szCs w:val="24"/>
                <w:lang w:eastAsia="zh-Hans"/>
              </w:rPr>
              <w:t>序号</w:t>
            </w:r>
          </w:p>
        </w:tc>
        <w:tc>
          <w:tcPr>
            <w:tcW w:w="871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sz w:val="24"/>
                <w:szCs w:val="24"/>
              </w:rPr>
            </w:pPr>
            <w:r>
              <w:rPr>
                <w:rFonts w:hint="eastAsia" w:ascii="仿宋" w:hAnsi="仿宋" w:eastAsia="仿宋" w:cs="仿宋"/>
                <w:sz w:val="24"/>
                <w:szCs w:val="24"/>
              </w:rPr>
              <w:t>技术</w:t>
            </w:r>
            <w:r>
              <w:rPr>
                <w:rFonts w:hint="eastAsia" w:ascii="仿宋" w:hAnsi="仿宋" w:eastAsia="仿宋" w:cs="仿宋"/>
                <w:sz w:val="24"/>
                <w:szCs w:val="24"/>
                <w:lang w:eastAsia="zh-Hans"/>
              </w:rPr>
              <w:t>参数</w:t>
            </w:r>
          </w:p>
        </w:tc>
        <w:tc>
          <w:tcPr>
            <w:tcW w:w="42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sz w:val="24"/>
                <w:szCs w:val="24"/>
                <w:lang w:eastAsia="zh-Hans"/>
              </w:rPr>
            </w:pPr>
            <w:r>
              <w:rPr>
                <w:rFonts w:hint="eastAsia" w:ascii="仿宋" w:hAnsi="仿宋" w:eastAsia="仿宋" w:cs="仿宋"/>
                <w:sz w:val="24"/>
                <w:szCs w:val="24"/>
                <w:lang w:eastAsia="zh-Hans"/>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sz w:val="24"/>
                <w:szCs w:val="24"/>
              </w:rPr>
            </w:pPr>
            <w:r>
              <w:rPr>
                <w:rFonts w:hint="eastAsia" w:ascii="仿宋" w:hAnsi="仿宋" w:eastAsia="仿宋" w:cs="仿宋"/>
                <w:sz w:val="24"/>
                <w:szCs w:val="24"/>
                <w:lang w:eastAsia="zh-Hans"/>
              </w:rPr>
              <w:t>1</w:t>
            </w:r>
          </w:p>
        </w:tc>
        <w:tc>
          <w:tcPr>
            <w:tcW w:w="871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276850" cy="4095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6850" cy="4095750"/>
                          </a:xfrm>
                          <a:prstGeom prst="rect">
                            <a:avLst/>
                          </a:prstGeom>
                          <a:noFill/>
                          <a:ln>
                            <a:noFill/>
                          </a:ln>
                        </pic:spPr>
                      </pic:pic>
                    </a:graphicData>
                  </a:graphic>
                </wp:inline>
              </w:drawing>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一、无靠背座椅</w:t>
            </w:r>
            <w:r>
              <w:rPr>
                <w:rFonts w:hint="eastAsia" w:ascii="仿宋" w:hAnsi="仿宋" w:eastAsia="仿宋" w:cs="仿宋"/>
                <w:sz w:val="24"/>
                <w:szCs w:val="24"/>
              </w:rPr>
              <w:t>电动</w:t>
            </w:r>
            <w:r>
              <w:rPr>
                <w:rFonts w:hint="eastAsia" w:ascii="仿宋" w:hAnsi="仿宋" w:eastAsia="仿宋" w:cs="仿宋"/>
                <w:sz w:val="24"/>
                <w:szCs w:val="24"/>
                <w:lang w:eastAsia="zh-Hans"/>
              </w:rPr>
              <w:t>伸缩看台：</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1、看台在满足承载座椅本身重量外，还</w:t>
            </w:r>
            <w:r>
              <w:rPr>
                <w:rFonts w:hint="eastAsia" w:ascii="仿宋" w:hAnsi="仿宋" w:eastAsia="仿宋" w:cs="仿宋"/>
                <w:sz w:val="24"/>
                <w:szCs w:val="24"/>
                <w:lang w:eastAsia="zh-Hans"/>
              </w:rPr>
              <w:t>需</w:t>
            </w:r>
            <w:r>
              <w:rPr>
                <w:rFonts w:hint="eastAsia" w:ascii="仿宋" w:hAnsi="仿宋" w:eastAsia="仿宋" w:cs="仿宋"/>
                <w:sz w:val="24"/>
                <w:szCs w:val="24"/>
              </w:rPr>
              <w:t>满足承受下述载荷</w:t>
            </w:r>
            <w:r>
              <w:rPr>
                <w:rFonts w:hint="eastAsia" w:ascii="仿宋" w:hAnsi="仿宋" w:eastAsia="仿宋" w:cs="仿宋"/>
                <w:sz w:val="24"/>
                <w:szCs w:val="24"/>
                <w:lang w:eastAsia="zh-Hans"/>
              </w:rPr>
              <w:t>要求</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（1）</w:t>
            </w:r>
            <w:r>
              <w:rPr>
                <w:rFonts w:hint="eastAsia" w:ascii="仿宋" w:hAnsi="仿宋" w:eastAsia="仿宋" w:cs="仿宋"/>
                <w:sz w:val="24"/>
                <w:szCs w:val="24"/>
              </w:rPr>
              <w:t>床架结构强度：床架结构加载≥500</w:t>
            </w:r>
            <w:r>
              <w:rPr>
                <w:rFonts w:hint="eastAsia" w:ascii="仿宋" w:hAnsi="仿宋" w:eastAsia="仿宋" w:cs="仿宋"/>
                <w:sz w:val="24"/>
                <w:szCs w:val="24"/>
                <w:lang w:eastAsia="zh-Hans"/>
              </w:rPr>
              <w:t>KG</w:t>
            </w:r>
            <w:r>
              <w:rPr>
                <w:rFonts w:hint="eastAsia" w:ascii="仿宋" w:hAnsi="仿宋" w:eastAsia="仿宋" w:cs="仿宋"/>
                <w:sz w:val="24"/>
                <w:szCs w:val="24"/>
              </w:rPr>
              <w:t>/㎡ ，加载时间为≤30min，</w:t>
            </w:r>
            <w:r>
              <w:rPr>
                <w:rFonts w:hint="eastAsia" w:ascii="仿宋" w:hAnsi="仿宋" w:eastAsia="仿宋" w:cs="仿宋"/>
                <w:sz w:val="24"/>
                <w:szCs w:val="24"/>
                <w:lang w:eastAsia="zh-Hans"/>
              </w:rPr>
              <w:t>加载及</w:t>
            </w:r>
            <w:r>
              <w:rPr>
                <w:rFonts w:hint="eastAsia" w:ascii="仿宋" w:hAnsi="仿宋" w:eastAsia="仿宋" w:cs="仿宋"/>
                <w:sz w:val="24"/>
                <w:szCs w:val="24"/>
              </w:rPr>
              <w:t>去载后</w:t>
            </w:r>
            <w:r>
              <w:rPr>
                <w:rFonts w:hint="eastAsia" w:ascii="仿宋" w:hAnsi="仿宋" w:eastAsia="仿宋" w:cs="仿宋"/>
                <w:sz w:val="24"/>
                <w:szCs w:val="24"/>
                <w:lang w:eastAsia="zh-Hans"/>
              </w:rPr>
              <w:t>应无</w:t>
            </w:r>
            <w:r>
              <w:rPr>
                <w:rFonts w:hint="eastAsia" w:ascii="仿宋" w:hAnsi="仿宋" w:eastAsia="仿宋" w:cs="仿宋"/>
                <w:sz w:val="24"/>
                <w:szCs w:val="24"/>
              </w:rPr>
              <w:t>变形</w:t>
            </w:r>
            <w:r>
              <w:rPr>
                <w:rFonts w:hint="eastAsia" w:ascii="仿宋" w:hAnsi="仿宋" w:eastAsia="仿宋" w:cs="仿宋"/>
                <w:sz w:val="24"/>
                <w:szCs w:val="24"/>
                <w:lang w:eastAsia="zh-Hans"/>
              </w:rPr>
              <w:t>和损坏</w:t>
            </w:r>
            <w:r>
              <w:rPr>
                <w:rFonts w:hint="eastAsia" w:ascii="仿宋" w:hAnsi="仿宋" w:eastAsia="仿宋" w:cs="仿宋"/>
                <w:sz w:val="24"/>
                <w:szCs w:val="24"/>
              </w:rPr>
              <w:t>。</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（2）</w:t>
            </w:r>
            <w:r>
              <w:rPr>
                <w:rFonts w:hint="eastAsia" w:ascii="仿宋" w:hAnsi="仿宋" w:eastAsia="仿宋" w:cs="仿宋"/>
                <w:sz w:val="24"/>
                <w:szCs w:val="24"/>
              </w:rPr>
              <w:t>护栏设计满足承受水平力如下：顶端满足承受每米≥1000</w:t>
            </w:r>
            <w:r>
              <w:rPr>
                <w:rFonts w:hint="eastAsia" w:ascii="仿宋" w:hAnsi="仿宋" w:eastAsia="仿宋" w:cs="仿宋"/>
                <w:sz w:val="24"/>
                <w:szCs w:val="24"/>
                <w:lang w:eastAsia="zh-Hans"/>
              </w:rPr>
              <w:t>N</w:t>
            </w:r>
            <w:r>
              <w:rPr>
                <w:rFonts w:hint="eastAsia" w:ascii="仿宋" w:hAnsi="仿宋" w:eastAsia="仿宋" w:cs="仿宋"/>
                <w:sz w:val="24"/>
                <w:szCs w:val="24"/>
              </w:rPr>
              <w:t>，护栏中间满足承受每米≥</w:t>
            </w:r>
            <w:r>
              <w:rPr>
                <w:rFonts w:hint="eastAsia" w:ascii="仿宋" w:hAnsi="仿宋" w:eastAsia="仿宋" w:cs="仿宋"/>
                <w:sz w:val="24"/>
                <w:szCs w:val="24"/>
                <w:lang w:eastAsia="zh-Hans"/>
              </w:rPr>
              <w:t>1500N</w:t>
            </w:r>
            <w:r>
              <w:rPr>
                <w:rFonts w:hint="eastAsia" w:ascii="仿宋" w:hAnsi="仿宋" w:eastAsia="仿宋" w:cs="仿宋"/>
                <w:sz w:val="24"/>
                <w:szCs w:val="24"/>
              </w:rPr>
              <w:t>。</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（3）塑胶座椅</w:t>
            </w:r>
            <w:r>
              <w:rPr>
                <w:rFonts w:hint="eastAsia" w:ascii="仿宋" w:hAnsi="仿宋" w:eastAsia="仿宋" w:cs="仿宋"/>
                <w:sz w:val="24"/>
                <w:szCs w:val="24"/>
              </w:rPr>
              <w:t>能承受每座≥2000</w:t>
            </w:r>
            <w:r>
              <w:rPr>
                <w:rFonts w:hint="eastAsia" w:ascii="仿宋" w:hAnsi="仿宋" w:eastAsia="仿宋" w:cs="仿宋"/>
                <w:sz w:val="24"/>
                <w:szCs w:val="24"/>
                <w:lang w:eastAsia="zh-Hans"/>
              </w:rPr>
              <w:t>N</w:t>
            </w:r>
            <w:r>
              <w:rPr>
                <w:rFonts w:hint="eastAsia" w:ascii="仿宋" w:hAnsi="仿宋" w:eastAsia="仿宋" w:cs="仿宋"/>
                <w:sz w:val="24"/>
                <w:szCs w:val="24"/>
              </w:rPr>
              <w:t>的额定载荷，</w:t>
            </w:r>
            <w:r>
              <w:rPr>
                <w:rFonts w:hint="eastAsia" w:ascii="仿宋" w:hAnsi="仿宋" w:eastAsia="仿宋" w:cs="仿宋"/>
                <w:sz w:val="24"/>
                <w:szCs w:val="24"/>
                <w:lang w:eastAsia="zh-Hans"/>
              </w:rPr>
              <w:t>且</w:t>
            </w:r>
            <w:r>
              <w:rPr>
                <w:rFonts w:hint="eastAsia" w:ascii="仿宋" w:hAnsi="仿宋" w:eastAsia="仿宋" w:cs="仿宋"/>
                <w:sz w:val="24"/>
                <w:szCs w:val="24"/>
              </w:rPr>
              <w:t>30</w:t>
            </w:r>
            <w:r>
              <w:rPr>
                <w:rFonts w:hint="eastAsia" w:ascii="仿宋" w:hAnsi="仿宋" w:eastAsia="仿宋" w:cs="仿宋"/>
                <w:sz w:val="24"/>
                <w:szCs w:val="24"/>
                <w:lang w:eastAsia="zh-Hans"/>
              </w:rPr>
              <w:t>分钟内无</w:t>
            </w:r>
            <w:r>
              <w:rPr>
                <w:rFonts w:hint="eastAsia" w:ascii="仿宋" w:hAnsi="仿宋" w:eastAsia="仿宋" w:cs="仿宋"/>
                <w:sz w:val="24"/>
                <w:szCs w:val="24"/>
              </w:rPr>
              <w:t>变形。</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（4）</w:t>
            </w:r>
            <w:r>
              <w:rPr>
                <w:rFonts w:hint="eastAsia" w:ascii="仿宋" w:hAnsi="仿宋" w:eastAsia="仿宋" w:cs="仿宋"/>
                <w:sz w:val="24"/>
                <w:szCs w:val="24"/>
              </w:rPr>
              <w:t>床架耐冲击强度：床架结构加载≥50</w:t>
            </w:r>
            <w:r>
              <w:rPr>
                <w:rFonts w:hint="eastAsia" w:ascii="仿宋" w:hAnsi="仿宋" w:eastAsia="仿宋" w:cs="仿宋"/>
                <w:sz w:val="24"/>
                <w:szCs w:val="24"/>
                <w:lang w:eastAsia="zh-Hans"/>
              </w:rPr>
              <w:t>KG重量，300mm高度冲击</w:t>
            </w:r>
            <w:r>
              <w:rPr>
                <w:rFonts w:hint="eastAsia" w:ascii="仿宋" w:hAnsi="仿宋" w:eastAsia="仿宋" w:cs="仿宋"/>
                <w:sz w:val="24"/>
                <w:szCs w:val="24"/>
              </w:rPr>
              <w:t>≥</w:t>
            </w:r>
            <w:r>
              <w:rPr>
                <w:rFonts w:hint="eastAsia" w:ascii="仿宋" w:hAnsi="仿宋" w:eastAsia="仿宋" w:cs="仿宋"/>
                <w:sz w:val="24"/>
                <w:szCs w:val="24"/>
                <w:lang w:eastAsia="zh-Hans"/>
              </w:rPr>
              <w:t>20次，应无</w:t>
            </w:r>
            <w:r>
              <w:rPr>
                <w:rFonts w:hint="eastAsia" w:ascii="仿宋" w:hAnsi="仿宋" w:eastAsia="仿宋" w:cs="仿宋"/>
                <w:sz w:val="24"/>
                <w:szCs w:val="24"/>
              </w:rPr>
              <w:t>变形</w:t>
            </w:r>
            <w:r>
              <w:rPr>
                <w:rFonts w:hint="eastAsia" w:ascii="仿宋" w:hAnsi="仿宋" w:eastAsia="仿宋" w:cs="仿宋"/>
                <w:sz w:val="24"/>
                <w:szCs w:val="24"/>
                <w:lang w:eastAsia="zh-Hans"/>
              </w:rPr>
              <w:t>和损坏</w:t>
            </w:r>
            <w:r>
              <w:rPr>
                <w:rFonts w:hint="eastAsia" w:ascii="仿宋" w:hAnsi="仿宋" w:eastAsia="仿宋" w:cs="仿宋"/>
                <w:sz w:val="24"/>
                <w:szCs w:val="24"/>
              </w:rPr>
              <w:t>。</w:t>
            </w:r>
          </w:p>
          <w:p>
            <w:pPr>
              <w:jc w:val="left"/>
              <w:textAlignment w:val="center"/>
              <w:rPr>
                <w:rFonts w:hint="eastAsia" w:ascii="仿宋" w:hAnsi="仿宋" w:eastAsia="仿宋" w:cs="仿宋"/>
                <w:sz w:val="24"/>
                <w:szCs w:val="24"/>
                <w:lang w:eastAsia="zh-Hans"/>
              </w:rPr>
            </w:pPr>
            <w:r>
              <w:rPr>
                <w:rFonts w:hint="eastAsia" w:ascii="仿宋" w:hAnsi="仿宋" w:eastAsia="仿宋" w:cs="仿宋"/>
                <w:sz w:val="24"/>
                <w:szCs w:val="24"/>
              </w:rPr>
              <w:t>2、底部钢架结构</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（1）看台</w:t>
            </w:r>
            <w:r>
              <w:rPr>
                <w:rFonts w:hint="eastAsia" w:ascii="仿宋" w:hAnsi="仿宋" w:eastAsia="仿宋" w:cs="仿宋"/>
                <w:sz w:val="24"/>
                <w:szCs w:val="24"/>
              </w:rPr>
              <w:t>骨架</w:t>
            </w:r>
            <w:r>
              <w:rPr>
                <w:rFonts w:hint="eastAsia" w:ascii="仿宋" w:hAnsi="仿宋" w:eastAsia="仿宋" w:cs="仿宋"/>
                <w:sz w:val="24"/>
                <w:szCs w:val="24"/>
                <w:lang w:eastAsia="zh-Hans"/>
              </w:rPr>
              <w:t>为稳定的</w:t>
            </w:r>
            <w:r>
              <w:rPr>
                <w:rFonts w:hint="eastAsia" w:ascii="仿宋" w:hAnsi="仿宋" w:eastAsia="仿宋" w:cs="仿宋"/>
                <w:sz w:val="24"/>
                <w:szCs w:val="24"/>
              </w:rPr>
              <w:t>倾斜</w:t>
            </w:r>
            <w:r>
              <w:rPr>
                <w:rFonts w:hint="eastAsia" w:ascii="仿宋" w:hAnsi="仿宋" w:eastAsia="仿宋" w:cs="仿宋"/>
                <w:sz w:val="24"/>
                <w:szCs w:val="24"/>
                <w:lang w:eastAsia="zh-Hans"/>
              </w:rPr>
              <w:t>式设计，</w:t>
            </w:r>
            <w:r>
              <w:rPr>
                <w:rFonts w:hint="eastAsia" w:ascii="仿宋" w:hAnsi="仿宋" w:eastAsia="仿宋" w:cs="仿宋"/>
                <w:sz w:val="24"/>
                <w:szCs w:val="24"/>
              </w:rPr>
              <w:t>由高张力Q235B结构钢材制成，可使用穿透式固定螺栓，与踏板支撑结合。</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（2）</w:t>
            </w:r>
            <w:r>
              <w:rPr>
                <w:rFonts w:hint="eastAsia" w:ascii="仿宋" w:hAnsi="仿宋" w:eastAsia="仿宋" w:cs="仿宋"/>
                <w:sz w:val="24"/>
                <w:szCs w:val="24"/>
              </w:rPr>
              <w:t>轮上应有模制的烧结钢套管，内配轴承与轴心，最后以开口销锁住。每根骨架（柱）下安装≥4只轮子，能承受巨力且移动时对运动实木地板无伤害。</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（3）</w:t>
            </w:r>
            <w:r>
              <w:rPr>
                <w:rFonts w:hint="eastAsia" w:ascii="仿宋" w:hAnsi="仿宋" w:eastAsia="仿宋" w:cs="仿宋"/>
                <w:sz w:val="24"/>
                <w:szCs w:val="24"/>
              </w:rPr>
              <w:t>下部轨道应为多折型钢件，与相邻的轨道互相锁定，连锁重迭部分</w:t>
            </w:r>
            <w:r>
              <w:rPr>
                <w:rFonts w:hint="eastAsia" w:ascii="仿宋" w:hAnsi="仿宋" w:eastAsia="仿宋" w:cs="仿宋"/>
                <w:sz w:val="24"/>
                <w:szCs w:val="24"/>
                <w:lang w:eastAsia="zh-Hans"/>
              </w:rPr>
              <w:t>≥</w:t>
            </w:r>
            <w:r>
              <w:rPr>
                <w:rFonts w:hint="eastAsia" w:ascii="仿宋" w:hAnsi="仿宋" w:eastAsia="仿宋" w:cs="仿宋"/>
                <w:sz w:val="24"/>
                <w:szCs w:val="24"/>
              </w:rPr>
              <w:t>28</w:t>
            </w:r>
            <w:r>
              <w:rPr>
                <w:rFonts w:hint="eastAsia" w:ascii="仿宋" w:hAnsi="仿宋" w:eastAsia="仿宋" w:cs="仿宋"/>
                <w:sz w:val="24"/>
                <w:szCs w:val="24"/>
                <w:lang w:eastAsia="zh-Hans"/>
              </w:rPr>
              <w:t>CM</w:t>
            </w:r>
            <w:r>
              <w:rPr>
                <w:rFonts w:hint="eastAsia" w:ascii="仿宋" w:hAnsi="仿宋" w:eastAsia="仿宋" w:cs="仿宋"/>
                <w:sz w:val="24"/>
                <w:szCs w:val="24"/>
              </w:rPr>
              <w:t>（用连锁导向钢轨来保证排与排之间对齐）</w:t>
            </w:r>
            <w:r>
              <w:rPr>
                <w:rFonts w:hint="eastAsia" w:ascii="仿宋" w:hAnsi="仿宋" w:eastAsia="仿宋" w:cs="仿宋"/>
                <w:sz w:val="24"/>
                <w:szCs w:val="24"/>
                <w:lang w:eastAsia="zh-Hans"/>
              </w:rPr>
              <w:t>。</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（4）</w:t>
            </w:r>
            <w:r>
              <w:rPr>
                <w:rFonts w:hint="eastAsia" w:ascii="仿宋" w:hAnsi="仿宋" w:eastAsia="仿宋" w:cs="仿宋"/>
                <w:sz w:val="24"/>
                <w:szCs w:val="24"/>
              </w:rPr>
              <w:t>每个下部轨道都应当包括一个多折型排锁，以将各排互相锁紧在打开的位置，并允许进行自动解锁。排锁应是略斜低置设计，以避免遭到破坏。</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（5）</w:t>
            </w:r>
            <w:r>
              <w:rPr>
                <w:rFonts w:hint="eastAsia" w:ascii="仿宋" w:hAnsi="仿宋" w:eastAsia="仿宋" w:cs="仿宋"/>
                <w:sz w:val="24"/>
                <w:szCs w:val="24"/>
              </w:rPr>
              <w:t>上部轨道上应当有模制尼龙轮互锁包覆式导轨。</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（6）前横梁和后横梁为一体成型的高张力镀锌钢板滚压成型</w:t>
            </w:r>
            <w:r>
              <w:rPr>
                <w:rFonts w:hint="eastAsia" w:ascii="仿宋" w:hAnsi="仿宋" w:eastAsia="仿宋" w:cs="仿宋"/>
                <w:sz w:val="24"/>
                <w:szCs w:val="24"/>
                <w:lang w:eastAsia="zh-Hans"/>
              </w:rPr>
              <w:t>，厚度</w:t>
            </w:r>
            <w:r>
              <w:rPr>
                <w:rFonts w:hint="eastAsia" w:ascii="仿宋" w:hAnsi="仿宋" w:eastAsia="仿宋" w:cs="仿宋"/>
                <w:sz w:val="24"/>
                <w:szCs w:val="24"/>
              </w:rPr>
              <w:t>≥2mm，不得使用C型钢。</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（7）前梁与后梁连接支撑，与主梁之间用穿透式螺栓固定，每个支撑轨内都有一个</w:t>
            </w:r>
            <w:r>
              <w:rPr>
                <w:rFonts w:hint="eastAsia" w:ascii="仿宋" w:hAnsi="仿宋" w:eastAsia="仿宋" w:cs="仿宋"/>
                <w:sz w:val="24"/>
                <w:szCs w:val="24"/>
                <w:lang w:eastAsia="zh-Hans"/>
              </w:rPr>
              <w:t>≥</w:t>
            </w:r>
            <w:r>
              <w:rPr>
                <w:rFonts w:hint="eastAsia" w:ascii="仿宋" w:hAnsi="仿宋" w:eastAsia="仿宋" w:cs="仿宋"/>
                <w:sz w:val="24"/>
                <w:szCs w:val="24"/>
              </w:rPr>
              <w:t>32mm直径的尼龙滑轮，导引看台伸展收合直线进行并防止钢与钢之间产生磨擦。</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8）踏板与踏板支撑、悬臂支撑连接应当用螺栓固定。踏板之间采用铝合金的工字型连接件，方便踏板之间对接的同时增强了对接处强度，工字型连接件做阳极氧化处理，表面光滑亮丽，有较强的耐磨、耐蚀性。</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（9）</w:t>
            </w:r>
            <w:r>
              <w:rPr>
                <w:rFonts w:hint="eastAsia" w:ascii="仿宋" w:hAnsi="仿宋" w:eastAsia="仿宋" w:cs="仿宋"/>
                <w:sz w:val="24"/>
                <w:szCs w:val="24"/>
                <w:lang w:eastAsia="zh-Hans"/>
              </w:rPr>
              <w:t>看台背面配制弹性斜拉条，使看台抗变形能力更强</w:t>
            </w:r>
            <w:r>
              <w:rPr>
                <w:rFonts w:hint="eastAsia" w:ascii="仿宋" w:hAnsi="仿宋" w:eastAsia="仿宋" w:cs="仿宋"/>
                <w:sz w:val="24"/>
                <w:szCs w:val="24"/>
              </w:rPr>
              <w:t>。</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（10）看台层高≥250mm递增，层宽≥690mm。</w:t>
            </w:r>
          </w:p>
          <w:p>
            <w:pPr>
              <w:jc w:val="left"/>
              <w:textAlignment w:val="center"/>
              <w:rPr>
                <w:rFonts w:hint="eastAsia" w:ascii="仿宋" w:hAnsi="仿宋" w:eastAsia="仿宋" w:cs="仿宋"/>
                <w:sz w:val="24"/>
                <w:szCs w:val="24"/>
                <w:lang w:eastAsia="zh-Hans"/>
              </w:rPr>
            </w:pPr>
            <w:r>
              <w:rPr>
                <w:rFonts w:hint="eastAsia" w:ascii="仿宋" w:hAnsi="仿宋" w:eastAsia="仿宋" w:cs="仿宋"/>
                <w:sz w:val="24"/>
                <w:szCs w:val="24"/>
              </w:rPr>
              <w:t>（11）电动伸缩</w:t>
            </w:r>
            <w:r>
              <w:rPr>
                <w:rFonts w:hint="eastAsia" w:ascii="仿宋" w:hAnsi="仿宋" w:eastAsia="仿宋" w:cs="仿宋"/>
                <w:sz w:val="24"/>
                <w:szCs w:val="24"/>
                <w:lang w:eastAsia="zh-Hans"/>
              </w:rPr>
              <w:t>看台</w:t>
            </w:r>
            <w:r>
              <w:rPr>
                <w:rFonts w:hint="eastAsia" w:ascii="仿宋" w:hAnsi="仿宋" w:eastAsia="仿宋" w:cs="仿宋"/>
                <w:sz w:val="24"/>
                <w:szCs w:val="24"/>
              </w:rPr>
              <w:t>跑偏量≤20mm</w:t>
            </w:r>
            <w:r>
              <w:rPr>
                <w:rFonts w:hint="eastAsia" w:ascii="仿宋" w:hAnsi="仿宋" w:eastAsia="仿宋" w:cs="仿宋"/>
                <w:sz w:val="24"/>
                <w:szCs w:val="24"/>
                <w:lang w:eastAsia="zh-Hans"/>
              </w:rPr>
              <w:t>。</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w:t>
            </w:r>
            <w:r>
              <w:rPr>
                <w:rFonts w:hint="eastAsia" w:ascii="仿宋" w:hAnsi="仿宋" w:eastAsia="仿宋" w:cs="仿宋"/>
                <w:sz w:val="24"/>
                <w:szCs w:val="24"/>
              </w:rPr>
              <w:t>12）看台伸缩噪音dB(A)≤50。</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3、座椅</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（1）座椅主要以高密度聚乙烯为原料（全新料），中空吹塑工艺。</w:t>
            </w:r>
          </w:p>
          <w:p>
            <w:pPr>
              <w:jc w:val="left"/>
              <w:textAlignment w:val="center"/>
              <w:rPr>
                <w:rFonts w:hint="eastAsia" w:ascii="仿宋" w:hAnsi="仿宋" w:eastAsia="仿宋" w:cs="仿宋"/>
                <w:sz w:val="24"/>
                <w:szCs w:val="24"/>
                <w:lang w:eastAsia="zh-Hans"/>
              </w:rPr>
            </w:pPr>
            <w:r>
              <w:rPr>
                <w:rFonts w:hint="eastAsia" w:ascii="仿宋" w:hAnsi="仿宋" w:eastAsia="仿宋" w:cs="仿宋"/>
                <w:sz w:val="24"/>
                <w:szCs w:val="24"/>
                <w:lang w:eastAsia="zh-Hans"/>
              </w:rPr>
              <w:t>（2）</w:t>
            </w:r>
            <w:r>
              <w:rPr>
                <w:rFonts w:hint="eastAsia" w:ascii="仿宋" w:hAnsi="仿宋" w:eastAsia="仿宋" w:cs="仿宋"/>
                <w:sz w:val="24"/>
                <w:szCs w:val="24"/>
              </w:rPr>
              <w:t>座椅外形尺寸：座</w:t>
            </w:r>
            <w:r>
              <w:rPr>
                <w:rFonts w:hint="eastAsia" w:ascii="仿宋" w:hAnsi="仿宋" w:eastAsia="仿宋" w:cs="仿宋"/>
                <w:sz w:val="24"/>
                <w:szCs w:val="24"/>
                <w:lang w:eastAsia="zh-Hans"/>
              </w:rPr>
              <w:t>深</w:t>
            </w:r>
            <w:r>
              <w:rPr>
                <w:rFonts w:hint="eastAsia" w:ascii="仿宋" w:hAnsi="仿宋" w:eastAsia="仿宋" w:cs="仿宋"/>
                <w:sz w:val="24"/>
                <w:szCs w:val="24"/>
              </w:rPr>
              <w:t>305±5mm，</w:t>
            </w:r>
            <w:r>
              <w:rPr>
                <w:rFonts w:hint="eastAsia" w:ascii="仿宋" w:hAnsi="仿宋" w:eastAsia="仿宋" w:cs="仿宋"/>
                <w:sz w:val="24"/>
                <w:szCs w:val="24"/>
                <w:lang w:eastAsia="zh-Hans"/>
              </w:rPr>
              <w:t>座度</w:t>
            </w:r>
            <w:r>
              <w:rPr>
                <w:rFonts w:hint="eastAsia" w:ascii="仿宋" w:hAnsi="仿宋" w:eastAsia="仿宋" w:cs="仿宋"/>
                <w:sz w:val="24"/>
                <w:szCs w:val="24"/>
              </w:rPr>
              <w:t>455±5mm，</w:t>
            </w:r>
            <w:r>
              <w:rPr>
                <w:rFonts w:hint="eastAsia" w:ascii="仿宋" w:hAnsi="仿宋" w:eastAsia="仿宋" w:cs="仿宋"/>
                <w:sz w:val="24"/>
                <w:szCs w:val="24"/>
                <w:lang w:eastAsia="zh-Hans"/>
              </w:rPr>
              <w:t>椅高</w:t>
            </w:r>
            <w:r>
              <w:rPr>
                <w:rFonts w:hint="eastAsia" w:ascii="仿宋" w:hAnsi="仿宋" w:eastAsia="仿宋" w:cs="仿宋"/>
                <w:sz w:val="24"/>
                <w:szCs w:val="24"/>
              </w:rPr>
              <w:t>233±5mm。</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（3）座椅的设计、造型及就位组装方式符合国际通用要求，既造型美观，又坐感舒适，同时兼顾便于就位组装、维护和管理。</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（4）座椅阻燃性能好，座椅燃烧性能阻燃≥1级。</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（5）座椅表面无毛刺，接扣处线条结实，座椅结构配件呈圆滑过度，不形成锐边，且设计完全适于座椅外观的形状，全部隐蔽在支架内部，不能夹伤手指，钩住衣服，且可变可调性强。</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（6）座椅力学性能好。</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（7）座椅抗老化性能好。</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4、驱动系统</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（1）动力系统必需装置于需要动力的主结构上，需有坚固外壳保护电机,机械复合式驱动系统，电机直接带动传动轴与驱动轮，用来伸展和收缩看台。</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（2）安全电力系统设计，电源处于未使用状态时，无残留电力。采用简易控制器，可直接操作看台全展开或全收合。遇危险情形时，可松开按钮立即暂停。</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（3）驱动方式为电动控制式，采用优质三相减速电动机，电机功率0.55-0.75KW/380V，具有减速比大、效率高、噪音低、故障少，寿命长等特点。</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4）同步机构采用双层导向设计，设计导向滑槽，由导向轴承和侧滚轮等组成，保证在伸缩时，看台平衡的直线运动，减轻看台摩擦力，每组看台上层每米增加同步滑轮导向机构，保证在伸缩及制动时，均为平衡的直线运动，运动无噪音，可保证活动看台伸缩时轻松自如，不会产生跑偏等现象。伸缩机构动作灵活，且绝对不能划伤地板。</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5、护栏</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（1）每座配有自收式侧边钢制护栏，栏杆间隙需﹤100mm，栏杆＞1100mm，钢制护栏表面需进行酸洗磷化，并喷塑工艺处理，看台收合时，侧边护栏自动收合。</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（2）护栏支架设置为垂直，根据活动看台设计要求不同，护栏在伸缩过程中</w:t>
            </w:r>
            <w:r>
              <w:rPr>
                <w:rFonts w:hint="eastAsia" w:ascii="仿宋" w:hAnsi="仿宋" w:eastAsia="仿宋" w:cs="仿宋"/>
                <w:sz w:val="24"/>
                <w:szCs w:val="24"/>
                <w:lang w:eastAsia="zh-Hans"/>
              </w:rPr>
              <w:t>无需</w:t>
            </w:r>
            <w:r>
              <w:rPr>
                <w:rFonts w:hint="eastAsia" w:ascii="仿宋" w:hAnsi="仿宋" w:eastAsia="仿宋" w:cs="仿宋"/>
                <w:sz w:val="24"/>
                <w:szCs w:val="24"/>
              </w:rPr>
              <w:t>插拔。护栏经拼装焊接后，表面喷涂颜色同活动看台本色。</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（3）护栏套筒必需固定于结构前后梁,确保强度,不得固定于踏板上。</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6、踏板和踏步</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（1）踏板采用＞17mm厚的高强度层压板复合</w:t>
            </w:r>
            <w:r>
              <w:rPr>
                <w:rFonts w:hint="eastAsia" w:ascii="仿宋" w:hAnsi="仿宋" w:eastAsia="仿宋" w:cs="仿宋"/>
                <w:sz w:val="24"/>
                <w:szCs w:val="24"/>
                <w:lang w:eastAsia="zh-Hans"/>
              </w:rPr>
              <w:t>一层带防滑颗粒</w:t>
            </w:r>
            <w:r>
              <w:rPr>
                <w:rFonts w:hint="eastAsia" w:ascii="仿宋" w:hAnsi="仿宋" w:eastAsia="仿宋" w:cs="仿宋"/>
                <w:sz w:val="24"/>
                <w:szCs w:val="24"/>
              </w:rPr>
              <w:t>PVC胶皮面层。</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（2）踏步为耐水层压胶合板组合成型，周边配装铝合金封边，采用圆弧设计，安全不割脚，踏步前缘有防滑条，增加安全性，避免观众上下时滑倒。</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7、表面处理</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钢构件内外均做防锈处理，均经酸洗磷化后在自动喷涂线上完成静电喷塑，以增强其抗腐蚀性。所有构成伸缩看台的金属部件需进行酸洗磷化工艺，确保表面有防腐蚀保护效果，并进行喷塑处理。</w:t>
            </w:r>
          </w:p>
        </w:tc>
        <w:tc>
          <w:tcPr>
            <w:tcW w:w="42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sz w:val="24"/>
                <w:szCs w:val="24"/>
              </w:rPr>
            </w:pPr>
            <w:r>
              <w:rPr>
                <w:rFonts w:hint="eastAsia" w:ascii="仿宋" w:hAnsi="仿宋" w:eastAsia="仿宋" w:cs="仿宋"/>
                <w:sz w:val="24"/>
                <w:szCs w:val="24"/>
              </w:rPr>
              <w:t>2</w:t>
            </w:r>
          </w:p>
        </w:tc>
        <w:tc>
          <w:tcPr>
            <w:tcW w:w="8718" w:type="dxa"/>
            <w:tcBorders>
              <w:top w:val="single" w:color="auto" w:sz="4" w:space="0"/>
              <w:left w:val="single" w:color="auto" w:sz="4" w:space="0"/>
              <w:bottom w:val="single" w:color="auto" w:sz="4" w:space="0"/>
              <w:right w:val="single" w:color="auto" w:sz="4" w:space="0"/>
            </w:tcBorders>
            <w:vAlign w:val="center"/>
          </w:tcPr>
          <w:p>
            <w:pPr>
              <w:jc w:val="left"/>
              <w:textAlignment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324475" cy="39814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24475" cy="3981450"/>
                          </a:xfrm>
                          <a:prstGeom prst="rect">
                            <a:avLst/>
                          </a:prstGeom>
                          <a:noFill/>
                          <a:ln>
                            <a:noFill/>
                          </a:ln>
                        </pic:spPr>
                      </pic:pic>
                    </a:graphicData>
                  </a:graphic>
                </wp:inline>
              </w:drawing>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二、高靠背软包带扶手座椅电动伸缩看台</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1、看台在满足承载座椅本身重量外，还</w:t>
            </w:r>
            <w:r>
              <w:rPr>
                <w:rFonts w:hint="eastAsia" w:ascii="仿宋" w:hAnsi="仿宋" w:eastAsia="仿宋" w:cs="仿宋"/>
                <w:sz w:val="24"/>
                <w:szCs w:val="24"/>
                <w:lang w:eastAsia="zh-Hans"/>
              </w:rPr>
              <w:t>需</w:t>
            </w:r>
            <w:r>
              <w:rPr>
                <w:rFonts w:hint="eastAsia" w:ascii="仿宋" w:hAnsi="仿宋" w:eastAsia="仿宋" w:cs="仿宋"/>
                <w:sz w:val="24"/>
                <w:szCs w:val="24"/>
              </w:rPr>
              <w:t>满足承受下述载荷</w:t>
            </w:r>
            <w:r>
              <w:rPr>
                <w:rFonts w:hint="eastAsia" w:ascii="仿宋" w:hAnsi="仿宋" w:eastAsia="仿宋" w:cs="仿宋"/>
                <w:sz w:val="24"/>
                <w:szCs w:val="24"/>
                <w:lang w:eastAsia="zh-Hans"/>
              </w:rPr>
              <w:t>要求</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（1）</w:t>
            </w:r>
            <w:r>
              <w:rPr>
                <w:rFonts w:hint="eastAsia" w:ascii="仿宋" w:hAnsi="仿宋" w:eastAsia="仿宋" w:cs="仿宋"/>
                <w:sz w:val="24"/>
                <w:szCs w:val="24"/>
              </w:rPr>
              <w:t>床架结构强度：床架结构加载≥500</w:t>
            </w:r>
            <w:r>
              <w:rPr>
                <w:rFonts w:hint="eastAsia" w:ascii="仿宋" w:hAnsi="仿宋" w:eastAsia="仿宋" w:cs="仿宋"/>
                <w:sz w:val="24"/>
                <w:szCs w:val="24"/>
                <w:lang w:eastAsia="zh-Hans"/>
              </w:rPr>
              <w:t>KG</w:t>
            </w:r>
            <w:r>
              <w:rPr>
                <w:rFonts w:hint="eastAsia" w:ascii="仿宋" w:hAnsi="仿宋" w:eastAsia="仿宋" w:cs="仿宋"/>
                <w:sz w:val="24"/>
                <w:szCs w:val="24"/>
              </w:rPr>
              <w:t>/㎡ ，加载时间为≥30min，</w:t>
            </w:r>
            <w:r>
              <w:rPr>
                <w:rFonts w:hint="eastAsia" w:ascii="仿宋" w:hAnsi="仿宋" w:eastAsia="仿宋" w:cs="仿宋"/>
                <w:sz w:val="24"/>
                <w:szCs w:val="24"/>
                <w:lang w:eastAsia="zh-Hans"/>
              </w:rPr>
              <w:t>加载及</w:t>
            </w:r>
            <w:r>
              <w:rPr>
                <w:rFonts w:hint="eastAsia" w:ascii="仿宋" w:hAnsi="仿宋" w:eastAsia="仿宋" w:cs="仿宋"/>
                <w:sz w:val="24"/>
                <w:szCs w:val="24"/>
              </w:rPr>
              <w:t>去载后</w:t>
            </w:r>
            <w:r>
              <w:rPr>
                <w:rFonts w:hint="eastAsia" w:ascii="仿宋" w:hAnsi="仿宋" w:eastAsia="仿宋" w:cs="仿宋"/>
                <w:sz w:val="24"/>
                <w:szCs w:val="24"/>
                <w:lang w:eastAsia="zh-Hans"/>
              </w:rPr>
              <w:t>应无</w:t>
            </w:r>
            <w:r>
              <w:rPr>
                <w:rFonts w:hint="eastAsia" w:ascii="仿宋" w:hAnsi="仿宋" w:eastAsia="仿宋" w:cs="仿宋"/>
                <w:sz w:val="24"/>
                <w:szCs w:val="24"/>
              </w:rPr>
              <w:t>变形</w:t>
            </w:r>
            <w:r>
              <w:rPr>
                <w:rFonts w:hint="eastAsia" w:ascii="仿宋" w:hAnsi="仿宋" w:eastAsia="仿宋" w:cs="仿宋"/>
                <w:sz w:val="24"/>
                <w:szCs w:val="24"/>
                <w:lang w:eastAsia="zh-Hans"/>
              </w:rPr>
              <w:t>和损坏</w:t>
            </w:r>
            <w:r>
              <w:rPr>
                <w:rFonts w:hint="eastAsia" w:ascii="仿宋" w:hAnsi="仿宋" w:eastAsia="仿宋" w:cs="仿宋"/>
                <w:sz w:val="24"/>
                <w:szCs w:val="24"/>
              </w:rPr>
              <w:t>。</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（2）</w:t>
            </w:r>
            <w:r>
              <w:rPr>
                <w:rFonts w:hint="eastAsia" w:ascii="仿宋" w:hAnsi="仿宋" w:eastAsia="仿宋" w:cs="仿宋"/>
                <w:sz w:val="24"/>
                <w:szCs w:val="24"/>
              </w:rPr>
              <w:t>护栏设计满足承受水平力如下：顶端满足承受每米≥1000</w:t>
            </w:r>
            <w:r>
              <w:rPr>
                <w:rFonts w:hint="eastAsia" w:ascii="仿宋" w:hAnsi="仿宋" w:eastAsia="仿宋" w:cs="仿宋"/>
                <w:sz w:val="24"/>
                <w:szCs w:val="24"/>
                <w:lang w:eastAsia="zh-Hans"/>
              </w:rPr>
              <w:t>N</w:t>
            </w:r>
            <w:r>
              <w:rPr>
                <w:rFonts w:hint="eastAsia" w:ascii="仿宋" w:hAnsi="仿宋" w:eastAsia="仿宋" w:cs="仿宋"/>
                <w:sz w:val="24"/>
                <w:szCs w:val="24"/>
              </w:rPr>
              <w:t>，护栏中间满足承受每米≥</w:t>
            </w:r>
            <w:r>
              <w:rPr>
                <w:rFonts w:hint="eastAsia" w:ascii="仿宋" w:hAnsi="仿宋" w:eastAsia="仿宋" w:cs="仿宋"/>
                <w:sz w:val="24"/>
                <w:szCs w:val="24"/>
                <w:lang w:eastAsia="zh-Hans"/>
              </w:rPr>
              <w:t>1500N</w:t>
            </w:r>
            <w:r>
              <w:rPr>
                <w:rFonts w:hint="eastAsia" w:ascii="仿宋" w:hAnsi="仿宋" w:eastAsia="仿宋" w:cs="仿宋"/>
                <w:sz w:val="24"/>
                <w:szCs w:val="24"/>
              </w:rPr>
              <w:t>。</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（3）塑胶座椅</w:t>
            </w:r>
            <w:r>
              <w:rPr>
                <w:rFonts w:hint="eastAsia" w:ascii="仿宋" w:hAnsi="仿宋" w:eastAsia="仿宋" w:cs="仿宋"/>
                <w:sz w:val="24"/>
                <w:szCs w:val="24"/>
              </w:rPr>
              <w:t>能承受每座≥2000</w:t>
            </w:r>
            <w:r>
              <w:rPr>
                <w:rFonts w:hint="eastAsia" w:ascii="仿宋" w:hAnsi="仿宋" w:eastAsia="仿宋" w:cs="仿宋"/>
                <w:sz w:val="24"/>
                <w:szCs w:val="24"/>
                <w:lang w:eastAsia="zh-Hans"/>
              </w:rPr>
              <w:t>N</w:t>
            </w:r>
            <w:r>
              <w:rPr>
                <w:rFonts w:hint="eastAsia" w:ascii="仿宋" w:hAnsi="仿宋" w:eastAsia="仿宋" w:cs="仿宋"/>
                <w:sz w:val="24"/>
                <w:szCs w:val="24"/>
              </w:rPr>
              <w:t>的额定载荷，</w:t>
            </w:r>
            <w:r>
              <w:rPr>
                <w:rFonts w:hint="eastAsia" w:ascii="仿宋" w:hAnsi="仿宋" w:eastAsia="仿宋" w:cs="仿宋"/>
                <w:sz w:val="24"/>
                <w:szCs w:val="24"/>
                <w:lang w:eastAsia="zh-Hans"/>
              </w:rPr>
              <w:t>且</w:t>
            </w:r>
            <w:r>
              <w:rPr>
                <w:rFonts w:hint="eastAsia" w:ascii="仿宋" w:hAnsi="仿宋" w:eastAsia="仿宋" w:cs="仿宋"/>
                <w:sz w:val="24"/>
                <w:szCs w:val="24"/>
              </w:rPr>
              <w:t>30</w:t>
            </w:r>
            <w:r>
              <w:rPr>
                <w:rFonts w:hint="eastAsia" w:ascii="仿宋" w:hAnsi="仿宋" w:eastAsia="仿宋" w:cs="仿宋"/>
                <w:sz w:val="24"/>
                <w:szCs w:val="24"/>
                <w:lang w:eastAsia="zh-Hans"/>
              </w:rPr>
              <w:t>分钟内无</w:t>
            </w:r>
            <w:r>
              <w:rPr>
                <w:rFonts w:hint="eastAsia" w:ascii="仿宋" w:hAnsi="仿宋" w:eastAsia="仿宋" w:cs="仿宋"/>
                <w:sz w:val="24"/>
                <w:szCs w:val="24"/>
              </w:rPr>
              <w:t>变形。</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（4）</w:t>
            </w:r>
            <w:r>
              <w:rPr>
                <w:rFonts w:hint="eastAsia" w:ascii="仿宋" w:hAnsi="仿宋" w:eastAsia="仿宋" w:cs="仿宋"/>
                <w:sz w:val="24"/>
                <w:szCs w:val="24"/>
              </w:rPr>
              <w:t>床架耐冲击强度：床架结构加载≥50</w:t>
            </w:r>
            <w:r>
              <w:rPr>
                <w:rFonts w:hint="eastAsia" w:ascii="仿宋" w:hAnsi="仿宋" w:eastAsia="仿宋" w:cs="仿宋"/>
                <w:sz w:val="24"/>
                <w:szCs w:val="24"/>
                <w:lang w:eastAsia="zh-Hans"/>
              </w:rPr>
              <w:t>KG重量，300mm高度冲击</w:t>
            </w:r>
            <w:r>
              <w:rPr>
                <w:rFonts w:hint="eastAsia" w:ascii="仿宋" w:hAnsi="仿宋" w:eastAsia="仿宋" w:cs="仿宋"/>
                <w:sz w:val="24"/>
                <w:szCs w:val="24"/>
              </w:rPr>
              <w:t>≥</w:t>
            </w:r>
            <w:r>
              <w:rPr>
                <w:rFonts w:hint="eastAsia" w:ascii="仿宋" w:hAnsi="仿宋" w:eastAsia="仿宋" w:cs="仿宋"/>
                <w:sz w:val="24"/>
                <w:szCs w:val="24"/>
                <w:lang w:eastAsia="zh-Hans"/>
              </w:rPr>
              <w:t>20次，应无</w:t>
            </w:r>
            <w:r>
              <w:rPr>
                <w:rFonts w:hint="eastAsia" w:ascii="仿宋" w:hAnsi="仿宋" w:eastAsia="仿宋" w:cs="仿宋"/>
                <w:sz w:val="24"/>
                <w:szCs w:val="24"/>
              </w:rPr>
              <w:t>变形</w:t>
            </w:r>
            <w:r>
              <w:rPr>
                <w:rFonts w:hint="eastAsia" w:ascii="仿宋" w:hAnsi="仿宋" w:eastAsia="仿宋" w:cs="仿宋"/>
                <w:sz w:val="24"/>
                <w:szCs w:val="24"/>
                <w:lang w:eastAsia="zh-Hans"/>
              </w:rPr>
              <w:t>和损坏</w:t>
            </w:r>
            <w:r>
              <w:rPr>
                <w:rFonts w:hint="eastAsia" w:ascii="仿宋" w:hAnsi="仿宋" w:eastAsia="仿宋" w:cs="仿宋"/>
                <w:sz w:val="24"/>
                <w:szCs w:val="24"/>
              </w:rPr>
              <w:t>。</w:t>
            </w:r>
          </w:p>
          <w:p>
            <w:pPr>
              <w:jc w:val="left"/>
              <w:textAlignment w:val="center"/>
              <w:rPr>
                <w:rFonts w:hint="eastAsia" w:ascii="仿宋" w:hAnsi="仿宋" w:eastAsia="仿宋" w:cs="仿宋"/>
                <w:sz w:val="24"/>
                <w:szCs w:val="24"/>
                <w:lang w:eastAsia="zh-Hans"/>
              </w:rPr>
            </w:pPr>
            <w:r>
              <w:rPr>
                <w:rFonts w:hint="eastAsia" w:ascii="仿宋" w:hAnsi="仿宋" w:eastAsia="仿宋" w:cs="仿宋"/>
                <w:sz w:val="24"/>
                <w:szCs w:val="24"/>
              </w:rPr>
              <w:t>2、底部钢架结构</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（1）看台</w:t>
            </w:r>
            <w:r>
              <w:rPr>
                <w:rFonts w:hint="eastAsia" w:ascii="仿宋" w:hAnsi="仿宋" w:eastAsia="仿宋" w:cs="仿宋"/>
                <w:sz w:val="24"/>
                <w:szCs w:val="24"/>
              </w:rPr>
              <w:t>骨架</w:t>
            </w:r>
            <w:r>
              <w:rPr>
                <w:rFonts w:hint="eastAsia" w:ascii="仿宋" w:hAnsi="仿宋" w:eastAsia="仿宋" w:cs="仿宋"/>
                <w:sz w:val="24"/>
                <w:szCs w:val="24"/>
                <w:lang w:eastAsia="zh-Hans"/>
              </w:rPr>
              <w:t>为稳定的</w:t>
            </w:r>
            <w:r>
              <w:rPr>
                <w:rFonts w:hint="eastAsia" w:ascii="仿宋" w:hAnsi="仿宋" w:eastAsia="仿宋" w:cs="仿宋"/>
                <w:sz w:val="24"/>
                <w:szCs w:val="24"/>
              </w:rPr>
              <w:t>倾斜</w:t>
            </w:r>
            <w:r>
              <w:rPr>
                <w:rFonts w:hint="eastAsia" w:ascii="仿宋" w:hAnsi="仿宋" w:eastAsia="仿宋" w:cs="仿宋"/>
                <w:sz w:val="24"/>
                <w:szCs w:val="24"/>
                <w:lang w:eastAsia="zh-Hans"/>
              </w:rPr>
              <w:t>式设计，</w:t>
            </w:r>
            <w:r>
              <w:rPr>
                <w:rFonts w:hint="eastAsia" w:ascii="仿宋" w:hAnsi="仿宋" w:eastAsia="仿宋" w:cs="仿宋"/>
                <w:sz w:val="24"/>
                <w:szCs w:val="24"/>
              </w:rPr>
              <w:t>由高张力Q235B结构钢材制成，可使用穿透式固定螺栓，与踏板支撑结合。</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（2）</w:t>
            </w:r>
            <w:r>
              <w:rPr>
                <w:rFonts w:hint="eastAsia" w:ascii="仿宋" w:hAnsi="仿宋" w:eastAsia="仿宋" w:cs="仿宋"/>
                <w:sz w:val="24"/>
                <w:szCs w:val="24"/>
              </w:rPr>
              <w:t>轮上应有模制的烧结钢套管，内配轴承与轴心，最后以开口销锁住。每根骨架（柱）下安装≥4只轮子，能承受巨力且移动时对地面无伤害。</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（3）</w:t>
            </w:r>
            <w:r>
              <w:rPr>
                <w:rFonts w:hint="eastAsia" w:ascii="仿宋" w:hAnsi="仿宋" w:eastAsia="仿宋" w:cs="仿宋"/>
                <w:sz w:val="24"/>
                <w:szCs w:val="24"/>
              </w:rPr>
              <w:t>下部轨道应为多折型钢件，与相邻的轨道互相锁定，连锁重迭部分≥28</w:t>
            </w:r>
            <w:r>
              <w:rPr>
                <w:rFonts w:hint="eastAsia" w:ascii="仿宋" w:hAnsi="仿宋" w:eastAsia="仿宋" w:cs="仿宋"/>
                <w:sz w:val="24"/>
                <w:szCs w:val="24"/>
                <w:lang w:eastAsia="zh-Hans"/>
              </w:rPr>
              <w:t>CM</w:t>
            </w:r>
            <w:r>
              <w:rPr>
                <w:rFonts w:hint="eastAsia" w:ascii="仿宋" w:hAnsi="仿宋" w:eastAsia="仿宋" w:cs="仿宋"/>
                <w:sz w:val="24"/>
                <w:szCs w:val="24"/>
              </w:rPr>
              <w:t>（用连锁导向钢轨来保证排与排之间对齐）</w:t>
            </w:r>
            <w:r>
              <w:rPr>
                <w:rFonts w:hint="eastAsia" w:ascii="仿宋" w:hAnsi="仿宋" w:eastAsia="仿宋" w:cs="仿宋"/>
                <w:sz w:val="24"/>
                <w:szCs w:val="24"/>
                <w:lang w:eastAsia="zh-Hans"/>
              </w:rPr>
              <w:t>。</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（4）</w:t>
            </w:r>
            <w:r>
              <w:rPr>
                <w:rFonts w:hint="eastAsia" w:ascii="仿宋" w:hAnsi="仿宋" w:eastAsia="仿宋" w:cs="仿宋"/>
                <w:sz w:val="24"/>
                <w:szCs w:val="24"/>
              </w:rPr>
              <w:t>每个下部轨道都应当包括一个多折型排锁，以将各排互相锁紧在打开的位置，并允许进行自动解锁。排锁应是略斜低置设计，以避免遭到破坏。</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（5）</w:t>
            </w:r>
            <w:r>
              <w:rPr>
                <w:rFonts w:hint="eastAsia" w:ascii="仿宋" w:hAnsi="仿宋" w:eastAsia="仿宋" w:cs="仿宋"/>
                <w:sz w:val="24"/>
                <w:szCs w:val="24"/>
              </w:rPr>
              <w:t>上部轨道上应当有模制尼龙轮互锁包覆式导轨。</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（6）前横梁和后横梁为一体成型的高张力镀锌钢板滚压成型</w:t>
            </w:r>
            <w:r>
              <w:rPr>
                <w:rFonts w:hint="eastAsia" w:ascii="仿宋" w:hAnsi="仿宋" w:eastAsia="仿宋" w:cs="仿宋"/>
                <w:sz w:val="24"/>
                <w:szCs w:val="24"/>
                <w:lang w:eastAsia="zh-Hans"/>
              </w:rPr>
              <w:t>，厚度</w:t>
            </w:r>
            <w:r>
              <w:rPr>
                <w:rFonts w:hint="eastAsia" w:ascii="仿宋" w:hAnsi="仿宋" w:eastAsia="仿宋" w:cs="仿宋"/>
                <w:sz w:val="24"/>
                <w:szCs w:val="24"/>
              </w:rPr>
              <w:t>≥2mm，不得使用C型钢。</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（7）前梁与后梁连接支撑，与主梁之间用穿透式螺栓固定，每个支撑轨内都有一个≥32mm直径的尼龙滑轮，导引看台伸展收合直线进行并防止钢与钢之间产生磨擦。</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（8）踏板与踏板支撑、悬臂支撑连接应当用螺栓固定。踏板之间采用铝合金的工字型连接件，方便踏板之间对接的同时增强对接处强度，工字型连接件做阳极氧化处理，表面光滑亮丽，有较强的耐磨、耐蚀性。</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（9）</w:t>
            </w:r>
            <w:r>
              <w:rPr>
                <w:rFonts w:hint="eastAsia" w:ascii="仿宋" w:hAnsi="仿宋" w:eastAsia="仿宋" w:cs="仿宋"/>
                <w:sz w:val="24"/>
                <w:szCs w:val="24"/>
                <w:lang w:eastAsia="zh-Hans"/>
              </w:rPr>
              <w:t>看台背面配制弹性斜拉条，使看台抗变形能力更强</w:t>
            </w:r>
            <w:r>
              <w:rPr>
                <w:rFonts w:hint="eastAsia" w:ascii="仿宋" w:hAnsi="仿宋" w:eastAsia="仿宋" w:cs="仿宋"/>
                <w:sz w:val="24"/>
                <w:szCs w:val="24"/>
              </w:rPr>
              <w:t>。</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（10）看台层高≥300mm递增，层宽≥900mm。</w:t>
            </w:r>
          </w:p>
          <w:p>
            <w:pPr>
              <w:jc w:val="left"/>
              <w:textAlignment w:val="center"/>
              <w:rPr>
                <w:rFonts w:hint="eastAsia" w:ascii="仿宋" w:hAnsi="仿宋" w:eastAsia="仿宋" w:cs="仿宋"/>
                <w:sz w:val="24"/>
                <w:szCs w:val="24"/>
                <w:lang w:eastAsia="zh-Hans"/>
              </w:rPr>
            </w:pPr>
            <w:r>
              <w:rPr>
                <w:rFonts w:hint="eastAsia" w:ascii="仿宋" w:hAnsi="仿宋" w:eastAsia="仿宋" w:cs="仿宋"/>
                <w:sz w:val="24"/>
                <w:szCs w:val="24"/>
              </w:rPr>
              <w:t>（11）电动伸缩</w:t>
            </w:r>
            <w:r>
              <w:rPr>
                <w:rFonts w:hint="eastAsia" w:ascii="仿宋" w:hAnsi="仿宋" w:eastAsia="仿宋" w:cs="仿宋"/>
                <w:sz w:val="24"/>
                <w:szCs w:val="24"/>
                <w:lang w:eastAsia="zh-Hans"/>
              </w:rPr>
              <w:t>看台</w:t>
            </w:r>
            <w:r>
              <w:rPr>
                <w:rFonts w:hint="eastAsia" w:ascii="仿宋" w:hAnsi="仿宋" w:eastAsia="仿宋" w:cs="仿宋"/>
                <w:sz w:val="24"/>
                <w:szCs w:val="24"/>
              </w:rPr>
              <w:t>跑偏量≤20mm</w:t>
            </w:r>
            <w:r>
              <w:rPr>
                <w:rFonts w:hint="eastAsia" w:ascii="仿宋" w:hAnsi="仿宋" w:eastAsia="仿宋" w:cs="仿宋"/>
                <w:sz w:val="24"/>
                <w:szCs w:val="24"/>
                <w:lang w:eastAsia="zh-Hans"/>
              </w:rPr>
              <w:t>。</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w:t>
            </w:r>
            <w:r>
              <w:rPr>
                <w:rFonts w:hint="eastAsia" w:ascii="仿宋" w:hAnsi="仿宋" w:eastAsia="仿宋" w:cs="仿宋"/>
                <w:sz w:val="24"/>
                <w:szCs w:val="24"/>
              </w:rPr>
              <w:t>12）看台伸缩噪音dB(A)≤50。</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3、座椅</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（1）座面和背面均为沙发定型软垫，左右两侧配扶手，能给使用者带来舒适的座感体验，椅高650±10mm，椅深620±10mm，椅宽440±10mm，座椅间距为510±5mm</w:t>
            </w:r>
            <w:r>
              <w:rPr>
                <w:rFonts w:hint="eastAsia" w:ascii="仿宋" w:hAnsi="仿宋" w:eastAsia="仿宋" w:cs="仿宋"/>
                <w:sz w:val="24"/>
                <w:szCs w:val="24"/>
                <w:lang w:eastAsia="zh-Hans"/>
              </w:rPr>
              <w:t>。</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（2）布料：采用专用高级亚麻面料，渗透力强、环保耐磨、富有弹性，通过国家纺织制品质量监督检查中心检测，达到国家纺织品相关标准。</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（3）扶手：采用实木扶手，抛光后外喷</w:t>
            </w:r>
            <w:r>
              <w:rPr>
                <w:rFonts w:hint="eastAsia" w:ascii="仿宋" w:hAnsi="仿宋" w:eastAsia="仿宋" w:cs="仿宋"/>
                <w:sz w:val="24"/>
                <w:szCs w:val="24"/>
                <w:lang w:eastAsia="zh-Hans"/>
              </w:rPr>
              <w:t>优质</w:t>
            </w:r>
            <w:r>
              <w:rPr>
                <w:rFonts w:hint="eastAsia" w:ascii="仿宋" w:hAnsi="仿宋" w:eastAsia="仿宋" w:cs="仿宋"/>
                <w:sz w:val="24"/>
                <w:szCs w:val="24"/>
              </w:rPr>
              <w:t>环保油漆</w:t>
            </w:r>
            <w:r>
              <w:rPr>
                <w:rFonts w:hint="eastAsia" w:ascii="仿宋" w:hAnsi="仿宋" w:eastAsia="仿宋" w:cs="仿宋"/>
                <w:sz w:val="24"/>
                <w:szCs w:val="24"/>
                <w:lang w:eastAsia="zh-Hans"/>
              </w:rPr>
              <w:t>，扶手宽度为45mm，</w:t>
            </w:r>
            <w:r>
              <w:rPr>
                <w:rFonts w:hint="eastAsia" w:ascii="仿宋" w:hAnsi="仿宋" w:eastAsia="仿宋" w:cs="仿宋"/>
                <w:sz w:val="24"/>
                <w:szCs w:val="24"/>
              </w:rPr>
              <w:t>美观、实用、耐腐蚀。</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 xml:space="preserve">（4）座/背海绵：采用高密度阻燃聚氨酯定型海绵原料，添加高效阻燃元素，冷固发泡一体成形的优质海绵。座海绵密度为70-80Kg/m3,背海绵密度为60-70Kg/m3。 </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（5）座/背内板：采用优质高密度硬木夹板，经高温高压模具压制成型，造型稳定、受力好，木夹板厚度15mm。</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（6）背外板：优质高密度硬木多层板，经模具与内板同模冷压精制而成，美观大方，抗变形，抛光油漆。</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（7）软包折叠机构：要求折叠顺畅，不卡顿，扶手同步回复噪音小，达到实用，可靠，且可大幅提升座椅的使用寿命。</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4、驱动系统</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（1）动力系统必需装置于需要动力的主结构上，需有坚固外壳保护电机,机械复合式驱动系统，电机直接带动传动轴与驱动轮，用来伸展和收缩看台。</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（2）安全电力系统设计，电源处于未使用状态时，无残留电力。采用简易控制器，可直接操作看台全展开或全收合。遇危险情形时，可松开按钮立即暂停。</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（3）驱动方式为电动控制式，采用优质三相减速电动机，电机功率0.55-0.75KW/380V，具有减速比大、效率高、噪音低、故障少，寿命长等特点。</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4）同步机构采用双层导向设计，设计导向滑槽，由导向轴承和侧滚轮等组成，保证在伸缩时，看台平衡的直线运动，减轻看台摩擦力，每组看台上层每米增加同步滑轮导向机构，保证在伸缩及制动时，均为平衡的直线运动，运动无噪音，可保证活动看台伸缩时轻松自如，不会产生跑偏等现象。伸缩机构动作灵活，且不划伤地板。</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5、护栏</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（1）每座配有自收式侧边钢制护栏，规格为40×20mm</w:t>
            </w:r>
            <w:r>
              <w:rPr>
                <w:rFonts w:hint="eastAsia" w:ascii="仿宋" w:hAnsi="仿宋" w:eastAsia="仿宋" w:cs="仿宋"/>
                <w:sz w:val="24"/>
                <w:szCs w:val="24"/>
                <w:lang w:eastAsia="zh-Hans"/>
              </w:rPr>
              <w:t>方形</w:t>
            </w:r>
            <w:r>
              <w:rPr>
                <w:rFonts w:hint="eastAsia" w:ascii="仿宋" w:hAnsi="仿宋" w:eastAsia="仿宋" w:cs="仿宋"/>
                <w:sz w:val="24"/>
                <w:szCs w:val="24"/>
              </w:rPr>
              <w:t>钢制材料，栏杆间隙需小于100mm，栏杆高度大于1100mm，钢制护栏表面需进行酸洗磷化，并喷塑工艺处理，看台收合时，侧边护栏自动收合。</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（2）护栏支架设置为垂直，根据活动看台设计要求不同，护栏在伸缩过程中</w:t>
            </w:r>
            <w:r>
              <w:rPr>
                <w:rFonts w:hint="eastAsia" w:ascii="仿宋" w:hAnsi="仿宋" w:eastAsia="仿宋" w:cs="仿宋"/>
                <w:sz w:val="24"/>
                <w:szCs w:val="24"/>
                <w:lang w:eastAsia="zh-Hans"/>
              </w:rPr>
              <w:t>无需</w:t>
            </w:r>
            <w:r>
              <w:rPr>
                <w:rFonts w:hint="eastAsia" w:ascii="仿宋" w:hAnsi="仿宋" w:eastAsia="仿宋" w:cs="仿宋"/>
                <w:sz w:val="24"/>
                <w:szCs w:val="24"/>
              </w:rPr>
              <w:t>插拔。护栏经拼装焊接后，表面喷涂颜色同活动看台本色。</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（3）护栏套筒必需固定于结构前后梁,确保强度,不得固定于踏板上。</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6、踏板和踏步</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（1）踏板采用≥17mm厚的高强度层压板复合</w:t>
            </w:r>
            <w:r>
              <w:rPr>
                <w:rFonts w:hint="eastAsia" w:ascii="仿宋" w:hAnsi="仿宋" w:eastAsia="仿宋" w:cs="仿宋"/>
                <w:sz w:val="24"/>
                <w:szCs w:val="24"/>
                <w:lang w:eastAsia="zh-Hans"/>
              </w:rPr>
              <w:t>一层带防滑颗粒</w:t>
            </w:r>
            <w:r>
              <w:rPr>
                <w:rFonts w:hint="eastAsia" w:ascii="仿宋" w:hAnsi="仿宋" w:eastAsia="仿宋" w:cs="仿宋"/>
                <w:sz w:val="24"/>
                <w:szCs w:val="24"/>
              </w:rPr>
              <w:t>PVC胶皮面层。</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（2）踏步为耐水层压胶合板组合成型，周边配装铝合金封边，采用圆弧设计，安全不割脚，踏步前缘有防滑条，增加安全性，避免观众上下时滑倒。</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7、表面处理</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钢构件内外均做防锈处理，均经酸洗磷化后在自动喷涂线上完成静电喷塑，以增强其抗腐蚀性。所有构成伸缩看台的金属部件均需进行酸洗磷化工艺，确保表面有防腐蚀保护效果，并进行喷塑处理。</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8.在最后一排的之后留出1.8米的过道（水平于最后一排）</w:t>
            </w:r>
            <w:r>
              <w:rPr>
                <w:rFonts w:hint="eastAsia" w:ascii="仿宋" w:hAnsi="仿宋" w:eastAsia="仿宋" w:cs="仿宋"/>
                <w:sz w:val="24"/>
                <w:szCs w:val="24"/>
              </w:rPr>
              <w:drawing>
                <wp:inline distT="0" distB="0" distL="0" distR="0">
                  <wp:extent cx="2057400" cy="29432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057400" cy="2943225"/>
                          </a:xfrm>
                          <a:prstGeom prst="rect">
                            <a:avLst/>
                          </a:prstGeom>
                          <a:noFill/>
                          <a:ln>
                            <a:noFill/>
                          </a:ln>
                        </pic:spPr>
                      </pic:pic>
                    </a:graphicData>
                  </a:graphic>
                </wp:inline>
              </w:drawing>
            </w:r>
          </w:p>
        </w:tc>
        <w:tc>
          <w:tcPr>
            <w:tcW w:w="42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sz w:val="24"/>
                <w:szCs w:val="24"/>
              </w:rPr>
            </w:pPr>
            <w:r>
              <w:rPr>
                <w:rFonts w:hint="eastAsia" w:ascii="仿宋" w:hAnsi="仿宋" w:eastAsia="仿宋" w:cs="仿宋"/>
                <w:sz w:val="24"/>
                <w:szCs w:val="24"/>
              </w:rPr>
              <w:t>3</w:t>
            </w:r>
          </w:p>
        </w:tc>
        <w:tc>
          <w:tcPr>
            <w:tcW w:w="8718" w:type="dxa"/>
            <w:tcBorders>
              <w:top w:val="single" w:color="auto" w:sz="4" w:space="0"/>
              <w:left w:val="single" w:color="auto" w:sz="4" w:space="0"/>
              <w:bottom w:val="single" w:color="auto" w:sz="4" w:space="0"/>
              <w:right w:val="single" w:color="auto" w:sz="4" w:space="0"/>
            </w:tcBorders>
            <w:vAlign w:val="center"/>
          </w:tcPr>
          <w:p>
            <w:pPr>
              <w:jc w:val="left"/>
              <w:textAlignment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2257425" cy="800100"/>
                  <wp:effectExtent l="0" t="0" r="9525" b="0"/>
                  <wp:docPr id="9" name="图片 9" descr="微信图片_2018112814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811281450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57425" cy="800100"/>
                          </a:xfrm>
                          <a:prstGeom prst="rect">
                            <a:avLst/>
                          </a:prstGeom>
                          <a:noFill/>
                          <a:ln>
                            <a:noFill/>
                          </a:ln>
                        </pic:spPr>
                      </pic:pic>
                    </a:graphicData>
                  </a:graphic>
                </wp:inline>
              </w:drawing>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台阶踏步</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（1）踏步为层压实木板组合成型，采用周边配装铝合金封边，采用圆弧设计，安全不割脚，踏步前缘有防滑条，增加安全性，避免观众上下时滑倒。</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（2）踏步前面设有排数标识。</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Hans"/>
              </w:rPr>
              <w:t>尺寸：长度900</w:t>
            </w:r>
            <w:r>
              <w:rPr>
                <w:rFonts w:hint="eastAsia" w:ascii="仿宋" w:hAnsi="仿宋" w:eastAsia="仿宋" w:cs="仿宋"/>
                <w:sz w:val="24"/>
                <w:szCs w:val="24"/>
              </w:rPr>
              <w:t>±10mm</w:t>
            </w:r>
            <w:r>
              <w:rPr>
                <w:rFonts w:hint="eastAsia" w:ascii="仿宋" w:hAnsi="仿宋" w:eastAsia="仿宋" w:cs="仿宋"/>
                <w:sz w:val="24"/>
                <w:szCs w:val="24"/>
                <w:lang w:eastAsia="zh-Hans"/>
              </w:rPr>
              <w:t>，宽度320</w:t>
            </w:r>
            <w:r>
              <w:rPr>
                <w:rFonts w:hint="eastAsia" w:ascii="仿宋" w:hAnsi="仿宋" w:eastAsia="仿宋" w:cs="仿宋"/>
                <w:sz w:val="24"/>
                <w:szCs w:val="24"/>
              </w:rPr>
              <w:t>±10mm</w:t>
            </w:r>
            <w:r>
              <w:rPr>
                <w:rFonts w:hint="eastAsia" w:ascii="仿宋" w:hAnsi="仿宋" w:eastAsia="仿宋" w:cs="仿宋"/>
                <w:sz w:val="24"/>
                <w:szCs w:val="24"/>
                <w:lang w:eastAsia="zh-Hans"/>
              </w:rPr>
              <w:t>，高度150</w:t>
            </w:r>
            <w:r>
              <w:rPr>
                <w:rFonts w:hint="eastAsia" w:ascii="仿宋" w:hAnsi="仿宋" w:eastAsia="仿宋" w:cs="仿宋"/>
                <w:sz w:val="24"/>
                <w:szCs w:val="24"/>
              </w:rPr>
              <w:t>±10mm</w:t>
            </w:r>
            <w:r>
              <w:rPr>
                <w:rFonts w:hint="eastAsia" w:ascii="仿宋" w:hAnsi="仿宋" w:eastAsia="仿宋" w:cs="仿宋"/>
                <w:sz w:val="24"/>
                <w:szCs w:val="24"/>
                <w:lang w:eastAsia="zh-Hans"/>
              </w:rPr>
              <w:t>。</w:t>
            </w:r>
          </w:p>
        </w:tc>
        <w:tc>
          <w:tcPr>
            <w:tcW w:w="42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sz w:val="24"/>
                <w:szCs w:val="24"/>
                <w:lang w:eastAsia="zh-Hans"/>
              </w:rPr>
            </w:pPr>
            <w:r>
              <w:rPr>
                <w:rFonts w:hint="eastAsia" w:ascii="仿宋" w:hAnsi="仿宋" w:eastAsia="仿宋" w:cs="仿宋"/>
                <w:sz w:val="24"/>
                <w:szCs w:val="24"/>
                <w:lang w:eastAsia="zh-Hans"/>
              </w:rPr>
              <w:t>4</w:t>
            </w:r>
          </w:p>
        </w:tc>
        <w:tc>
          <w:tcPr>
            <w:tcW w:w="8718" w:type="dxa"/>
            <w:tcBorders>
              <w:top w:val="single" w:color="auto" w:sz="4" w:space="0"/>
              <w:left w:val="single" w:color="auto" w:sz="4" w:space="0"/>
              <w:bottom w:val="single" w:color="auto" w:sz="4" w:space="0"/>
              <w:right w:val="single" w:color="auto" w:sz="4" w:space="0"/>
            </w:tcBorders>
            <w:vAlign w:val="center"/>
          </w:tcPr>
          <w:p>
            <w:pPr>
              <w:jc w:val="left"/>
              <w:textAlignment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648325" cy="3762375"/>
                  <wp:effectExtent l="0" t="0" r="9525" b="9525"/>
                  <wp:docPr id="8" name="图片 8" descr="003de821d90feb9d835baf3aa29ab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03de821d90feb9d835baf3aa29ab7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648325" cy="3762375"/>
                          </a:xfrm>
                          <a:prstGeom prst="rect">
                            <a:avLst/>
                          </a:prstGeom>
                          <a:noFill/>
                          <a:ln>
                            <a:noFill/>
                          </a:ln>
                        </pic:spPr>
                      </pic:pic>
                    </a:graphicData>
                  </a:graphic>
                </wp:inline>
              </w:drawing>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三、高靠背塑胶固定座椅：</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（1）</w:t>
            </w:r>
            <w:r>
              <w:rPr>
                <w:rFonts w:hint="eastAsia" w:ascii="仿宋" w:hAnsi="仿宋" w:eastAsia="仿宋" w:cs="仿宋"/>
                <w:sz w:val="24"/>
                <w:szCs w:val="24"/>
              </w:rPr>
              <w:t>尺寸规格：中空吹塑中靠背座椅，座椅外形尺寸：椅宽415±10mm，椅深470±10mm，椅背高度315±10mm。</w:t>
            </w:r>
          </w:p>
          <w:p>
            <w:pPr>
              <w:jc w:val="left"/>
              <w:textAlignment w:val="center"/>
              <w:rPr>
                <w:rFonts w:hint="eastAsia" w:ascii="仿宋" w:hAnsi="仿宋" w:eastAsia="仿宋" w:cs="仿宋"/>
                <w:sz w:val="24"/>
                <w:szCs w:val="24"/>
              </w:rPr>
            </w:pPr>
            <w:r>
              <w:rPr>
                <w:rFonts w:hint="eastAsia" w:ascii="仿宋" w:hAnsi="仿宋" w:eastAsia="仿宋" w:cs="仿宋"/>
                <w:sz w:val="24"/>
                <w:szCs w:val="24"/>
                <w:lang w:eastAsia="zh-Hans"/>
              </w:rPr>
              <w:t>（2）</w:t>
            </w:r>
            <w:r>
              <w:rPr>
                <w:rFonts w:hint="eastAsia" w:ascii="仿宋" w:hAnsi="仿宋" w:eastAsia="仿宋" w:cs="仿宋"/>
                <w:sz w:val="24"/>
                <w:szCs w:val="24"/>
              </w:rPr>
              <w:t>座椅材质介绍：采用高密度聚乙烯（HDPE全新料）为原料，中空吹塑一体成型， 该材料具有良好的防水性与抗冲击性，机械强度和化学稳定性好，具有良好的耐候性（耐热性和耐寒性），座椅颜色选用专业着色母粒，可保证颜色持久靓丽，多年后无明显褪色、变色和表面开裂现象。</w:t>
            </w:r>
          </w:p>
          <w:p>
            <w:pPr>
              <w:jc w:val="left"/>
              <w:textAlignment w:val="center"/>
              <w:rPr>
                <w:rFonts w:hint="eastAsia" w:ascii="仿宋" w:hAnsi="仿宋" w:eastAsia="仿宋" w:cs="仿宋"/>
                <w:sz w:val="24"/>
                <w:szCs w:val="24"/>
                <w:lang w:eastAsia="zh-Hans"/>
              </w:rPr>
            </w:pPr>
            <w:r>
              <w:rPr>
                <w:rFonts w:hint="eastAsia" w:ascii="仿宋" w:hAnsi="仿宋" w:eastAsia="仿宋" w:cs="仿宋"/>
                <w:sz w:val="24"/>
                <w:szCs w:val="24"/>
                <w:lang w:eastAsia="zh-Hans"/>
              </w:rPr>
              <w:t>（3）支架说明：支架为镀锌钢板，不外露，固定螺丝</w:t>
            </w:r>
            <w:r>
              <w:rPr>
                <w:rFonts w:hint="eastAsia" w:ascii="仿宋" w:hAnsi="仿宋" w:eastAsia="仿宋" w:cs="仿宋"/>
                <w:sz w:val="24"/>
                <w:szCs w:val="24"/>
              </w:rPr>
              <w:t>≥</w:t>
            </w:r>
            <w:r>
              <w:rPr>
                <w:rFonts w:hint="eastAsia" w:ascii="仿宋" w:hAnsi="仿宋" w:eastAsia="仿宋" w:cs="仿宋"/>
                <w:sz w:val="24"/>
                <w:szCs w:val="24"/>
                <w:lang w:eastAsia="zh-Hans"/>
              </w:rPr>
              <w:t>4颗，用拉爆螺丝与地面固定，数量</w:t>
            </w:r>
            <w:r>
              <w:rPr>
                <w:rFonts w:hint="eastAsia" w:ascii="仿宋" w:hAnsi="仿宋" w:eastAsia="仿宋" w:cs="仿宋"/>
                <w:sz w:val="24"/>
                <w:szCs w:val="24"/>
              </w:rPr>
              <w:t>≥</w:t>
            </w:r>
            <w:r>
              <w:rPr>
                <w:rFonts w:hint="eastAsia" w:ascii="仿宋" w:hAnsi="仿宋" w:eastAsia="仿宋" w:cs="仿宋"/>
                <w:sz w:val="24"/>
                <w:szCs w:val="24"/>
                <w:lang w:eastAsia="zh-Hans"/>
              </w:rPr>
              <w:t>两颗。</w:t>
            </w:r>
          </w:p>
          <w:p>
            <w:pPr>
              <w:jc w:val="left"/>
              <w:textAlignment w:val="center"/>
              <w:rPr>
                <w:rFonts w:hint="eastAsia" w:ascii="仿宋" w:hAnsi="仿宋" w:eastAsia="仿宋" w:cs="仿宋"/>
                <w:sz w:val="24"/>
                <w:szCs w:val="24"/>
                <w:lang w:eastAsia="zh-Hans"/>
              </w:rPr>
            </w:pPr>
            <w:r>
              <w:rPr>
                <w:rFonts w:hint="eastAsia" w:ascii="仿宋" w:hAnsi="仿宋" w:eastAsia="仿宋" w:cs="仿宋"/>
                <w:sz w:val="24"/>
                <w:szCs w:val="24"/>
                <w:lang w:eastAsia="zh-Hans"/>
              </w:rPr>
              <w:t>（4）受力测试：</w:t>
            </w:r>
            <w:r>
              <w:rPr>
                <w:rFonts w:hint="eastAsia" w:ascii="仿宋" w:hAnsi="仿宋" w:eastAsia="仿宋" w:cs="仿宋"/>
                <w:sz w:val="24"/>
                <w:szCs w:val="24"/>
              </w:rPr>
              <w:t>椅面载荷≥980N，35万次，椅背载荷≥350N，35万次，座面平衡载荷≥980N；座椅面冲击：椅面冲击高度≥400mm，30次，椅背冲击高度≥650mm，30次，座椅零部件无断裂或豁裂现象，加载部位无明显变化，座椅结构无松动</w:t>
            </w:r>
            <w:r>
              <w:rPr>
                <w:rFonts w:hint="eastAsia" w:ascii="仿宋" w:hAnsi="仿宋" w:eastAsia="仿宋" w:cs="仿宋"/>
                <w:sz w:val="24"/>
                <w:szCs w:val="24"/>
                <w:lang w:eastAsia="zh-Hans"/>
              </w:rPr>
              <w:t>。</w:t>
            </w:r>
          </w:p>
        </w:tc>
        <w:tc>
          <w:tcPr>
            <w:tcW w:w="42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sz w:val="24"/>
                <w:szCs w:val="24"/>
              </w:rPr>
            </w:pPr>
            <w:r>
              <w:rPr>
                <w:rFonts w:hint="eastAsia" w:ascii="仿宋" w:hAnsi="仿宋" w:eastAsia="仿宋" w:cs="仿宋"/>
                <w:sz w:val="24"/>
                <w:szCs w:val="24"/>
              </w:rPr>
              <w:t>5</w:t>
            </w:r>
          </w:p>
        </w:tc>
        <w:tc>
          <w:tcPr>
            <w:tcW w:w="8718" w:type="dxa"/>
            <w:tcBorders>
              <w:top w:val="single" w:color="auto" w:sz="4" w:space="0"/>
              <w:left w:val="single" w:color="auto" w:sz="4" w:space="0"/>
              <w:bottom w:val="single" w:color="auto" w:sz="4" w:space="0"/>
              <w:right w:val="single" w:color="auto" w:sz="4" w:space="0"/>
            </w:tcBorders>
            <w:vAlign w:val="center"/>
          </w:tcPr>
          <w:p>
            <w:pPr>
              <w:jc w:val="left"/>
              <w:textAlignment w:val="center"/>
              <w:rPr>
                <w:rFonts w:hint="eastAsia" w:ascii="仿宋" w:hAnsi="仿宋" w:eastAsia="仿宋" w:cs="仿宋"/>
                <w:sz w:val="24"/>
                <w:szCs w:val="24"/>
              </w:rPr>
            </w:pPr>
            <w:r>
              <w:rPr>
                <w:rFonts w:hint="eastAsia" w:ascii="仿宋" w:hAnsi="仿宋" w:eastAsia="仿宋" w:cs="仿宋"/>
                <w:sz w:val="24"/>
                <w:szCs w:val="24"/>
              </w:rPr>
              <w:t>投标人应具有良好的企业信誉，具备以下相应的证书：</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1）中国环境标志产品认证证书；</w:t>
            </w:r>
          </w:p>
          <w:p>
            <w:pPr>
              <w:jc w:val="left"/>
              <w:textAlignment w:val="center"/>
              <w:rPr>
                <w:rFonts w:hint="eastAsia" w:ascii="仿宋" w:hAnsi="仿宋" w:eastAsia="仿宋" w:cs="仿宋"/>
                <w:sz w:val="24"/>
                <w:szCs w:val="24"/>
              </w:rPr>
            </w:pPr>
            <w:r>
              <w:rPr>
                <w:rFonts w:hint="eastAsia" w:ascii="仿宋" w:hAnsi="仿宋" w:eastAsia="仿宋" w:cs="仿宋"/>
                <w:sz w:val="24"/>
                <w:szCs w:val="24"/>
              </w:rPr>
              <w:t>2）有效期内的ISO9001质量管理体系认证证书；</w:t>
            </w:r>
          </w:p>
        </w:tc>
        <w:tc>
          <w:tcPr>
            <w:tcW w:w="427"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sz w:val="24"/>
                <w:szCs w:val="24"/>
              </w:rPr>
            </w:pPr>
          </w:p>
        </w:tc>
      </w:tr>
      <w:bookmarkEnd w:id="51"/>
    </w:tbl>
    <w:p>
      <w:pPr>
        <w:jc w:val="left"/>
        <w:textAlignment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s="仿宋"/>
          <w:sz w:val="24"/>
          <w:szCs w:val="24"/>
        </w:rPr>
        <w:t>注：</w:t>
      </w:r>
    </w:p>
    <w:p>
      <w:pPr>
        <w:numPr>
          <w:ilvl w:val="0"/>
          <w:numId w:val="3"/>
        </w:numPr>
        <w:spacing w:after="0" w:line="440" w:lineRule="exac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本项目采用“公开询价”方式进行，《公开询价货物一览表》中所描述的“设备名称”、“规格型号（技术参数）”等信息均为采购人根据自身需求提供的参考数据，除采购人特殊要求外，参与人可根据以上信息在满足采购人要求基础上提供优化方案及所匹配产品，采购人将优先选择性价比高且符合要求的产品，</w:t>
      </w:r>
      <w:r>
        <w:rPr>
          <w:rFonts w:hint="eastAsia" w:ascii="仿宋" w:hAnsi="仿宋" w:eastAsia="仿宋" w:cs="仿宋"/>
          <w:color w:val="000000"/>
          <w:sz w:val="28"/>
          <w:szCs w:val="28"/>
        </w:rPr>
        <w:t>请供应商在制作响应文件时仔细研究项目需求说明。供应商不能简单照搬照抄采购单位项目需求说明中的技术、商务要求，必须作实事求是的响应。如照搬照抄项目需求说明中的技术、商务要求的，中标后供应商在同采购单位签订合同和履约环节中不得提出异议，一切后果和损失由中标供应商承担</w:t>
      </w:r>
      <w:r>
        <w:rPr>
          <w:rFonts w:hint="eastAsia" w:ascii="仿宋" w:hAnsi="仿宋" w:eastAsia="仿宋"/>
          <w:bCs/>
          <w:color w:val="000000" w:themeColor="text1"/>
          <w:sz w:val="28"/>
          <w:szCs w:val="28"/>
          <w14:textFill>
            <w14:solidFill>
              <w14:schemeClr w14:val="tx1"/>
            </w14:solidFill>
          </w14:textFill>
        </w:rPr>
        <w:t>。</w:t>
      </w:r>
    </w:p>
    <w:p>
      <w:pPr>
        <w:numPr>
          <w:ilvl w:val="0"/>
          <w:numId w:val="3"/>
        </w:numPr>
        <w:spacing w:after="0" w:line="440" w:lineRule="exact"/>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参与人所投商品需要提供品牌、规格型号等真实详细信息，禁止复制采购人所提供的参考参数，确保设备为原厂正品并按原厂提供质保。</w:t>
      </w:r>
    </w:p>
    <w:p>
      <w:pPr>
        <w:numPr>
          <w:ilvl w:val="0"/>
          <w:numId w:val="3"/>
        </w:numPr>
        <w:spacing w:after="0" w:line="440" w:lineRule="exact"/>
        <w:rPr>
          <w:rFonts w:ascii="仿宋" w:hAnsi="仿宋" w:eastAsia="仿宋"/>
          <w:b/>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参与人所投商品报价应包含税费、运输费、搬运费、整体实施、安装调试费、售后服务等一切费用，</w:t>
      </w:r>
      <w:r>
        <w:rPr>
          <w:rFonts w:hint="eastAsia" w:ascii="仿宋" w:hAnsi="仿宋" w:eastAsia="仿宋" w:cs="仿宋"/>
          <w:b/>
          <w:sz w:val="28"/>
          <w:szCs w:val="28"/>
        </w:rPr>
        <w:t>供应商务必自行踏勘现场，测算具体工程量，一次性包干，结算时合同价不作调整，</w:t>
      </w:r>
      <w:r>
        <w:rPr>
          <w:rFonts w:hint="eastAsia" w:ascii="仿宋" w:hAnsi="仿宋" w:eastAsia="仿宋"/>
          <w:b/>
          <w:color w:val="000000" w:themeColor="text1"/>
          <w:sz w:val="28"/>
          <w:szCs w:val="28"/>
          <w14:textFill>
            <w14:solidFill>
              <w14:schemeClr w14:val="tx1"/>
            </w14:solidFill>
          </w14:textFill>
        </w:rPr>
        <w:t>确保为交钥匙工程。</w:t>
      </w:r>
    </w:p>
    <w:p>
      <w:pPr>
        <w:numPr>
          <w:ilvl w:val="0"/>
          <w:numId w:val="3"/>
        </w:numPr>
        <w:spacing w:after="0" w:line="440" w:lineRule="exact"/>
        <w:rPr>
          <w:rFonts w:ascii="仿宋" w:hAnsi="仿宋" w:eastAsia="仿宋"/>
          <w:b/>
          <w:color w:val="000000" w:themeColor="text1"/>
          <w:sz w:val="28"/>
          <w:szCs w:val="28"/>
          <w14:textFill>
            <w14:solidFill>
              <w14:schemeClr w14:val="tx1"/>
            </w14:solidFill>
          </w14:textFill>
        </w:rPr>
        <w:sectPr>
          <w:headerReference r:id="rId7" w:type="first"/>
          <w:headerReference r:id="rId6" w:type="default"/>
          <w:pgSz w:w="11906" w:h="16838"/>
          <w:pgMar w:top="1440" w:right="1416" w:bottom="1440" w:left="1134" w:header="851" w:footer="680" w:gutter="0"/>
          <w:cols w:space="425" w:num="1"/>
          <w:titlePg/>
          <w:docGrid w:type="lines" w:linePitch="312" w:charSpace="0"/>
        </w:sectPr>
      </w:pPr>
      <w:r>
        <w:rPr>
          <w:rFonts w:ascii="仿宋" w:hAnsi="仿宋" w:eastAsia="仿宋"/>
          <w:b/>
          <w:color w:val="000000" w:themeColor="text1"/>
          <w:sz w:val="28"/>
          <w:szCs w:val="28"/>
          <w14:textFill>
            <w14:solidFill>
              <w14:schemeClr w14:val="tx1"/>
            </w14:solidFill>
          </w14:textFill>
        </w:rPr>
        <w:br w:type="page"/>
      </w:r>
    </w:p>
    <w:p>
      <w:pPr>
        <w:spacing w:line="1000" w:lineRule="exact"/>
        <w:jc w:val="center"/>
        <w:rPr>
          <w:rFonts w:ascii="仿宋" w:hAnsi="仿宋" w:eastAsia="仿宋"/>
          <w:b/>
          <w:color w:val="000000" w:themeColor="text1"/>
          <w:sz w:val="72"/>
          <w:szCs w:val="72"/>
          <w14:textFill>
            <w14:solidFill>
              <w14:schemeClr w14:val="tx1"/>
            </w14:solidFill>
          </w14:textFill>
        </w:rPr>
      </w:pPr>
      <w:r>
        <w:rPr>
          <w:rFonts w:ascii="仿宋" w:hAnsi="仿宋" w:eastAsia="仿宋"/>
          <w:b/>
          <w:color w:val="000000" w:themeColor="text1"/>
          <w:sz w:val="72"/>
          <w:szCs w:val="72"/>
          <w14:textFill>
            <w14:solidFill>
              <w14:schemeClr w14:val="tx1"/>
            </w14:solidFill>
          </w14:textFill>
        </w:rPr>
        <w:drawing>
          <wp:anchor distT="0" distB="0" distL="114300" distR="114300" simplePos="0" relativeHeight="251661312" behindDoc="0" locked="0" layoutInCell="1" allowOverlap="1">
            <wp:simplePos x="0" y="0"/>
            <wp:positionH relativeFrom="column">
              <wp:posOffset>1604010</wp:posOffset>
            </wp:positionH>
            <wp:positionV relativeFrom="page">
              <wp:posOffset>1047750</wp:posOffset>
            </wp:positionV>
            <wp:extent cx="2695575" cy="628650"/>
            <wp:effectExtent l="19050" t="0" r="9525" b="0"/>
            <wp:wrapNone/>
            <wp:docPr id="2" name="图片 5" descr="jx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jxu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95575" cy="628650"/>
                    </a:xfrm>
                    <a:prstGeom prst="rect">
                      <a:avLst/>
                    </a:prstGeom>
                    <a:noFill/>
                    <a:ln>
                      <a:noFill/>
                    </a:ln>
                  </pic:spPr>
                </pic:pic>
              </a:graphicData>
            </a:graphic>
          </wp:anchor>
        </w:drawing>
      </w:r>
    </w:p>
    <w:p>
      <w:pPr>
        <w:spacing w:line="1000" w:lineRule="exact"/>
        <w:jc w:val="center"/>
        <w:rPr>
          <w:rFonts w:ascii="仿宋" w:hAnsi="仿宋" w:eastAsia="仿宋"/>
          <w:b/>
          <w:color w:val="000000" w:themeColor="text1"/>
          <w:sz w:val="44"/>
          <w:szCs w:val="44"/>
          <w14:textFill>
            <w14:solidFill>
              <w14:schemeClr w14:val="tx1"/>
            </w14:solidFill>
          </w14:textFill>
        </w:rPr>
      </w:pPr>
      <w:r>
        <w:rPr>
          <w:rFonts w:hint="eastAsia" w:ascii="仿宋" w:hAnsi="仿宋" w:eastAsia="仿宋"/>
          <w:b/>
          <w:color w:val="000000" w:themeColor="text1"/>
          <w:sz w:val="44"/>
          <w:szCs w:val="44"/>
          <w14:textFill>
            <w14:solidFill>
              <w14:schemeClr w14:val="tx1"/>
            </w14:solidFill>
          </w14:textFill>
        </w:rPr>
        <w:t>江西科技学院关于第九期工程场馆看台和座椅采购项目</w:t>
      </w:r>
    </w:p>
    <w:p>
      <w:pPr>
        <w:spacing w:line="580" w:lineRule="exact"/>
        <w:jc w:val="center"/>
        <w:rPr>
          <w:rFonts w:ascii="仿宋" w:hAnsi="仿宋" w:eastAsia="仿宋"/>
          <w:b/>
          <w:color w:val="000000" w:themeColor="text1"/>
          <w:sz w:val="52"/>
          <w:szCs w:val="52"/>
          <w14:textFill>
            <w14:solidFill>
              <w14:schemeClr w14:val="tx1"/>
            </w14:solidFill>
          </w14:textFill>
        </w:rPr>
      </w:pPr>
    </w:p>
    <w:p>
      <w:pPr>
        <w:spacing w:line="580" w:lineRule="exact"/>
        <w:jc w:val="center"/>
        <w:rPr>
          <w:rFonts w:ascii="仿宋" w:hAnsi="仿宋" w:eastAsia="仿宋"/>
          <w:b/>
          <w:color w:val="000000" w:themeColor="text1"/>
          <w:sz w:val="52"/>
          <w:szCs w:val="5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报</w:t>
      </w:r>
    </w:p>
    <w:p>
      <w:pPr>
        <w:spacing w:line="580" w:lineRule="exact"/>
        <w:jc w:val="center"/>
        <w:rPr>
          <w:rFonts w:ascii="仿宋" w:hAnsi="仿宋" w:eastAsia="仿宋"/>
          <w:b/>
          <w:color w:val="000000" w:themeColor="text1"/>
          <w:sz w:val="52"/>
          <w:szCs w:val="5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价</w:t>
      </w:r>
    </w:p>
    <w:p>
      <w:pPr>
        <w:spacing w:line="580" w:lineRule="exact"/>
        <w:jc w:val="center"/>
        <w:rPr>
          <w:rFonts w:ascii="仿宋" w:hAnsi="仿宋" w:eastAsia="仿宋"/>
          <w:b/>
          <w:color w:val="000000" w:themeColor="text1"/>
          <w:sz w:val="52"/>
          <w:szCs w:val="5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响</w:t>
      </w:r>
    </w:p>
    <w:p>
      <w:pPr>
        <w:spacing w:line="580" w:lineRule="exact"/>
        <w:jc w:val="center"/>
        <w:rPr>
          <w:rFonts w:ascii="仿宋" w:hAnsi="仿宋" w:eastAsia="仿宋"/>
          <w:b/>
          <w:color w:val="000000" w:themeColor="text1"/>
          <w:sz w:val="52"/>
          <w:szCs w:val="5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应</w:t>
      </w:r>
    </w:p>
    <w:p>
      <w:pPr>
        <w:spacing w:line="580" w:lineRule="exact"/>
        <w:jc w:val="center"/>
        <w:rPr>
          <w:rFonts w:ascii="仿宋" w:hAnsi="仿宋" w:eastAsia="仿宋"/>
          <w:b/>
          <w:color w:val="000000" w:themeColor="text1"/>
          <w:sz w:val="52"/>
          <w:szCs w:val="5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文</w:t>
      </w:r>
    </w:p>
    <w:p>
      <w:pPr>
        <w:spacing w:line="580" w:lineRule="exact"/>
        <w:jc w:val="center"/>
        <w:rPr>
          <w:rFonts w:ascii="仿宋" w:hAnsi="仿宋" w:eastAsia="仿宋"/>
          <w:b/>
          <w:color w:val="000000" w:themeColor="text1"/>
          <w:sz w:val="52"/>
          <w:szCs w:val="5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件</w:t>
      </w:r>
    </w:p>
    <w:p>
      <w:pPr>
        <w:spacing w:line="580" w:lineRule="exact"/>
        <w:jc w:val="center"/>
        <w:rPr>
          <w:rFonts w:ascii="仿宋" w:hAnsi="仿宋" w:eastAsia="仿宋"/>
          <w:b/>
          <w:color w:val="000000" w:themeColor="text1"/>
          <w:sz w:val="72"/>
          <w:szCs w:val="72"/>
          <w14:textFill>
            <w14:solidFill>
              <w14:schemeClr w14:val="tx1"/>
            </w14:solidFill>
          </w14:textFill>
        </w:rPr>
      </w:pPr>
    </w:p>
    <w:p>
      <w:pPr>
        <w:spacing w:line="500" w:lineRule="exact"/>
        <w:ind w:firstLine="1943" w:firstLineChars="645"/>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参与人名称（公司全称）：</w:t>
      </w:r>
      <w:r>
        <w:rPr>
          <w:rFonts w:ascii="仿宋" w:hAnsi="仿宋" w:eastAsia="仿宋"/>
          <w:b/>
          <w:color w:val="000000" w:themeColor="text1"/>
          <w:sz w:val="30"/>
          <w:szCs w:val="30"/>
          <w14:textFill>
            <w14:solidFill>
              <w14:schemeClr w14:val="tx1"/>
            </w14:solidFill>
          </w14:textFill>
        </w:rPr>
        <w:t>XXXX</w:t>
      </w:r>
    </w:p>
    <w:p>
      <w:pPr>
        <w:spacing w:line="500" w:lineRule="exact"/>
        <w:ind w:firstLine="1943" w:firstLineChars="645"/>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参与人授权代表：X</w:t>
      </w:r>
      <w:r>
        <w:rPr>
          <w:rFonts w:ascii="仿宋" w:hAnsi="仿宋" w:eastAsia="仿宋"/>
          <w:b/>
          <w:color w:val="000000" w:themeColor="text1"/>
          <w:sz w:val="30"/>
          <w:szCs w:val="30"/>
          <w14:textFill>
            <w14:solidFill>
              <w14:schemeClr w14:val="tx1"/>
            </w14:solidFill>
          </w14:textFill>
        </w:rPr>
        <w:t>XXX</w:t>
      </w:r>
    </w:p>
    <w:p>
      <w:pPr>
        <w:jc w:val="center"/>
        <w:rPr>
          <w:rFonts w:ascii="仿宋" w:hAnsi="仿宋" w:eastAsia="仿宋"/>
          <w:b/>
          <w:color w:val="000000" w:themeColor="text1"/>
          <w:sz w:val="36"/>
          <w:szCs w:val="36"/>
          <w14:textFill>
            <w14:solidFill>
              <w14:schemeClr w14:val="tx1"/>
            </w14:solidFill>
          </w14:textFill>
        </w:rPr>
      </w:pPr>
    </w:p>
    <w:p>
      <w:pPr>
        <w:jc w:val="center"/>
        <w:rPr>
          <w:rFonts w:ascii="仿宋" w:hAnsi="仿宋" w:eastAsia="仿宋"/>
          <w:b/>
          <w:bCs/>
          <w:color w:val="000000" w:themeColor="text1"/>
          <w:sz w:val="30"/>
          <w:szCs w:val="30"/>
          <w14:textFill>
            <w14:solidFill>
              <w14:schemeClr w14:val="tx1"/>
            </w14:solidFill>
          </w14:textFill>
        </w:rPr>
      </w:pPr>
    </w:p>
    <w:p>
      <w:pPr>
        <w:rPr>
          <w:rFonts w:ascii="仿宋" w:hAnsi="仿宋" w:eastAsia="仿宋"/>
          <w:b/>
          <w:bCs/>
          <w:color w:val="000000" w:themeColor="text1"/>
          <w:sz w:val="30"/>
          <w:szCs w:val="30"/>
          <w14:textFill>
            <w14:solidFill>
              <w14:schemeClr w14:val="tx1"/>
            </w14:solidFill>
          </w14:textFill>
        </w:rPr>
      </w:pPr>
    </w:p>
    <w:p>
      <w:pPr>
        <w:jc w:val="center"/>
        <w:rPr>
          <w:rFonts w:ascii="仿宋" w:hAnsi="仿宋" w:eastAsia="仿宋"/>
          <w:b/>
          <w:bCs/>
          <w:color w:val="000000" w:themeColor="text1"/>
          <w:sz w:val="30"/>
          <w:szCs w:val="30"/>
          <w14:textFill>
            <w14:solidFill>
              <w14:schemeClr w14:val="tx1"/>
            </w14:solidFill>
          </w14:textFill>
        </w:rPr>
      </w:pPr>
      <w:r>
        <w:rPr>
          <w:rFonts w:hint="eastAsia" w:ascii="仿宋" w:hAnsi="仿宋" w:eastAsia="仿宋"/>
          <w:b/>
          <w:bCs/>
          <w:color w:val="000000" w:themeColor="text1"/>
          <w:sz w:val="30"/>
          <w:szCs w:val="30"/>
          <w14:textFill>
            <w14:solidFill>
              <w14:schemeClr w14:val="tx1"/>
            </w14:solidFill>
          </w14:textFill>
        </w:rPr>
        <w:t>此封面应作为报价响应文件封面</w:t>
      </w:r>
    </w:p>
    <w:p>
      <w:pPr>
        <w:rPr>
          <w:rFonts w:ascii="仿宋" w:hAnsi="仿宋" w:eastAsia="仿宋"/>
          <w:b/>
          <w:bCs/>
          <w:color w:val="000000" w:themeColor="text1"/>
          <w:sz w:val="30"/>
          <w:szCs w:val="30"/>
          <w14:textFill>
            <w14:solidFill>
              <w14:schemeClr w14:val="tx1"/>
            </w14:solidFill>
          </w14:textFill>
        </w:rPr>
        <w:sectPr>
          <w:headerReference r:id="rId9" w:type="first"/>
          <w:headerReference r:id="rId8" w:type="default"/>
          <w:type w:val="continuous"/>
          <w:pgSz w:w="11906" w:h="16838"/>
          <w:pgMar w:top="1440" w:right="1416" w:bottom="1440" w:left="1134" w:header="851" w:footer="680" w:gutter="0"/>
          <w:cols w:space="425" w:num="1"/>
          <w:titlePg/>
          <w:docGrid w:type="lines" w:linePitch="312" w:charSpace="0"/>
        </w:sectPr>
      </w:pPr>
    </w:p>
    <w:p>
      <w:pPr>
        <w:jc w:val="center"/>
        <w:outlineLvl w:val="1"/>
        <w:rPr>
          <w:rFonts w:ascii="仿宋" w:hAnsi="仿宋" w:eastAsia="仿宋" w:cs="仿宋"/>
          <w:b/>
          <w:bCs/>
          <w:color w:val="000000" w:themeColor="text1"/>
          <w:sz w:val="28"/>
          <w:szCs w:val="28"/>
          <w14:textFill>
            <w14:solidFill>
              <w14:schemeClr w14:val="tx1"/>
            </w14:solidFill>
          </w14:textFill>
        </w:rPr>
      </w:pPr>
      <w:bookmarkStart w:id="52" w:name="_Toc177985469"/>
      <w:bookmarkStart w:id="53" w:name="_Toc235438274"/>
      <w:bookmarkStart w:id="54" w:name="_Toc192663686"/>
      <w:bookmarkStart w:id="55" w:name="_Toc182372782"/>
      <w:bookmarkStart w:id="56" w:name="_Toc235437991"/>
      <w:bookmarkStart w:id="57" w:name="_Toc192663835"/>
      <w:bookmarkStart w:id="58" w:name="_Toc236021449"/>
      <w:bookmarkStart w:id="59" w:name="_Toc251586231"/>
      <w:bookmarkStart w:id="60" w:name="_Toc181436565"/>
      <w:bookmarkStart w:id="61" w:name="_Toc191803626"/>
      <w:bookmarkStart w:id="62" w:name="_Toc266868937"/>
      <w:bookmarkStart w:id="63" w:name="_Toc255975007"/>
      <w:bookmarkStart w:id="64" w:name="_Toc267059806"/>
      <w:bookmarkStart w:id="65" w:name="_Toc254790899"/>
      <w:bookmarkStart w:id="66" w:name="_Toc259520865"/>
      <w:bookmarkStart w:id="67" w:name="_Toc160880529"/>
      <w:bookmarkStart w:id="68" w:name="_Toc181436461"/>
      <w:bookmarkStart w:id="69" w:name="_Toc235438344"/>
      <w:bookmarkStart w:id="70" w:name="_Toc267059181"/>
      <w:bookmarkStart w:id="71" w:name="_Toc232302115"/>
      <w:bookmarkStart w:id="72" w:name="_Toc253066614"/>
      <w:bookmarkStart w:id="73" w:name="_Toc266870833"/>
      <w:bookmarkStart w:id="74" w:name="_Toc213755995"/>
      <w:bookmarkStart w:id="75" w:name="_Toc193160448"/>
      <w:bookmarkStart w:id="76" w:name="_Toc191789329"/>
      <w:bookmarkStart w:id="77" w:name="_Toc192996446"/>
      <w:bookmarkStart w:id="78" w:name="_Toc267059653"/>
      <w:bookmarkStart w:id="79" w:name="_Toc227058530"/>
      <w:bookmarkStart w:id="80" w:name="_Toc266868670"/>
      <w:bookmarkStart w:id="81" w:name="_Toc203355733"/>
      <w:bookmarkStart w:id="82" w:name="_Toc180302913"/>
      <w:bookmarkStart w:id="83" w:name="_Toc169332949"/>
      <w:bookmarkStart w:id="84" w:name="_Toc160880160"/>
      <w:bookmarkStart w:id="85" w:name="_Toc192664153"/>
      <w:bookmarkStart w:id="86" w:name="_Toc266870432"/>
      <w:bookmarkStart w:id="87" w:name="_Toc230071147"/>
      <w:bookmarkStart w:id="88" w:name="_Toc191783222"/>
      <w:bookmarkStart w:id="89" w:name="_Toc170798793"/>
      <w:bookmarkStart w:id="90" w:name="_Toc266870907"/>
      <w:bookmarkStart w:id="91" w:name="_Toc193165734"/>
      <w:bookmarkStart w:id="92" w:name="_Toc249325711"/>
      <w:bookmarkStart w:id="93" w:name="_Toc192996338"/>
      <w:bookmarkStart w:id="94" w:name="_Toc251613829"/>
      <w:bookmarkStart w:id="95" w:name="_Toc217891402"/>
      <w:bookmarkStart w:id="96" w:name="_Toc258401256"/>
      <w:bookmarkStart w:id="97" w:name="_Toc213755858"/>
      <w:bookmarkStart w:id="98" w:name="_Toc267060068"/>
      <w:bookmarkStart w:id="99" w:name="_Toc213756051"/>
      <w:bookmarkStart w:id="100" w:name="_Toc211917116"/>
      <w:bookmarkStart w:id="101" w:name="_Toc259692740"/>
      <w:bookmarkStart w:id="102" w:name="_Toc213208766"/>
      <w:bookmarkStart w:id="103" w:name="_Toc273178698"/>
      <w:bookmarkStart w:id="104" w:name="_Toc267059539"/>
      <w:bookmarkStart w:id="105" w:name="_Toc267059030"/>
      <w:bookmarkStart w:id="106" w:name="_Toc223146608"/>
      <w:bookmarkStart w:id="107" w:name="_Toc267059919"/>
      <w:bookmarkStart w:id="108" w:name="_Toc213755939"/>
      <w:bookmarkStart w:id="109" w:name="_Toc259692647"/>
      <w:bookmarkStart w:id="110" w:name="_Toc182805217"/>
      <w:bookmarkStart w:id="111" w:name="_Toc267060453"/>
      <w:bookmarkStart w:id="112" w:name="_Toc225669322"/>
      <w:bookmarkStart w:id="113" w:name="_Toc219800243"/>
      <w:bookmarkStart w:id="114" w:name="_Toc169332838"/>
      <w:bookmarkStart w:id="115" w:name="_Toc267060321"/>
      <w:bookmarkStart w:id="116" w:name="_Toc267060208"/>
      <w:bookmarkStart w:id="117" w:name="_Toc191802690"/>
      <w:r>
        <w:rPr>
          <w:rFonts w:hint="eastAsia" w:ascii="仿宋" w:hAnsi="仿宋" w:eastAsia="仿宋" w:cs="仿宋"/>
          <w:b/>
          <w:bCs/>
          <w:color w:val="000000" w:themeColor="text1"/>
          <w:sz w:val="28"/>
          <w:szCs w:val="28"/>
          <w14:textFill>
            <w14:solidFill>
              <w14:schemeClr w14:val="tx1"/>
            </w14:solidFill>
          </w14:textFill>
        </w:rPr>
        <w:t>1、</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Pr>
          <w:rFonts w:hint="eastAsia" w:ascii="仿宋" w:hAnsi="仿宋" w:eastAsia="仿宋" w:cs="仿宋"/>
          <w:b/>
          <w:bCs/>
          <w:color w:val="000000" w:themeColor="text1"/>
          <w:sz w:val="28"/>
          <w:szCs w:val="28"/>
          <w14:textFill>
            <w14:solidFill>
              <w14:schemeClr w14:val="tx1"/>
            </w14:solidFill>
          </w14:textFill>
        </w:rPr>
        <w:t>询价响应函</w:t>
      </w:r>
    </w:p>
    <w:p>
      <w:pPr>
        <w:spacing w:after="0"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致：XXX学校</w:t>
      </w:r>
    </w:p>
    <w:p>
      <w:pPr>
        <w:spacing w:after="0"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    根据贵学校编号为</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 xml:space="preserve"> 项目名称为</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的公开询价邀请，本签字代表</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（全名、职务）正式授权并代表我方</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（参与人公司名称）提交下述文件。</w:t>
      </w:r>
    </w:p>
    <w:p>
      <w:pPr>
        <w:spacing w:after="0" w:line="48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 报价一览表</w:t>
      </w:r>
    </w:p>
    <w:p>
      <w:pPr>
        <w:spacing w:after="0" w:line="480" w:lineRule="exact"/>
        <w:ind w:firstLine="425" w:firstLineChars="15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 (2) 参与人资质证明</w:t>
      </w:r>
    </w:p>
    <w:p>
      <w:pPr>
        <w:spacing w:after="0" w:line="48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据此函，签字代表宣布同意如下：</w:t>
      </w:r>
    </w:p>
    <w:p>
      <w:pPr>
        <w:spacing w:after="0"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    1.所附详细报价表中规定的应提供和交付的货物及服务报价总价（国内现场交货价）为人民币 </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 xml:space="preserve">，即 </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（中文表述），交货期为</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 xml:space="preserve"> 天 。</w:t>
      </w:r>
    </w:p>
    <w:p>
      <w:pPr>
        <w:spacing w:after="0" w:line="48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2.同意参加本项目的报价，并已详细审查全部公开询价文件，包括修改文件（如有的话）和有关附件，将自行承担因对全部询价文件理解不正确或误解而产生的相应后果。</w:t>
      </w:r>
    </w:p>
    <w:p>
      <w:pPr>
        <w:spacing w:after="0"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    3.保证遵守公开询价文件的全部规定，所提交的材料中所含的信息均为真实、准确、完整，且不具有任何误导性。</w:t>
      </w:r>
    </w:p>
    <w:p>
      <w:pPr>
        <w:spacing w:after="0" w:line="4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    4.同意按公开询价文件的规定履行合同责任和义务。</w:t>
      </w:r>
    </w:p>
    <w:p>
      <w:pPr>
        <w:spacing w:after="0" w:line="48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5.同意提供按照贵方可能要求的与其公开询价有关的一切数据或资料</w:t>
      </w:r>
    </w:p>
    <w:p>
      <w:pPr>
        <w:spacing w:after="0" w:line="48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6.完全了解本项目是贵方自有资金而非财政性资金组织的采购，并接受贵方按企业内部规定的标准进行的评定，以及完全理解贵方不一定要接受最低的报价作为成交价。</w:t>
      </w:r>
    </w:p>
    <w:p>
      <w:pPr>
        <w:spacing w:after="0" w:line="480" w:lineRule="exact"/>
        <w:ind w:firstLine="560" w:firstLineChars="200"/>
        <w:rPr>
          <w:rFonts w:ascii="仿宋" w:hAnsi="仿宋" w:eastAsia="仿宋" w:cs="仿宋"/>
          <w:color w:val="000000" w:themeColor="text1"/>
          <w:sz w:val="28"/>
          <w:szCs w:val="28"/>
          <w14:textFill>
            <w14:solidFill>
              <w14:schemeClr w14:val="tx1"/>
            </w14:solidFill>
          </w14:textFill>
        </w:rPr>
      </w:pPr>
    </w:p>
    <w:p>
      <w:pPr>
        <w:spacing w:after="0" w:line="480" w:lineRule="exact"/>
        <w:rPr>
          <w:rFonts w:ascii="仿宋" w:hAnsi="仿宋" w:eastAsia="仿宋" w:cs="仿宋"/>
          <w:color w:val="000000" w:themeColor="text1"/>
          <w:sz w:val="28"/>
          <w:szCs w:val="28"/>
          <w:u w:val="single"/>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      </w:t>
      </w:r>
    </w:p>
    <w:p>
      <w:pPr>
        <w:spacing w:after="0" w:line="480" w:lineRule="exact"/>
        <w:rPr>
          <w:rFonts w:ascii="仿宋" w:hAnsi="仿宋" w:eastAsia="仿宋" w:cs="仿宋"/>
          <w:color w:val="000000" w:themeColor="text1"/>
          <w:sz w:val="28"/>
          <w:szCs w:val="28"/>
          <w:u w:val="single"/>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      </w:t>
      </w:r>
    </w:p>
    <w:p>
      <w:pPr>
        <w:spacing w:after="0" w:line="480" w:lineRule="exact"/>
        <w:ind w:left="284" w:leftChars="129" w:firstLine="282" w:firstLineChars="101"/>
        <w:rPr>
          <w:rFonts w:ascii="仿宋" w:hAnsi="仿宋" w:eastAsia="仿宋" w:cs="仿宋"/>
          <w:color w:val="000000" w:themeColor="text1"/>
          <w:sz w:val="28"/>
          <w:szCs w:val="28"/>
          <w:u w:val="single"/>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参与人（公司全称并加盖公章）：</w:t>
      </w:r>
      <w:r>
        <w:rPr>
          <w:rFonts w:hint="eastAsia" w:ascii="仿宋" w:hAnsi="仿宋" w:eastAsia="仿宋" w:cs="仿宋"/>
          <w:color w:val="000000" w:themeColor="text1"/>
          <w:sz w:val="28"/>
          <w:szCs w:val="28"/>
          <w:u w:val="single"/>
          <w14:textFill>
            <w14:solidFill>
              <w14:schemeClr w14:val="tx1"/>
            </w14:solidFill>
          </w14:textFill>
        </w:rPr>
        <w:t xml:space="preserve">                       </w:t>
      </w:r>
    </w:p>
    <w:p>
      <w:pPr>
        <w:spacing w:after="0" w:line="480" w:lineRule="exact"/>
        <w:ind w:left="284" w:leftChars="129" w:firstLine="282" w:firstLineChars="101"/>
        <w:rPr>
          <w:rFonts w:ascii="仿宋" w:hAnsi="仿宋" w:eastAsia="仿宋" w:cs="仿宋"/>
          <w:color w:val="000000" w:themeColor="text1"/>
          <w:sz w:val="28"/>
          <w:szCs w:val="28"/>
          <w:u w:val="single"/>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参与人授权代表签字： </w:t>
      </w:r>
      <w:r>
        <w:rPr>
          <w:rFonts w:hint="eastAsia" w:ascii="仿宋" w:hAnsi="仿宋" w:eastAsia="仿宋" w:cs="仿宋"/>
          <w:color w:val="000000" w:themeColor="text1"/>
          <w:sz w:val="28"/>
          <w:szCs w:val="28"/>
          <w:u w:val="single"/>
          <w14:textFill>
            <w14:solidFill>
              <w14:schemeClr w14:val="tx1"/>
            </w14:solidFill>
          </w14:textFill>
        </w:rPr>
        <w:t xml:space="preserve">                </w:t>
      </w:r>
    </w:p>
    <w:p>
      <w:pPr>
        <w:spacing w:after="0" w:line="480" w:lineRule="exact"/>
        <w:ind w:left="284" w:leftChars="129" w:firstLine="282" w:firstLineChars="101"/>
        <w:rPr>
          <w:rFonts w:ascii="仿宋" w:hAnsi="仿宋" w:eastAsia="仿宋" w:cs="仿宋"/>
          <w:color w:val="000000" w:themeColor="text1"/>
          <w:sz w:val="28"/>
          <w:szCs w:val="28"/>
          <w:u w:val="single"/>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电  话： </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 xml:space="preserve"> </w:t>
      </w:r>
      <w:r>
        <w:rPr>
          <w:rFonts w:hint="eastAsia" w:ascii="仿宋" w:hAnsi="仿宋" w:eastAsia="仿宋" w:cs="仿宋"/>
          <w:b/>
          <w:bCs/>
          <w:color w:val="000000" w:themeColor="text1"/>
          <w:sz w:val="28"/>
          <w:szCs w:val="28"/>
          <w14:textFill>
            <w14:solidFill>
              <w14:schemeClr w14:val="tx1"/>
            </w14:solidFill>
          </w14:textFill>
        </w:rPr>
        <w:t>（手机号码）</w:t>
      </w:r>
    </w:p>
    <w:p>
      <w:pPr>
        <w:pStyle w:val="60"/>
        <w:spacing w:line="480" w:lineRule="exact"/>
        <w:ind w:firstLine="560" w:firstLineChars="200"/>
        <w:jc w:val="left"/>
        <w:outlineLvl w:val="9"/>
        <w:rPr>
          <w:rFonts w:ascii="仿宋" w:hAnsi="仿宋" w:eastAsia="仿宋" w:cs="仿宋"/>
          <w:color w:val="000000" w:themeColor="text1"/>
          <w:szCs w:val="28"/>
          <w14:textFill>
            <w14:solidFill>
              <w14:schemeClr w14:val="tx1"/>
            </w14:solidFill>
          </w14:textFill>
        </w:rPr>
      </w:pPr>
      <w:r>
        <w:rPr>
          <w:rFonts w:hint="eastAsia" w:ascii="仿宋" w:hAnsi="仿宋" w:eastAsia="仿宋" w:cs="仿宋"/>
          <w:color w:val="000000" w:themeColor="text1"/>
          <w:szCs w:val="28"/>
          <w14:textFill>
            <w14:solidFill>
              <w14:schemeClr w14:val="tx1"/>
            </w14:solidFill>
          </w14:textFill>
        </w:rPr>
        <w:t xml:space="preserve">日  期： </w:t>
      </w:r>
      <w:r>
        <w:rPr>
          <w:rFonts w:hint="eastAsia" w:ascii="仿宋" w:hAnsi="仿宋" w:eastAsia="仿宋" w:cs="仿宋"/>
          <w:color w:val="000000" w:themeColor="text1"/>
          <w:szCs w:val="28"/>
          <w:u w:val="single"/>
          <w14:textFill>
            <w14:solidFill>
              <w14:schemeClr w14:val="tx1"/>
            </w14:solidFill>
          </w14:textFill>
        </w:rPr>
        <w:t xml:space="preserve">    </w:t>
      </w:r>
      <w:r>
        <w:rPr>
          <w:rFonts w:hint="eastAsia" w:ascii="仿宋" w:hAnsi="仿宋" w:eastAsia="仿宋" w:cs="仿宋"/>
          <w:color w:val="000000" w:themeColor="text1"/>
          <w:szCs w:val="28"/>
          <w14:textFill>
            <w14:solidFill>
              <w14:schemeClr w14:val="tx1"/>
            </w14:solidFill>
          </w14:textFill>
        </w:rPr>
        <w:t xml:space="preserve">年 </w:t>
      </w:r>
      <w:r>
        <w:rPr>
          <w:rFonts w:hint="eastAsia" w:ascii="仿宋" w:hAnsi="仿宋" w:eastAsia="仿宋" w:cs="仿宋"/>
          <w:color w:val="000000" w:themeColor="text1"/>
          <w:szCs w:val="28"/>
          <w:u w:val="single"/>
          <w14:textFill>
            <w14:solidFill>
              <w14:schemeClr w14:val="tx1"/>
            </w14:solidFill>
          </w14:textFill>
        </w:rPr>
        <w:t xml:space="preserve">   </w:t>
      </w:r>
      <w:r>
        <w:rPr>
          <w:rFonts w:hint="eastAsia" w:ascii="仿宋" w:hAnsi="仿宋" w:eastAsia="仿宋" w:cs="仿宋"/>
          <w:color w:val="000000" w:themeColor="text1"/>
          <w:szCs w:val="28"/>
          <w14:textFill>
            <w14:solidFill>
              <w14:schemeClr w14:val="tx1"/>
            </w14:solidFill>
          </w14:textFill>
        </w:rPr>
        <w:t xml:space="preserve">月 </w:t>
      </w:r>
      <w:r>
        <w:rPr>
          <w:rFonts w:hint="eastAsia" w:ascii="仿宋" w:hAnsi="仿宋" w:eastAsia="仿宋" w:cs="仿宋"/>
          <w:color w:val="000000" w:themeColor="text1"/>
          <w:szCs w:val="28"/>
          <w:u w:val="single"/>
          <w14:textFill>
            <w14:solidFill>
              <w14:schemeClr w14:val="tx1"/>
            </w14:solidFill>
          </w14:textFill>
        </w:rPr>
        <w:t xml:space="preserve">   </w:t>
      </w:r>
      <w:r>
        <w:rPr>
          <w:rFonts w:hint="eastAsia" w:ascii="仿宋" w:hAnsi="仿宋" w:eastAsia="仿宋" w:cs="仿宋"/>
          <w:color w:val="000000" w:themeColor="text1"/>
          <w:szCs w:val="28"/>
          <w14:textFill>
            <w14:solidFill>
              <w14:schemeClr w14:val="tx1"/>
            </w14:solidFill>
          </w14:textFill>
        </w:rPr>
        <w:t>日</w:t>
      </w:r>
    </w:p>
    <w:p>
      <w:pPr>
        <w:numPr>
          <w:ilvl w:val="0"/>
          <w:numId w:val="4"/>
        </w:numPr>
        <w:spacing w:line="380" w:lineRule="exact"/>
        <w:jc w:val="center"/>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报价一览表</w:t>
      </w:r>
    </w:p>
    <w:tbl>
      <w:tblPr>
        <w:tblStyle w:val="25"/>
        <w:tblW w:w="9736" w:type="dxa"/>
        <w:jc w:val="center"/>
        <w:tblLayout w:type="fixed"/>
        <w:tblCellMar>
          <w:top w:w="0" w:type="dxa"/>
          <w:left w:w="108" w:type="dxa"/>
          <w:bottom w:w="0" w:type="dxa"/>
          <w:right w:w="108" w:type="dxa"/>
        </w:tblCellMar>
      </w:tblPr>
      <w:tblGrid>
        <w:gridCol w:w="456"/>
        <w:gridCol w:w="1615"/>
        <w:gridCol w:w="1526"/>
        <w:gridCol w:w="774"/>
        <w:gridCol w:w="822"/>
        <w:gridCol w:w="837"/>
        <w:gridCol w:w="837"/>
        <w:gridCol w:w="837"/>
        <w:gridCol w:w="2032"/>
      </w:tblGrid>
      <w:tr>
        <w:tblPrEx>
          <w:tblCellMar>
            <w:top w:w="0" w:type="dxa"/>
            <w:left w:w="108" w:type="dxa"/>
            <w:bottom w:w="0" w:type="dxa"/>
            <w:right w:w="108" w:type="dxa"/>
          </w:tblCellMar>
        </w:tblPrEx>
        <w:trPr>
          <w:trHeight w:val="667"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序号</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物品名称</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规格参数</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品牌</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数量</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单位</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单价</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总价</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备注</w:t>
            </w:r>
          </w:p>
        </w:tc>
      </w:tr>
      <w:tr>
        <w:tblPrEx>
          <w:tblCellMar>
            <w:top w:w="0" w:type="dxa"/>
            <w:left w:w="108" w:type="dxa"/>
            <w:bottom w:w="0" w:type="dxa"/>
            <w:right w:w="108" w:type="dxa"/>
          </w:tblCellMar>
        </w:tblPrEx>
        <w:trPr>
          <w:trHeight w:val="925"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1</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sz w:val="24"/>
                <w:szCs w:val="24"/>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szCs w:val="24"/>
                <w14:textFill>
                  <w14:solidFill>
                    <w14:schemeClr w14:val="tx1"/>
                  </w14:solidFill>
                </w14:textFill>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szCs w:val="24"/>
                <w14:textFill>
                  <w14:solidFill>
                    <w14:schemeClr w14:val="tx1"/>
                  </w14:solidFill>
                </w14:textFill>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szCs w:val="24"/>
                <w14:textFill>
                  <w14:solidFill>
                    <w14:schemeClr w14:val="tx1"/>
                  </w14:solidFill>
                </w14:textFill>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szCs w:val="24"/>
                <w14:textFill>
                  <w14:solidFill>
                    <w14:schemeClr w14:val="tx1"/>
                  </w14:solidFill>
                </w14:textFill>
              </w:rPr>
            </w:pP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rPr>
            </w:pPr>
          </w:p>
        </w:tc>
      </w:tr>
      <w:tr>
        <w:tblPrEx>
          <w:tblCellMar>
            <w:top w:w="0" w:type="dxa"/>
            <w:left w:w="108" w:type="dxa"/>
            <w:bottom w:w="0" w:type="dxa"/>
            <w:right w:w="108" w:type="dxa"/>
          </w:tblCellMar>
        </w:tblPrEx>
        <w:trPr>
          <w:trHeight w:val="925"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2</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sz w:val="24"/>
                <w:szCs w:val="24"/>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szCs w:val="24"/>
                <w14:textFill>
                  <w14:solidFill>
                    <w14:schemeClr w14:val="tx1"/>
                  </w14:solidFill>
                </w14:textFill>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szCs w:val="24"/>
                <w14:textFill>
                  <w14:solidFill>
                    <w14:schemeClr w14:val="tx1"/>
                  </w14:solidFill>
                </w14:textFill>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 w:hAnsi="仿宋" w:eastAsia="仿宋" w:cs="仿宋"/>
                <w:color w:val="000000"/>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szCs w:val="24"/>
                <w14:textFill>
                  <w14:solidFill>
                    <w14:schemeClr w14:val="tx1"/>
                  </w14:solidFill>
                </w14:textFill>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szCs w:val="24"/>
                <w14:textFill>
                  <w14:solidFill>
                    <w14:schemeClr w14:val="tx1"/>
                  </w14:solidFill>
                </w14:textFill>
              </w:rPr>
            </w:pP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rPr>
            </w:pPr>
          </w:p>
        </w:tc>
      </w:tr>
      <w:tr>
        <w:tblPrEx>
          <w:tblCellMar>
            <w:top w:w="0" w:type="dxa"/>
            <w:left w:w="108" w:type="dxa"/>
            <w:bottom w:w="0" w:type="dxa"/>
            <w:right w:w="108" w:type="dxa"/>
          </w:tblCellMar>
        </w:tblPrEx>
        <w:trPr>
          <w:trHeight w:val="667"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3</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sz w:val="24"/>
                <w:szCs w:val="24"/>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szCs w:val="24"/>
                <w14:textFill>
                  <w14:solidFill>
                    <w14:schemeClr w14:val="tx1"/>
                  </w14:solidFill>
                </w14:textFill>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themeColor="text1"/>
                <w:sz w:val="24"/>
                <w:szCs w:val="24"/>
                <w14:textFill>
                  <w14:solidFill>
                    <w14:schemeClr w14:val="tx1"/>
                  </w14:solidFill>
                </w14:textFill>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 w:hAnsi="仿宋" w:eastAsia="仿宋" w:cs="仿宋"/>
                <w:color w:val="000000"/>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szCs w:val="24"/>
                <w14:textFill>
                  <w14:solidFill>
                    <w14:schemeClr w14:val="tx1"/>
                  </w14:solidFill>
                </w14:textFill>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szCs w:val="24"/>
                <w14:textFill>
                  <w14:solidFill>
                    <w14:schemeClr w14:val="tx1"/>
                  </w14:solidFill>
                </w14:textFill>
              </w:rPr>
            </w:pP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422" w:hRule="atLeast"/>
          <w:jc w:val="center"/>
        </w:trPr>
        <w:tc>
          <w:tcPr>
            <w:tcW w:w="6867"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合计</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themeColor="text1"/>
                <w:sz w:val="24"/>
                <w:szCs w:val="24"/>
                <w14:textFill>
                  <w14:solidFill>
                    <w14:schemeClr w14:val="tx1"/>
                  </w14:solidFill>
                </w14:textFill>
              </w:rPr>
            </w:pP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000000" w:themeColor="text1"/>
                <w:sz w:val="24"/>
                <w:szCs w:val="24"/>
                <w14:textFill>
                  <w14:solidFill>
                    <w14:schemeClr w14:val="tx1"/>
                  </w14:solidFill>
                </w14:textFill>
              </w:rPr>
            </w:pPr>
          </w:p>
        </w:tc>
      </w:tr>
    </w:tbl>
    <w:p>
      <w:pPr>
        <w:spacing w:line="380" w:lineRule="exact"/>
        <w:rPr>
          <w:rFonts w:ascii="仿宋" w:hAnsi="仿宋" w:eastAsia="仿宋" w:cs="仿宋"/>
          <w:color w:val="000000" w:themeColor="text1"/>
          <w:sz w:val="28"/>
          <w:szCs w:val="28"/>
          <w14:textFill>
            <w14:solidFill>
              <w14:schemeClr w14:val="tx1"/>
            </w14:solidFill>
          </w14:textFill>
        </w:rPr>
      </w:pPr>
    </w:p>
    <w:p>
      <w:pPr>
        <w:spacing w:line="38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参与人：</w:t>
      </w:r>
      <w:r>
        <w:rPr>
          <w:rFonts w:hint="eastAsia" w:ascii="仿宋" w:hAnsi="仿宋" w:eastAsia="仿宋" w:cs="仿宋"/>
          <w:color w:val="000000" w:themeColor="text1"/>
          <w:sz w:val="28"/>
          <w:szCs w:val="28"/>
          <w:lang w:val="zh-CN"/>
          <w14:textFill>
            <w14:solidFill>
              <w14:schemeClr w14:val="tx1"/>
            </w14:solidFill>
          </w14:textFill>
        </w:rPr>
        <w:t>（公司全称并加盖公章）</w:t>
      </w:r>
      <w:r>
        <w:rPr>
          <w:rFonts w:hint="eastAsia" w:ascii="仿宋" w:hAnsi="仿宋" w:eastAsia="仿宋" w:cs="仿宋"/>
          <w:color w:val="000000" w:themeColor="text1"/>
          <w:sz w:val="28"/>
          <w:szCs w:val="28"/>
          <w14:textFill>
            <w14:solidFill>
              <w14:schemeClr w14:val="tx1"/>
            </w14:solidFill>
          </w14:textFill>
        </w:rPr>
        <w:t>项目编号：</w:t>
      </w:r>
    </w:p>
    <w:p>
      <w:pPr>
        <w:spacing w:line="380" w:lineRule="exact"/>
        <w:ind w:left="147" w:leftChars="67"/>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货币单位：</w:t>
      </w:r>
    </w:p>
    <w:p>
      <w:pPr>
        <w:spacing w:line="380" w:lineRule="exact"/>
        <w:ind w:left="147" w:leftChars="67"/>
        <w:rPr>
          <w:rFonts w:ascii="仿宋" w:hAnsi="仿宋" w:eastAsia="仿宋" w:cs="仿宋"/>
          <w:color w:val="000000" w:themeColor="text1"/>
          <w:sz w:val="28"/>
          <w:szCs w:val="28"/>
          <w14:textFill>
            <w14:solidFill>
              <w14:schemeClr w14:val="tx1"/>
            </w14:solidFill>
          </w14:textFill>
        </w:rPr>
      </w:pPr>
    </w:p>
    <w:p>
      <w:pPr>
        <w:spacing w:line="380" w:lineRule="exact"/>
        <w:ind w:left="147" w:leftChars="67"/>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注：1.如果按单价计算的结果与总价不一致,以单价为准修正总价。</w:t>
      </w:r>
    </w:p>
    <w:p>
      <w:pPr>
        <w:spacing w:line="380" w:lineRule="exact"/>
        <w:ind w:left="147" w:leftChars="67"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2.如果不提供详细参数和报价将视为没有实质性响应公开询价文件。</w:t>
      </w:r>
    </w:p>
    <w:p>
      <w:pPr>
        <w:spacing w:after="0" w:line="300" w:lineRule="exact"/>
        <w:ind w:firstLine="560" w:firstLineChars="200"/>
        <w:rPr>
          <w:rFonts w:ascii="仿宋" w:hAnsi="仿宋" w:eastAsia="仿宋" w:cs="仿宋"/>
          <w:color w:val="000000" w:themeColor="text1"/>
          <w:sz w:val="28"/>
          <w:szCs w:val="28"/>
          <w:lang w:val="zh-CN"/>
          <w14:textFill>
            <w14:solidFill>
              <w14:schemeClr w14:val="tx1"/>
            </w14:solidFill>
          </w14:textFill>
        </w:rPr>
      </w:pPr>
    </w:p>
    <w:p>
      <w:pPr>
        <w:spacing w:line="380" w:lineRule="exact"/>
        <w:rPr>
          <w:rFonts w:ascii="仿宋" w:hAnsi="仿宋" w:eastAsia="仿宋" w:cs="仿宋"/>
          <w:color w:val="000000" w:themeColor="text1"/>
          <w:sz w:val="28"/>
          <w:szCs w:val="28"/>
          <w:lang w:val="zh-CN"/>
          <w14:textFill>
            <w14:solidFill>
              <w14:schemeClr w14:val="tx1"/>
            </w14:solidFill>
          </w14:textFill>
        </w:rPr>
      </w:pPr>
    </w:p>
    <w:p>
      <w:pPr>
        <w:spacing w:line="360" w:lineRule="auto"/>
        <w:ind w:right="960"/>
        <w:jc w:val="right"/>
        <w:rPr>
          <w:rFonts w:ascii="仿宋" w:hAnsi="仿宋" w:eastAsia="仿宋" w:cs="仿宋"/>
          <w:color w:val="000000" w:themeColor="text1"/>
          <w:sz w:val="28"/>
          <w:szCs w:val="28"/>
          <w:lang w:val="zh-CN"/>
          <w14:textFill>
            <w14:solidFill>
              <w14:schemeClr w14:val="tx1"/>
            </w14:solidFill>
          </w14:textFill>
        </w:rPr>
      </w:pPr>
      <w:r>
        <w:rPr>
          <w:rFonts w:hint="eastAsia" w:ascii="仿宋" w:hAnsi="仿宋" w:eastAsia="仿宋" w:cs="仿宋"/>
          <w:color w:val="000000" w:themeColor="text1"/>
          <w:sz w:val="28"/>
          <w:szCs w:val="28"/>
          <w:lang w:val="zh-CN"/>
          <w14:textFill>
            <w14:solidFill>
              <w14:schemeClr w14:val="tx1"/>
            </w14:solidFill>
          </w14:textFill>
        </w:rPr>
        <w:t>参与人授权代表（签字或盖章）：</w:t>
      </w:r>
    </w:p>
    <w:p>
      <w:pPr>
        <w:spacing w:line="380" w:lineRule="exact"/>
        <w:ind w:right="1120" w:firstLine="4200" w:firstLineChars="1500"/>
        <w:outlineLvl w:val="2"/>
        <w:rPr>
          <w:rFonts w:ascii="仿宋" w:hAnsi="仿宋" w:eastAsia="仿宋" w:cs="仿宋"/>
          <w:color w:val="000000" w:themeColor="text1"/>
          <w:sz w:val="28"/>
          <w:szCs w:val="28"/>
          <w:lang w:val="zh-CN"/>
          <w14:textFill>
            <w14:solidFill>
              <w14:schemeClr w14:val="tx1"/>
            </w14:solidFill>
          </w14:textFill>
        </w:rPr>
      </w:pPr>
      <w:r>
        <w:rPr>
          <w:rFonts w:hint="eastAsia" w:ascii="仿宋" w:hAnsi="仿宋" w:eastAsia="仿宋" w:cs="仿宋"/>
          <w:color w:val="000000" w:themeColor="text1"/>
          <w:sz w:val="28"/>
          <w:szCs w:val="28"/>
          <w:lang w:val="zh-CN"/>
          <w14:textFill>
            <w14:solidFill>
              <w14:schemeClr w14:val="tx1"/>
            </w14:solidFill>
          </w14:textFill>
        </w:rPr>
        <w:t>日 期：</w:t>
      </w:r>
      <w:bookmarkStart w:id="118" w:name="_Toc253066624"/>
      <w:bookmarkStart w:id="119" w:name="_Toc266870441"/>
      <w:bookmarkStart w:id="120" w:name="_Toc193165739"/>
      <w:bookmarkStart w:id="121" w:name="_Toc213756001"/>
      <w:bookmarkStart w:id="122" w:name="_Toc227058536"/>
      <w:bookmarkStart w:id="123" w:name="_Toc267059186"/>
      <w:bookmarkStart w:id="124" w:name="_Toc235438352"/>
      <w:bookmarkStart w:id="125" w:name="_Toc191803631"/>
      <w:bookmarkStart w:id="126" w:name="_Toc267059811"/>
      <w:bookmarkStart w:id="127" w:name="_Toc267059658"/>
      <w:bookmarkStart w:id="128" w:name="_Toc192664158"/>
      <w:bookmarkStart w:id="129" w:name="_Toc258401265"/>
      <w:bookmarkStart w:id="130" w:name="_Toc203355738"/>
      <w:bookmarkStart w:id="131" w:name="_Toc259692749"/>
      <w:bookmarkStart w:id="132" w:name="_Toc192996451"/>
      <w:bookmarkStart w:id="133" w:name="_Toc267059924"/>
      <w:bookmarkStart w:id="134" w:name="_Toc181436466"/>
      <w:bookmarkStart w:id="135" w:name="_Toc267059544"/>
      <w:bookmarkStart w:id="136" w:name="_Toc191783227"/>
      <w:bookmarkStart w:id="137" w:name="_Toc177985474"/>
      <w:bookmarkStart w:id="138" w:name="_Toc192996343"/>
      <w:bookmarkStart w:id="139" w:name="_Toc192663840"/>
      <w:bookmarkStart w:id="140" w:name="_Toc267060076"/>
      <w:bookmarkStart w:id="141" w:name="_Toc254790909"/>
      <w:bookmarkStart w:id="142" w:name="_Toc213208771"/>
      <w:bookmarkStart w:id="143" w:name="_Toc230071153"/>
      <w:bookmarkStart w:id="144" w:name="_Toc182805222"/>
      <w:bookmarkStart w:id="145" w:name="_Toc191789334"/>
      <w:bookmarkStart w:id="146" w:name="_Toc219800249"/>
      <w:bookmarkStart w:id="147" w:name="_Toc259520874"/>
      <w:bookmarkStart w:id="148" w:name="_Toc213755864"/>
      <w:bookmarkStart w:id="149" w:name="_Toc169332954"/>
      <w:bookmarkStart w:id="150" w:name="_Toc160880534"/>
      <w:bookmarkStart w:id="151" w:name="_Toc266868679"/>
      <w:bookmarkStart w:id="152" w:name="_Toc225669328"/>
      <w:bookmarkStart w:id="153" w:name="_Toc213755945"/>
      <w:bookmarkStart w:id="154" w:name="_Toc170798798"/>
      <w:bookmarkStart w:id="155" w:name="_Toc235437998"/>
      <w:bookmarkStart w:id="156" w:name="_Toc267060326"/>
      <w:bookmarkStart w:id="157" w:name="_Toc191802695"/>
      <w:bookmarkStart w:id="158" w:name="_Toc180302918"/>
      <w:bookmarkStart w:id="159" w:name="_Toc251586241"/>
      <w:bookmarkStart w:id="160" w:name="_Toc255975016"/>
      <w:bookmarkStart w:id="161" w:name="_Toc267060461"/>
      <w:bookmarkStart w:id="162" w:name="_Toc266870916"/>
      <w:bookmarkStart w:id="163" w:name="_Toc223146614"/>
      <w:bookmarkStart w:id="164" w:name="_Toc266870839"/>
      <w:bookmarkStart w:id="165" w:name="_Toc249325720"/>
      <w:bookmarkStart w:id="166" w:name="_Toc273178703"/>
      <w:bookmarkStart w:id="167" w:name="_Toc259692656"/>
      <w:bookmarkStart w:id="168" w:name="_Toc232302122"/>
      <w:bookmarkStart w:id="169" w:name="_Toc267060216"/>
      <w:bookmarkStart w:id="170" w:name="_Toc266868943"/>
      <w:bookmarkStart w:id="171" w:name="_Toc192663691"/>
      <w:bookmarkStart w:id="172" w:name="_Toc235438281"/>
      <w:bookmarkStart w:id="173" w:name="_Toc236021457"/>
      <w:bookmarkStart w:id="174" w:name="_Toc217891408"/>
      <w:bookmarkStart w:id="175" w:name="_Toc251613839"/>
      <w:bookmarkStart w:id="176" w:name="_Toc160880165"/>
      <w:bookmarkStart w:id="177" w:name="_Toc213756057"/>
      <w:bookmarkStart w:id="178" w:name="_Toc169332843"/>
      <w:bookmarkStart w:id="179" w:name="_Toc211917121"/>
      <w:bookmarkStart w:id="180" w:name="_Toc182372787"/>
      <w:bookmarkStart w:id="181" w:name="_Toc267059035"/>
      <w:bookmarkStart w:id="182" w:name="_Toc193160453"/>
      <w:bookmarkStart w:id="183" w:name="_Toc181436570"/>
    </w:p>
    <w:p>
      <w:pPr>
        <w:jc w:val="center"/>
        <w:outlineLvl w:val="1"/>
        <w:rPr>
          <w:rFonts w:ascii="仿宋" w:hAnsi="仿宋" w:eastAsia="仿宋" w:cs="仿宋"/>
          <w:b/>
          <w:bCs/>
          <w:color w:val="000000" w:themeColor="text1"/>
          <w:sz w:val="28"/>
          <w:szCs w:val="28"/>
          <w14:textFill>
            <w14:solidFill>
              <w14:schemeClr w14:val="tx1"/>
            </w14:solidFill>
          </w14:textFill>
        </w:rPr>
      </w:pPr>
      <w:bookmarkStart w:id="184" w:name="_Toc236021459"/>
      <w:bookmarkStart w:id="185" w:name="_Toc235438283"/>
      <w:bookmarkStart w:id="186" w:name="_Toc230071155"/>
      <w:bookmarkStart w:id="187" w:name="_Toc217891410"/>
      <w:bookmarkStart w:id="188" w:name="_Toc258401267"/>
      <w:bookmarkStart w:id="189" w:name="_Toc235438000"/>
      <w:bookmarkStart w:id="190" w:name="_Toc266870918"/>
      <w:bookmarkStart w:id="191" w:name="_Toc225669330"/>
      <w:bookmarkStart w:id="192" w:name="_Toc259692751"/>
      <w:bookmarkStart w:id="193" w:name="_Toc266870443"/>
      <w:bookmarkStart w:id="194" w:name="_Toc249325722"/>
      <w:bookmarkStart w:id="195" w:name="_Toc253066626"/>
      <w:bookmarkStart w:id="196" w:name="_Toc213756059"/>
      <w:bookmarkStart w:id="197" w:name="_Toc223146616"/>
      <w:bookmarkStart w:id="198" w:name="_Toc259520876"/>
      <w:bookmarkStart w:id="199" w:name="_Toc227058538"/>
      <w:bookmarkStart w:id="200" w:name="_Toc259692658"/>
      <w:bookmarkStart w:id="201" w:name="_Toc254790911"/>
      <w:bookmarkStart w:id="202" w:name="_Toc255975018"/>
      <w:bookmarkStart w:id="203" w:name="_Toc266868681"/>
      <w:bookmarkStart w:id="204" w:name="_Toc235438354"/>
      <w:bookmarkStart w:id="205" w:name="_Toc251613841"/>
      <w:bookmarkStart w:id="206" w:name="_Toc251586243"/>
      <w:bookmarkStart w:id="207" w:name="_Toc219800251"/>
      <w:bookmarkStart w:id="208" w:name="_Toc232302124"/>
    </w:p>
    <w:p>
      <w:pPr>
        <w:jc w:val="center"/>
        <w:outlineLvl w:val="1"/>
        <w:rPr>
          <w:rFonts w:ascii="仿宋" w:hAnsi="仿宋" w:eastAsia="仿宋" w:cs="仿宋"/>
          <w:b/>
          <w:bCs/>
          <w:color w:val="000000" w:themeColor="text1"/>
          <w:sz w:val="28"/>
          <w:szCs w:val="28"/>
          <w14:textFill>
            <w14:solidFill>
              <w14:schemeClr w14:val="tx1"/>
            </w14:solidFill>
          </w14:textFill>
        </w:rPr>
      </w:pPr>
    </w:p>
    <w:p>
      <w:pPr>
        <w:pStyle w:val="2"/>
      </w:pPr>
    </w:p>
    <w:p>
      <w:pPr>
        <w:jc w:val="center"/>
        <w:outlineLvl w:val="1"/>
        <w:rPr>
          <w:rFonts w:ascii="仿宋" w:hAnsi="仿宋" w:eastAsia="仿宋" w:cs="仿宋"/>
          <w:b/>
          <w:bCs/>
          <w:color w:val="000000" w:themeColor="text1"/>
          <w:sz w:val="28"/>
          <w:szCs w:val="28"/>
          <w14:textFill>
            <w14:solidFill>
              <w14:schemeClr w14:val="tx1"/>
            </w14:solidFill>
          </w14:textFill>
        </w:rPr>
      </w:pPr>
    </w:p>
    <w:p>
      <w:pPr>
        <w:jc w:val="center"/>
        <w:outlineLvl w:val="1"/>
        <w:rPr>
          <w:rFonts w:ascii="仿宋" w:hAnsi="仿宋" w:eastAsia="仿宋" w:cs="仿宋"/>
          <w:b/>
          <w:bCs/>
          <w:color w:val="000000" w:themeColor="text1"/>
          <w:sz w:val="28"/>
          <w:szCs w:val="28"/>
          <w14:textFill>
            <w14:solidFill>
              <w14:schemeClr w14:val="tx1"/>
            </w14:solidFill>
          </w14:textFill>
        </w:rPr>
      </w:pPr>
    </w:p>
    <w:p>
      <w:pPr>
        <w:jc w:val="center"/>
        <w:outlineLvl w:val="1"/>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3、参与人资质材料</w:t>
      </w:r>
    </w:p>
    <w:p>
      <w:pPr>
        <w:pStyle w:val="43"/>
        <w:rPr>
          <w:rFonts w:ascii="仿宋" w:hAnsi="仿宋" w:eastAsia="仿宋" w:cs="仿宋"/>
          <w:color w:val="000000" w:themeColor="text1"/>
          <w:sz w:val="28"/>
          <w:szCs w:val="28"/>
          <w14:textFill>
            <w14:solidFill>
              <w14:schemeClr w14:val="tx1"/>
            </w14:solidFill>
          </w14:textFill>
        </w:rPr>
      </w:pPr>
    </w:p>
    <w:p>
      <w:pPr>
        <w:spacing w:after="0" w:line="50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参与人需要提供以下材料：</w:t>
      </w:r>
    </w:p>
    <w:p>
      <w:pPr>
        <w:pStyle w:val="58"/>
        <w:numPr>
          <w:ilvl w:val="0"/>
          <w:numId w:val="5"/>
        </w:numPr>
        <w:spacing w:after="0" w:line="500" w:lineRule="exact"/>
        <w:ind w:firstLineChars="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营业执照复印件</w:t>
      </w:r>
    </w:p>
    <w:p>
      <w:pPr>
        <w:pStyle w:val="58"/>
        <w:numPr>
          <w:ilvl w:val="0"/>
          <w:numId w:val="5"/>
        </w:numPr>
        <w:spacing w:after="0" w:line="500" w:lineRule="exact"/>
        <w:ind w:firstLineChars="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授权经销商或代理商证明材料复印件</w:t>
      </w:r>
    </w:p>
    <w:p>
      <w:pPr>
        <w:pStyle w:val="58"/>
        <w:numPr>
          <w:ilvl w:val="0"/>
          <w:numId w:val="5"/>
        </w:numPr>
        <w:spacing w:after="0" w:line="500" w:lineRule="exact"/>
        <w:ind w:firstLineChars="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质保期和售后服务承诺书（参与人自行起草）</w:t>
      </w:r>
    </w:p>
    <w:p>
      <w:pPr>
        <w:spacing w:line="380" w:lineRule="exact"/>
        <w:rPr>
          <w:rFonts w:ascii="仿宋" w:hAnsi="仿宋" w:eastAsia="仿宋" w:cs="仿宋"/>
          <w:color w:val="000000" w:themeColor="text1"/>
          <w:sz w:val="28"/>
          <w:szCs w:val="28"/>
          <w14:textFill>
            <w14:solidFill>
              <w14:schemeClr w14:val="tx1"/>
            </w14:solidFill>
          </w14:textFill>
        </w:rPr>
      </w:pPr>
    </w:p>
    <w:p>
      <w:pPr>
        <w:spacing w:line="380" w:lineRule="exact"/>
        <w:rPr>
          <w:rFonts w:ascii="仿宋" w:hAnsi="仿宋" w:eastAsia="仿宋" w:cs="仿宋"/>
          <w:b/>
          <w:bCs/>
          <w:sz w:val="24"/>
          <w:szCs w:val="24"/>
        </w:rPr>
      </w:pPr>
      <w:r>
        <w:rPr>
          <w:rFonts w:hint="eastAsia" w:ascii="仿宋" w:hAnsi="仿宋" w:eastAsia="仿宋" w:cs="仿宋"/>
          <w:b/>
          <w:bCs/>
          <w:color w:val="000000" w:themeColor="text1"/>
          <w:sz w:val="28"/>
          <w:szCs w:val="28"/>
          <w14:textFill>
            <w14:solidFill>
              <w14:schemeClr w14:val="tx1"/>
            </w14:solidFill>
          </w14:textFill>
        </w:rPr>
        <w:t>以上材料复印件须加盖参与人公司公章，并与报价</w:t>
      </w:r>
      <w:r>
        <w:rPr>
          <w:rFonts w:hint="eastAsia" w:ascii="仿宋" w:hAnsi="仿宋" w:eastAsia="仿宋" w:cs="仿宋"/>
          <w:b/>
          <w:bCs/>
          <w:sz w:val="28"/>
          <w:szCs w:val="28"/>
        </w:rPr>
        <w:t>一览表一</w:t>
      </w:r>
      <w:r>
        <w:rPr>
          <w:rFonts w:hint="eastAsia" w:ascii="仿宋" w:hAnsi="仿宋" w:eastAsia="仿宋" w:cs="仿宋"/>
          <w:b/>
          <w:bCs/>
          <w:sz w:val="24"/>
          <w:szCs w:val="24"/>
        </w:rPr>
        <w:t>同密封</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sectPr>
      <w:headerReference r:id="rId10" w:type="first"/>
      <w:footerReference r:id="rId11" w:type="default"/>
      <w:type w:val="continuous"/>
      <w:pgSz w:w="11906" w:h="16838"/>
      <w:pgMar w:top="1440" w:right="1416" w:bottom="1440" w:left="1134"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Gothic">
    <w:panose1 w:val="020B0502020202020204"/>
    <w:charset w:val="00"/>
    <w:family w:val="swiss"/>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1938744"/>
    </w:sdtPr>
    <w:sdtContent>
      <w:sdt>
        <w:sdtPr>
          <w:id w:val="-1705238520"/>
        </w:sdtPr>
        <w:sdtContent>
          <w:p>
            <w:pPr>
              <w:pStyle w:val="17"/>
              <w:jc w:val="center"/>
              <w:rPr>
                <w:b/>
                <w:bCs/>
                <w:sz w:val="24"/>
                <w:szCs w:val="24"/>
              </w:rPr>
            </w:pPr>
            <w:r>
              <w:rPr>
                <w:b/>
                <w:bCs/>
                <w:sz w:val="24"/>
                <w:szCs w:val="24"/>
              </w:rPr>
              <w:fldChar w:fldCharType="begin"/>
            </w:r>
            <w:r>
              <w:rPr>
                <w:b/>
                <w:bCs/>
              </w:rPr>
              <w:instrText xml:space="preserve">PAGE</w:instrText>
            </w:r>
            <w:r>
              <w:rPr>
                <w:b/>
                <w:bCs/>
                <w:sz w:val="24"/>
                <w:szCs w:val="24"/>
              </w:rPr>
              <w:fldChar w:fldCharType="separate"/>
            </w:r>
            <w:r>
              <w:rPr>
                <w:b/>
                <w:bCs/>
              </w:rPr>
              <w:t>5</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11</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b/>
        <w:bCs/>
        <w:sz w:val="24"/>
        <w:szCs w:val="24"/>
      </w:rPr>
    </w:pPr>
    <w:r>
      <w:rPr>
        <w:b/>
        <w:bCs/>
        <w:sz w:val="24"/>
        <w:szCs w:val="24"/>
      </w:rPr>
      <w:fldChar w:fldCharType="begin"/>
    </w:r>
    <w:r>
      <w:rPr>
        <w:b/>
        <w:bCs/>
      </w:rPr>
      <w:instrText xml:space="preserve">PAGE</w:instrText>
    </w:r>
    <w:r>
      <w:rPr>
        <w:b/>
        <w:bCs/>
        <w:sz w:val="24"/>
        <w:szCs w:val="24"/>
      </w:rPr>
      <w:fldChar w:fldCharType="separate"/>
    </w:r>
    <w:r>
      <w:rPr>
        <w:b/>
        <w:bCs/>
      </w:rPr>
      <w:t>11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11</w:t>
    </w:r>
    <w:r>
      <w:rPr>
        <w:b/>
        <w:bCs/>
        <w:sz w:val="24"/>
        <w:szCs w:val="24"/>
      </w:rPr>
      <w:fldChar w:fldCharType="end"/>
    </w:r>
  </w:p>
  <w:p>
    <w:pPr>
      <w:pStyle w:val="1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drawing>
        <wp:anchor distT="0" distB="0" distL="114300" distR="114300" simplePos="0" relativeHeight="251659264" behindDoc="0" locked="0" layoutInCell="1" allowOverlap="1">
          <wp:simplePos x="0" y="0"/>
          <wp:positionH relativeFrom="column">
            <wp:posOffset>2185035</wp:posOffset>
          </wp:positionH>
          <wp:positionV relativeFrom="page">
            <wp:posOffset>247650</wp:posOffset>
          </wp:positionV>
          <wp:extent cx="1643380" cy="428625"/>
          <wp:effectExtent l="19050" t="0" r="0" b="0"/>
          <wp:wrapNone/>
          <wp:docPr id="4" name="图片 2" descr="jx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jxu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643380" cy="428625"/>
                  </a:xfrm>
                  <a:prstGeom prst="rect">
                    <a:avLst/>
                  </a:prstGeom>
                  <a:noFill/>
                  <a:ln>
                    <a:noFill/>
                  </a:ln>
                </pic:spPr>
              </pic:pic>
            </a:graphicData>
          </a:graphic>
        </wp:anchor>
      </w:drawing>
    </w:r>
    <w:r>
      <w:rPr>
        <w:rFonts w:hint="eastAsia"/>
      </w:rPr>
      <w:t>学校L</w:t>
    </w:r>
    <w:r>
      <w:t>OGO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A83AFA"/>
    <w:multiLevelType w:val="singleLevel"/>
    <w:tmpl w:val="1FA83AFA"/>
    <w:lvl w:ilvl="0" w:tentative="0">
      <w:start w:val="1"/>
      <w:numFmt w:val="decimal"/>
      <w:suff w:val="nothing"/>
      <w:lvlText w:val="%1、"/>
      <w:lvlJc w:val="left"/>
    </w:lvl>
  </w:abstractNum>
  <w:abstractNum w:abstractNumId="1">
    <w:nsid w:val="23F05992"/>
    <w:multiLevelType w:val="multilevel"/>
    <w:tmpl w:val="23F05992"/>
    <w:lvl w:ilvl="0" w:tentative="0">
      <w:start w:val="1"/>
      <w:numFmt w:val="decimal"/>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9C41BB1"/>
    <w:multiLevelType w:val="multilevel"/>
    <w:tmpl w:val="49C41BB1"/>
    <w:lvl w:ilvl="0" w:tentative="0">
      <w:start w:val="1"/>
      <w:numFmt w:val="decimal"/>
      <w:lvlText w:val="%1."/>
      <w:lvlJc w:val="left"/>
      <w:pPr>
        <w:ind w:left="785" w:hanging="420"/>
      </w:pPr>
    </w:lvl>
    <w:lvl w:ilvl="1" w:tentative="0">
      <w:start w:val="1"/>
      <w:numFmt w:val="lowerLetter"/>
      <w:lvlText w:val="%2)"/>
      <w:lvlJc w:val="left"/>
      <w:pPr>
        <w:ind w:left="1205" w:hanging="420"/>
      </w:pPr>
    </w:lvl>
    <w:lvl w:ilvl="2" w:tentative="0">
      <w:start w:val="1"/>
      <w:numFmt w:val="lowerRoman"/>
      <w:lvlText w:val="%3."/>
      <w:lvlJc w:val="right"/>
      <w:pPr>
        <w:ind w:left="1625" w:hanging="420"/>
      </w:pPr>
    </w:lvl>
    <w:lvl w:ilvl="3" w:tentative="0">
      <w:start w:val="1"/>
      <w:numFmt w:val="decimal"/>
      <w:lvlText w:val="%4."/>
      <w:lvlJc w:val="left"/>
      <w:pPr>
        <w:ind w:left="2045" w:hanging="420"/>
      </w:pPr>
    </w:lvl>
    <w:lvl w:ilvl="4" w:tentative="0">
      <w:start w:val="1"/>
      <w:numFmt w:val="lowerLetter"/>
      <w:lvlText w:val="%5)"/>
      <w:lvlJc w:val="left"/>
      <w:pPr>
        <w:ind w:left="2465" w:hanging="420"/>
      </w:pPr>
    </w:lvl>
    <w:lvl w:ilvl="5" w:tentative="0">
      <w:start w:val="1"/>
      <w:numFmt w:val="lowerRoman"/>
      <w:lvlText w:val="%6."/>
      <w:lvlJc w:val="right"/>
      <w:pPr>
        <w:ind w:left="2885" w:hanging="420"/>
      </w:pPr>
    </w:lvl>
    <w:lvl w:ilvl="6" w:tentative="0">
      <w:start w:val="1"/>
      <w:numFmt w:val="decimal"/>
      <w:lvlText w:val="%7."/>
      <w:lvlJc w:val="left"/>
      <w:pPr>
        <w:ind w:left="3305" w:hanging="420"/>
      </w:pPr>
    </w:lvl>
    <w:lvl w:ilvl="7" w:tentative="0">
      <w:start w:val="1"/>
      <w:numFmt w:val="lowerLetter"/>
      <w:lvlText w:val="%8)"/>
      <w:lvlJc w:val="left"/>
      <w:pPr>
        <w:ind w:left="3725" w:hanging="420"/>
      </w:pPr>
    </w:lvl>
    <w:lvl w:ilvl="8" w:tentative="0">
      <w:start w:val="1"/>
      <w:numFmt w:val="lowerRoman"/>
      <w:lvlText w:val="%9."/>
      <w:lvlJc w:val="right"/>
      <w:pPr>
        <w:ind w:left="4145" w:hanging="420"/>
      </w:pPr>
    </w:lvl>
  </w:abstractNum>
  <w:abstractNum w:abstractNumId="3">
    <w:nsid w:val="5CCE0CAE"/>
    <w:multiLevelType w:val="multilevel"/>
    <w:tmpl w:val="5CCE0CAE"/>
    <w:lvl w:ilvl="0" w:tentative="0">
      <w:start w:val="1"/>
      <w:numFmt w:val="decimal"/>
      <w:lvlText w:val="%1."/>
      <w:lvlJc w:val="left"/>
      <w:pPr>
        <w:tabs>
          <w:tab w:val="left" w:pos="1469"/>
        </w:tabs>
        <w:ind w:left="1469" w:hanging="419"/>
      </w:pPr>
      <w:rPr>
        <w:rFonts w:hint="eastAsia"/>
      </w:rPr>
    </w:lvl>
    <w:lvl w:ilvl="1" w:tentative="0">
      <w:start w:val="1"/>
      <w:numFmt w:val="decimal"/>
      <w:lvlText w:val="%2."/>
      <w:lvlJc w:val="left"/>
      <w:pPr>
        <w:tabs>
          <w:tab w:val="left" w:pos="839"/>
        </w:tabs>
        <w:ind w:left="859" w:hanging="419"/>
      </w:pPr>
      <w:rPr>
        <w:rFonts w:hint="eastAsia"/>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77595E0A"/>
    <w:multiLevelType w:val="multilevel"/>
    <w:tmpl w:val="77595E0A"/>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1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5OWYxOTBkNWFmMDlhNTEzNjBjMDFjMjI4MWYyOTYifQ=="/>
  </w:docVars>
  <w:rsids>
    <w:rsidRoot w:val="00172A27"/>
    <w:rsid w:val="000044AD"/>
    <w:rsid w:val="0000490C"/>
    <w:rsid w:val="00004A19"/>
    <w:rsid w:val="000113E7"/>
    <w:rsid w:val="00017266"/>
    <w:rsid w:val="0002474F"/>
    <w:rsid w:val="00031D61"/>
    <w:rsid w:val="00041909"/>
    <w:rsid w:val="000569E1"/>
    <w:rsid w:val="00064E4D"/>
    <w:rsid w:val="00070A6D"/>
    <w:rsid w:val="0007244C"/>
    <w:rsid w:val="00074B20"/>
    <w:rsid w:val="00082572"/>
    <w:rsid w:val="00091346"/>
    <w:rsid w:val="00092390"/>
    <w:rsid w:val="000934D4"/>
    <w:rsid w:val="000A06E4"/>
    <w:rsid w:val="000A18C2"/>
    <w:rsid w:val="000B533E"/>
    <w:rsid w:val="000C09AE"/>
    <w:rsid w:val="000D4D71"/>
    <w:rsid w:val="000D4FB9"/>
    <w:rsid w:val="000F37DD"/>
    <w:rsid w:val="000F3AC0"/>
    <w:rsid w:val="000F4F45"/>
    <w:rsid w:val="00112269"/>
    <w:rsid w:val="0012724D"/>
    <w:rsid w:val="0013118F"/>
    <w:rsid w:val="00146B60"/>
    <w:rsid w:val="00147E05"/>
    <w:rsid w:val="00150E12"/>
    <w:rsid w:val="00155D45"/>
    <w:rsid w:val="001561E9"/>
    <w:rsid w:val="0016249C"/>
    <w:rsid w:val="00163B53"/>
    <w:rsid w:val="00172A27"/>
    <w:rsid w:val="00172E5F"/>
    <w:rsid w:val="0017442E"/>
    <w:rsid w:val="00176CD4"/>
    <w:rsid w:val="00182C6E"/>
    <w:rsid w:val="00191234"/>
    <w:rsid w:val="001A06A4"/>
    <w:rsid w:val="001A5B43"/>
    <w:rsid w:val="001B2557"/>
    <w:rsid w:val="001B719E"/>
    <w:rsid w:val="001C0845"/>
    <w:rsid w:val="001C2BFC"/>
    <w:rsid w:val="001C6943"/>
    <w:rsid w:val="001D1081"/>
    <w:rsid w:val="001E44E4"/>
    <w:rsid w:val="001E7B35"/>
    <w:rsid w:val="001F3952"/>
    <w:rsid w:val="001F4F58"/>
    <w:rsid w:val="00204680"/>
    <w:rsid w:val="00215A21"/>
    <w:rsid w:val="00231B1F"/>
    <w:rsid w:val="00235942"/>
    <w:rsid w:val="00235C32"/>
    <w:rsid w:val="00237309"/>
    <w:rsid w:val="00241EA7"/>
    <w:rsid w:val="00244C3F"/>
    <w:rsid w:val="00244E90"/>
    <w:rsid w:val="002476C4"/>
    <w:rsid w:val="002721EE"/>
    <w:rsid w:val="00276B42"/>
    <w:rsid w:val="002772BB"/>
    <w:rsid w:val="00282FFD"/>
    <w:rsid w:val="002936CA"/>
    <w:rsid w:val="00295514"/>
    <w:rsid w:val="002961A3"/>
    <w:rsid w:val="002A1975"/>
    <w:rsid w:val="002B3219"/>
    <w:rsid w:val="002C2C3D"/>
    <w:rsid w:val="002C4297"/>
    <w:rsid w:val="002C533C"/>
    <w:rsid w:val="002C558F"/>
    <w:rsid w:val="002C7AC7"/>
    <w:rsid w:val="002E2902"/>
    <w:rsid w:val="002F3F54"/>
    <w:rsid w:val="002F61BF"/>
    <w:rsid w:val="00315D0D"/>
    <w:rsid w:val="0031762B"/>
    <w:rsid w:val="003222F2"/>
    <w:rsid w:val="00334E6F"/>
    <w:rsid w:val="0033686F"/>
    <w:rsid w:val="00343EEF"/>
    <w:rsid w:val="0034695A"/>
    <w:rsid w:val="00350AF8"/>
    <w:rsid w:val="00351CC8"/>
    <w:rsid w:val="003570A0"/>
    <w:rsid w:val="00370098"/>
    <w:rsid w:val="003716A7"/>
    <w:rsid w:val="003716F7"/>
    <w:rsid w:val="00383EA0"/>
    <w:rsid w:val="003845F2"/>
    <w:rsid w:val="00384665"/>
    <w:rsid w:val="003924B5"/>
    <w:rsid w:val="003C0028"/>
    <w:rsid w:val="003C0E1A"/>
    <w:rsid w:val="003C406B"/>
    <w:rsid w:val="003C60EF"/>
    <w:rsid w:val="003D02FC"/>
    <w:rsid w:val="003D55C2"/>
    <w:rsid w:val="003D7D6A"/>
    <w:rsid w:val="003E6439"/>
    <w:rsid w:val="003F20A6"/>
    <w:rsid w:val="003F36CB"/>
    <w:rsid w:val="003F4827"/>
    <w:rsid w:val="003F4A39"/>
    <w:rsid w:val="003F4C2C"/>
    <w:rsid w:val="003F6D67"/>
    <w:rsid w:val="00403AD6"/>
    <w:rsid w:val="00404FA2"/>
    <w:rsid w:val="00405872"/>
    <w:rsid w:val="00416AB1"/>
    <w:rsid w:val="004242F4"/>
    <w:rsid w:val="00424AA3"/>
    <w:rsid w:val="0043243C"/>
    <w:rsid w:val="00436823"/>
    <w:rsid w:val="00441955"/>
    <w:rsid w:val="00453BDA"/>
    <w:rsid w:val="0045488D"/>
    <w:rsid w:val="00464CB2"/>
    <w:rsid w:val="00467BE1"/>
    <w:rsid w:val="00477053"/>
    <w:rsid w:val="00482E03"/>
    <w:rsid w:val="004842C5"/>
    <w:rsid w:val="00486EEF"/>
    <w:rsid w:val="00490E29"/>
    <w:rsid w:val="00494088"/>
    <w:rsid w:val="00495025"/>
    <w:rsid w:val="004954E9"/>
    <w:rsid w:val="004956C0"/>
    <w:rsid w:val="004B4E97"/>
    <w:rsid w:val="004B66B1"/>
    <w:rsid w:val="004E0DBF"/>
    <w:rsid w:val="004E24DE"/>
    <w:rsid w:val="004E3D16"/>
    <w:rsid w:val="004E3E6F"/>
    <w:rsid w:val="004F3FCE"/>
    <w:rsid w:val="00500FB5"/>
    <w:rsid w:val="00501A63"/>
    <w:rsid w:val="00502F52"/>
    <w:rsid w:val="00517197"/>
    <w:rsid w:val="00527BFC"/>
    <w:rsid w:val="00543220"/>
    <w:rsid w:val="00553238"/>
    <w:rsid w:val="005553AB"/>
    <w:rsid w:val="00561EC1"/>
    <w:rsid w:val="00562F2E"/>
    <w:rsid w:val="0056768D"/>
    <w:rsid w:val="0057646C"/>
    <w:rsid w:val="00582530"/>
    <w:rsid w:val="00590957"/>
    <w:rsid w:val="0059251D"/>
    <w:rsid w:val="005A5A4D"/>
    <w:rsid w:val="005B24C4"/>
    <w:rsid w:val="005B48FA"/>
    <w:rsid w:val="005C2170"/>
    <w:rsid w:val="005C6E27"/>
    <w:rsid w:val="005F1FC8"/>
    <w:rsid w:val="00607B2B"/>
    <w:rsid w:val="006230ED"/>
    <w:rsid w:val="00630374"/>
    <w:rsid w:val="006375CF"/>
    <w:rsid w:val="00645EFA"/>
    <w:rsid w:val="0064713E"/>
    <w:rsid w:val="0064793B"/>
    <w:rsid w:val="0066427F"/>
    <w:rsid w:val="006651E0"/>
    <w:rsid w:val="006652BF"/>
    <w:rsid w:val="00665A94"/>
    <w:rsid w:val="006867DA"/>
    <w:rsid w:val="00691E02"/>
    <w:rsid w:val="006A084D"/>
    <w:rsid w:val="006A71AD"/>
    <w:rsid w:val="006A7BCA"/>
    <w:rsid w:val="006B6F8C"/>
    <w:rsid w:val="006C2D5E"/>
    <w:rsid w:val="006C56A7"/>
    <w:rsid w:val="006D02DB"/>
    <w:rsid w:val="006D27DD"/>
    <w:rsid w:val="006D53F9"/>
    <w:rsid w:val="006D6492"/>
    <w:rsid w:val="006D65D2"/>
    <w:rsid w:val="006E0756"/>
    <w:rsid w:val="006F3C71"/>
    <w:rsid w:val="006F5FBA"/>
    <w:rsid w:val="00703879"/>
    <w:rsid w:val="00705550"/>
    <w:rsid w:val="00723B1F"/>
    <w:rsid w:val="00732F63"/>
    <w:rsid w:val="00735819"/>
    <w:rsid w:val="00737694"/>
    <w:rsid w:val="00742D2F"/>
    <w:rsid w:val="00745DF4"/>
    <w:rsid w:val="00747C4D"/>
    <w:rsid w:val="007550F2"/>
    <w:rsid w:val="00775CE1"/>
    <w:rsid w:val="00790192"/>
    <w:rsid w:val="0079407E"/>
    <w:rsid w:val="007B0F09"/>
    <w:rsid w:val="007B2319"/>
    <w:rsid w:val="007B5846"/>
    <w:rsid w:val="007B5C67"/>
    <w:rsid w:val="007C719E"/>
    <w:rsid w:val="007D5A32"/>
    <w:rsid w:val="007D64CB"/>
    <w:rsid w:val="007E12A9"/>
    <w:rsid w:val="007E4679"/>
    <w:rsid w:val="00820F76"/>
    <w:rsid w:val="00821371"/>
    <w:rsid w:val="00832069"/>
    <w:rsid w:val="00844ABD"/>
    <w:rsid w:val="0085479C"/>
    <w:rsid w:val="00865B30"/>
    <w:rsid w:val="00867893"/>
    <w:rsid w:val="008733EA"/>
    <w:rsid w:val="00874219"/>
    <w:rsid w:val="00875E40"/>
    <w:rsid w:val="00876AB6"/>
    <w:rsid w:val="008843FB"/>
    <w:rsid w:val="008902DC"/>
    <w:rsid w:val="008A7DBB"/>
    <w:rsid w:val="008B31EE"/>
    <w:rsid w:val="008B4FB6"/>
    <w:rsid w:val="008C2433"/>
    <w:rsid w:val="008D2D55"/>
    <w:rsid w:val="008D5688"/>
    <w:rsid w:val="008E0FC5"/>
    <w:rsid w:val="008E5F9A"/>
    <w:rsid w:val="008F1544"/>
    <w:rsid w:val="00906C23"/>
    <w:rsid w:val="00912C0E"/>
    <w:rsid w:val="00916532"/>
    <w:rsid w:val="009206ED"/>
    <w:rsid w:val="00923C7E"/>
    <w:rsid w:val="00936704"/>
    <w:rsid w:val="00941CEB"/>
    <w:rsid w:val="00945B37"/>
    <w:rsid w:val="009548E4"/>
    <w:rsid w:val="009606BC"/>
    <w:rsid w:val="009622D2"/>
    <w:rsid w:val="00964CEA"/>
    <w:rsid w:val="00967E57"/>
    <w:rsid w:val="00970E44"/>
    <w:rsid w:val="00974742"/>
    <w:rsid w:val="00977EF1"/>
    <w:rsid w:val="0098102A"/>
    <w:rsid w:val="00985509"/>
    <w:rsid w:val="00985FC2"/>
    <w:rsid w:val="00994E59"/>
    <w:rsid w:val="009A19FA"/>
    <w:rsid w:val="009A635D"/>
    <w:rsid w:val="009A66D0"/>
    <w:rsid w:val="009A6925"/>
    <w:rsid w:val="009B035D"/>
    <w:rsid w:val="009B38B3"/>
    <w:rsid w:val="009B5A7A"/>
    <w:rsid w:val="009B75DB"/>
    <w:rsid w:val="009C0273"/>
    <w:rsid w:val="009C3D80"/>
    <w:rsid w:val="009C61C2"/>
    <w:rsid w:val="009C7584"/>
    <w:rsid w:val="009C77D4"/>
    <w:rsid w:val="009D75D8"/>
    <w:rsid w:val="009E759F"/>
    <w:rsid w:val="009F78C0"/>
    <w:rsid w:val="00A02633"/>
    <w:rsid w:val="00A04519"/>
    <w:rsid w:val="00A10022"/>
    <w:rsid w:val="00A148CE"/>
    <w:rsid w:val="00A24465"/>
    <w:rsid w:val="00A26B1D"/>
    <w:rsid w:val="00A40610"/>
    <w:rsid w:val="00A4220E"/>
    <w:rsid w:val="00A44A63"/>
    <w:rsid w:val="00A625F7"/>
    <w:rsid w:val="00A64A5B"/>
    <w:rsid w:val="00A73E47"/>
    <w:rsid w:val="00A74365"/>
    <w:rsid w:val="00A921E6"/>
    <w:rsid w:val="00AA5A63"/>
    <w:rsid w:val="00AB4FAD"/>
    <w:rsid w:val="00AC50D8"/>
    <w:rsid w:val="00AD29A3"/>
    <w:rsid w:val="00AE4A31"/>
    <w:rsid w:val="00AF1CE1"/>
    <w:rsid w:val="00AF3C2A"/>
    <w:rsid w:val="00B016CA"/>
    <w:rsid w:val="00B14C37"/>
    <w:rsid w:val="00B17757"/>
    <w:rsid w:val="00B2188F"/>
    <w:rsid w:val="00B35205"/>
    <w:rsid w:val="00B430EE"/>
    <w:rsid w:val="00B53F63"/>
    <w:rsid w:val="00B54440"/>
    <w:rsid w:val="00B554E7"/>
    <w:rsid w:val="00B60843"/>
    <w:rsid w:val="00B613BB"/>
    <w:rsid w:val="00B61E3B"/>
    <w:rsid w:val="00B75589"/>
    <w:rsid w:val="00B87ABB"/>
    <w:rsid w:val="00B9025C"/>
    <w:rsid w:val="00BA1DC6"/>
    <w:rsid w:val="00BA4686"/>
    <w:rsid w:val="00BA7AF2"/>
    <w:rsid w:val="00BB038D"/>
    <w:rsid w:val="00BD49FB"/>
    <w:rsid w:val="00BD7232"/>
    <w:rsid w:val="00BE00CD"/>
    <w:rsid w:val="00BE1921"/>
    <w:rsid w:val="00BE3AA2"/>
    <w:rsid w:val="00C019D8"/>
    <w:rsid w:val="00C035B5"/>
    <w:rsid w:val="00C03744"/>
    <w:rsid w:val="00C03BFF"/>
    <w:rsid w:val="00C27963"/>
    <w:rsid w:val="00C35176"/>
    <w:rsid w:val="00C4469C"/>
    <w:rsid w:val="00C44740"/>
    <w:rsid w:val="00C46CBE"/>
    <w:rsid w:val="00C53205"/>
    <w:rsid w:val="00C53790"/>
    <w:rsid w:val="00C55731"/>
    <w:rsid w:val="00C55D10"/>
    <w:rsid w:val="00C66E1E"/>
    <w:rsid w:val="00C676BA"/>
    <w:rsid w:val="00C81AB4"/>
    <w:rsid w:val="00C857BF"/>
    <w:rsid w:val="00C872BA"/>
    <w:rsid w:val="00C97CD5"/>
    <w:rsid w:val="00CA48A5"/>
    <w:rsid w:val="00CA4EF8"/>
    <w:rsid w:val="00CB5A61"/>
    <w:rsid w:val="00CC7384"/>
    <w:rsid w:val="00D2102C"/>
    <w:rsid w:val="00D23E6F"/>
    <w:rsid w:val="00D2428C"/>
    <w:rsid w:val="00D268B8"/>
    <w:rsid w:val="00D31624"/>
    <w:rsid w:val="00D36D52"/>
    <w:rsid w:val="00D441A4"/>
    <w:rsid w:val="00D56DEA"/>
    <w:rsid w:val="00D63CE3"/>
    <w:rsid w:val="00D710EA"/>
    <w:rsid w:val="00D81172"/>
    <w:rsid w:val="00D830D2"/>
    <w:rsid w:val="00D920FD"/>
    <w:rsid w:val="00D92ED7"/>
    <w:rsid w:val="00DA0D64"/>
    <w:rsid w:val="00DA5179"/>
    <w:rsid w:val="00DB059A"/>
    <w:rsid w:val="00DC2A3E"/>
    <w:rsid w:val="00DC2C74"/>
    <w:rsid w:val="00DC7C62"/>
    <w:rsid w:val="00DE4C02"/>
    <w:rsid w:val="00DE53CA"/>
    <w:rsid w:val="00DF4B52"/>
    <w:rsid w:val="00DF6A55"/>
    <w:rsid w:val="00E04A37"/>
    <w:rsid w:val="00E06CBF"/>
    <w:rsid w:val="00E11567"/>
    <w:rsid w:val="00E136BC"/>
    <w:rsid w:val="00E2321D"/>
    <w:rsid w:val="00E30C8F"/>
    <w:rsid w:val="00E3241C"/>
    <w:rsid w:val="00E3310A"/>
    <w:rsid w:val="00E33B9E"/>
    <w:rsid w:val="00E33C1C"/>
    <w:rsid w:val="00E67206"/>
    <w:rsid w:val="00E737BC"/>
    <w:rsid w:val="00E83F69"/>
    <w:rsid w:val="00E84BB5"/>
    <w:rsid w:val="00E85E7E"/>
    <w:rsid w:val="00E9406E"/>
    <w:rsid w:val="00E95973"/>
    <w:rsid w:val="00EA31FE"/>
    <w:rsid w:val="00EA320E"/>
    <w:rsid w:val="00EA340A"/>
    <w:rsid w:val="00EA5AD6"/>
    <w:rsid w:val="00EB0368"/>
    <w:rsid w:val="00EB1B4B"/>
    <w:rsid w:val="00EC2D26"/>
    <w:rsid w:val="00EC2FDD"/>
    <w:rsid w:val="00EC5886"/>
    <w:rsid w:val="00ED2437"/>
    <w:rsid w:val="00EE02A8"/>
    <w:rsid w:val="00EE3803"/>
    <w:rsid w:val="00F0149B"/>
    <w:rsid w:val="00F030C2"/>
    <w:rsid w:val="00F07716"/>
    <w:rsid w:val="00F1721B"/>
    <w:rsid w:val="00F172D8"/>
    <w:rsid w:val="00F23FCB"/>
    <w:rsid w:val="00F66190"/>
    <w:rsid w:val="00F81C66"/>
    <w:rsid w:val="00F823F4"/>
    <w:rsid w:val="00F8646A"/>
    <w:rsid w:val="00F876DE"/>
    <w:rsid w:val="00F9131A"/>
    <w:rsid w:val="00F915AB"/>
    <w:rsid w:val="00F97E22"/>
    <w:rsid w:val="00FA1749"/>
    <w:rsid w:val="00FA4236"/>
    <w:rsid w:val="00FA5070"/>
    <w:rsid w:val="00FB2DCF"/>
    <w:rsid w:val="00FB7688"/>
    <w:rsid w:val="00FC4A83"/>
    <w:rsid w:val="00FD2343"/>
    <w:rsid w:val="00FE1E93"/>
    <w:rsid w:val="00FE2A00"/>
    <w:rsid w:val="00FF1750"/>
    <w:rsid w:val="00FF6E98"/>
    <w:rsid w:val="07150683"/>
    <w:rsid w:val="0FB5408F"/>
    <w:rsid w:val="14D53EE5"/>
    <w:rsid w:val="184F17AB"/>
    <w:rsid w:val="1AD81BF2"/>
    <w:rsid w:val="1BEC742C"/>
    <w:rsid w:val="1FE468C6"/>
    <w:rsid w:val="208268EC"/>
    <w:rsid w:val="2A7C013C"/>
    <w:rsid w:val="2A821579"/>
    <w:rsid w:val="2DD131C6"/>
    <w:rsid w:val="2E9278E2"/>
    <w:rsid w:val="2EF76197"/>
    <w:rsid w:val="300039B1"/>
    <w:rsid w:val="3395195A"/>
    <w:rsid w:val="33F12D64"/>
    <w:rsid w:val="35933869"/>
    <w:rsid w:val="36265468"/>
    <w:rsid w:val="3F7B1C31"/>
    <w:rsid w:val="411E5593"/>
    <w:rsid w:val="495B2848"/>
    <w:rsid w:val="4BAD18DA"/>
    <w:rsid w:val="4CE038D4"/>
    <w:rsid w:val="4EFC0DA6"/>
    <w:rsid w:val="4F785859"/>
    <w:rsid w:val="57CC0FC7"/>
    <w:rsid w:val="5D7D1270"/>
    <w:rsid w:val="65225B79"/>
    <w:rsid w:val="6A3D5E23"/>
    <w:rsid w:val="6A923527"/>
    <w:rsid w:val="6D814CBA"/>
    <w:rsid w:val="6E3521F3"/>
    <w:rsid w:val="71E83163"/>
    <w:rsid w:val="7CB116B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2" w:lineRule="auto"/>
      <w:jc w:val="both"/>
    </w:pPr>
    <w:rPr>
      <w:rFonts w:asciiTheme="minorHAnsi" w:hAnsiTheme="minorHAnsi" w:eastAsiaTheme="minorEastAsia" w:cstheme="minorBidi"/>
      <w:sz w:val="22"/>
      <w:szCs w:val="22"/>
      <w:lang w:val="en-US" w:eastAsia="zh-CN" w:bidi="ar-SA"/>
    </w:rPr>
  </w:style>
  <w:style w:type="paragraph" w:styleId="3">
    <w:name w:val="heading 1"/>
    <w:basedOn w:val="1"/>
    <w:next w:val="1"/>
    <w:link w:val="32"/>
    <w:qFormat/>
    <w:uiPriority w:val="9"/>
    <w:pPr>
      <w:keepNext/>
      <w:keepLines/>
      <w:spacing w:before="320" w:after="40"/>
      <w:outlineLvl w:val="0"/>
    </w:pPr>
    <w:rPr>
      <w:rFonts w:asciiTheme="majorHAnsi" w:hAnsiTheme="majorHAnsi" w:eastAsiaTheme="majorEastAsia" w:cstheme="majorBidi"/>
      <w:b/>
      <w:bCs/>
      <w:caps/>
      <w:spacing w:val="4"/>
      <w:sz w:val="28"/>
      <w:szCs w:val="28"/>
    </w:rPr>
  </w:style>
  <w:style w:type="paragraph" w:styleId="4">
    <w:name w:val="heading 2"/>
    <w:basedOn w:val="1"/>
    <w:next w:val="1"/>
    <w:link w:val="33"/>
    <w:semiHidden/>
    <w:unhideWhenUsed/>
    <w:qFormat/>
    <w:uiPriority w:val="9"/>
    <w:pPr>
      <w:keepNext/>
      <w:keepLines/>
      <w:spacing w:before="120" w:after="0"/>
      <w:outlineLvl w:val="1"/>
    </w:pPr>
    <w:rPr>
      <w:rFonts w:asciiTheme="majorHAnsi" w:hAnsiTheme="majorHAnsi" w:eastAsiaTheme="majorEastAsia" w:cstheme="majorBidi"/>
      <w:b/>
      <w:bCs/>
      <w:sz w:val="28"/>
      <w:szCs w:val="28"/>
    </w:rPr>
  </w:style>
  <w:style w:type="paragraph" w:styleId="5">
    <w:name w:val="heading 3"/>
    <w:basedOn w:val="1"/>
    <w:next w:val="1"/>
    <w:link w:val="34"/>
    <w:semiHidden/>
    <w:unhideWhenUsed/>
    <w:qFormat/>
    <w:uiPriority w:val="9"/>
    <w:pPr>
      <w:keepNext/>
      <w:keepLines/>
      <w:spacing w:before="120" w:after="0"/>
      <w:outlineLvl w:val="2"/>
    </w:pPr>
    <w:rPr>
      <w:rFonts w:asciiTheme="majorHAnsi" w:hAnsiTheme="majorHAnsi" w:eastAsiaTheme="majorEastAsia" w:cstheme="majorBidi"/>
      <w:spacing w:val="4"/>
      <w:sz w:val="24"/>
      <w:szCs w:val="24"/>
    </w:rPr>
  </w:style>
  <w:style w:type="paragraph" w:styleId="6">
    <w:name w:val="heading 4"/>
    <w:basedOn w:val="1"/>
    <w:next w:val="1"/>
    <w:link w:val="35"/>
    <w:semiHidden/>
    <w:unhideWhenUsed/>
    <w:qFormat/>
    <w:uiPriority w:val="9"/>
    <w:pPr>
      <w:keepNext/>
      <w:keepLines/>
      <w:spacing w:before="120" w:after="0"/>
      <w:outlineLvl w:val="3"/>
    </w:pPr>
    <w:rPr>
      <w:rFonts w:asciiTheme="majorHAnsi" w:hAnsiTheme="majorHAnsi" w:eastAsiaTheme="majorEastAsia" w:cstheme="majorBidi"/>
      <w:i/>
      <w:iCs/>
      <w:sz w:val="24"/>
      <w:szCs w:val="24"/>
    </w:rPr>
  </w:style>
  <w:style w:type="paragraph" w:styleId="7">
    <w:name w:val="heading 5"/>
    <w:basedOn w:val="1"/>
    <w:next w:val="1"/>
    <w:link w:val="36"/>
    <w:semiHidden/>
    <w:unhideWhenUsed/>
    <w:qFormat/>
    <w:uiPriority w:val="9"/>
    <w:pPr>
      <w:keepNext/>
      <w:keepLines/>
      <w:spacing w:before="120" w:after="0"/>
      <w:outlineLvl w:val="4"/>
    </w:pPr>
    <w:rPr>
      <w:rFonts w:asciiTheme="majorHAnsi" w:hAnsiTheme="majorHAnsi" w:eastAsiaTheme="majorEastAsia" w:cstheme="majorBidi"/>
      <w:b/>
      <w:bCs/>
    </w:rPr>
  </w:style>
  <w:style w:type="paragraph" w:styleId="8">
    <w:name w:val="heading 6"/>
    <w:basedOn w:val="1"/>
    <w:next w:val="1"/>
    <w:link w:val="37"/>
    <w:semiHidden/>
    <w:unhideWhenUsed/>
    <w:qFormat/>
    <w:uiPriority w:val="9"/>
    <w:pPr>
      <w:keepNext/>
      <w:keepLines/>
      <w:spacing w:before="120" w:after="0"/>
      <w:outlineLvl w:val="5"/>
    </w:pPr>
    <w:rPr>
      <w:rFonts w:asciiTheme="majorHAnsi" w:hAnsiTheme="majorHAnsi" w:eastAsiaTheme="majorEastAsia" w:cstheme="majorBidi"/>
      <w:b/>
      <w:bCs/>
      <w:i/>
      <w:iCs/>
    </w:rPr>
  </w:style>
  <w:style w:type="paragraph" w:styleId="9">
    <w:name w:val="heading 7"/>
    <w:basedOn w:val="1"/>
    <w:next w:val="1"/>
    <w:link w:val="38"/>
    <w:semiHidden/>
    <w:unhideWhenUsed/>
    <w:qFormat/>
    <w:uiPriority w:val="9"/>
    <w:pPr>
      <w:keepNext/>
      <w:keepLines/>
      <w:spacing w:before="120" w:after="0"/>
      <w:outlineLvl w:val="6"/>
    </w:pPr>
    <w:rPr>
      <w:i/>
      <w:iCs/>
    </w:rPr>
  </w:style>
  <w:style w:type="paragraph" w:styleId="10">
    <w:name w:val="heading 8"/>
    <w:basedOn w:val="1"/>
    <w:next w:val="1"/>
    <w:link w:val="39"/>
    <w:semiHidden/>
    <w:unhideWhenUsed/>
    <w:qFormat/>
    <w:uiPriority w:val="9"/>
    <w:pPr>
      <w:keepNext/>
      <w:keepLines/>
      <w:spacing w:before="120" w:after="0"/>
      <w:outlineLvl w:val="7"/>
    </w:pPr>
    <w:rPr>
      <w:b/>
      <w:bCs/>
    </w:rPr>
  </w:style>
  <w:style w:type="paragraph" w:styleId="11">
    <w:name w:val="heading 9"/>
    <w:basedOn w:val="1"/>
    <w:next w:val="1"/>
    <w:link w:val="40"/>
    <w:semiHidden/>
    <w:unhideWhenUsed/>
    <w:qFormat/>
    <w:uiPriority w:val="9"/>
    <w:pPr>
      <w:keepNext/>
      <w:keepLines/>
      <w:spacing w:before="120" w:after="0"/>
      <w:outlineLvl w:val="8"/>
    </w:pPr>
    <w:rPr>
      <w:i/>
      <w:iCs/>
    </w:rPr>
  </w:style>
  <w:style w:type="character" w:default="1" w:styleId="27">
    <w:name w:val="Default Paragraph Font"/>
    <w:semiHidden/>
    <w:unhideWhenUsed/>
    <w:qFormat/>
    <w:uiPriority w:val="1"/>
  </w:style>
  <w:style w:type="table" w:default="1" w:styleId="25">
    <w:name w:val="Normal Table"/>
    <w:semiHidden/>
    <w:unhideWhenUsed/>
    <w:uiPriority w:val="99"/>
    <w:tblPr>
      <w:tblCellMar>
        <w:top w:w="0" w:type="dxa"/>
        <w:left w:w="108" w:type="dxa"/>
        <w:bottom w:w="0" w:type="dxa"/>
        <w:right w:w="108" w:type="dxa"/>
      </w:tblCellMar>
    </w:tblPr>
  </w:style>
  <w:style w:type="paragraph" w:styleId="2">
    <w:name w:val="Body Text"/>
    <w:basedOn w:val="1"/>
    <w:link w:val="62"/>
    <w:semiHidden/>
    <w:unhideWhenUsed/>
    <w:qFormat/>
    <w:uiPriority w:val="99"/>
    <w:pPr>
      <w:spacing w:after="120"/>
    </w:pPr>
  </w:style>
  <w:style w:type="paragraph" w:styleId="12">
    <w:name w:val="Normal Indent"/>
    <w:basedOn w:val="1"/>
    <w:qFormat/>
    <w:uiPriority w:val="0"/>
    <w:pPr>
      <w:widowControl w:val="0"/>
      <w:spacing w:after="0" w:line="240" w:lineRule="auto"/>
      <w:ind w:firstLine="420"/>
    </w:pPr>
    <w:rPr>
      <w:rFonts w:ascii="Times New Roman" w:hAnsi="Times New Roman" w:eastAsia="宋体" w:cs="Times New Roman"/>
      <w:kern w:val="2"/>
      <w:sz w:val="21"/>
      <w:szCs w:val="20"/>
    </w:rPr>
  </w:style>
  <w:style w:type="paragraph" w:styleId="13">
    <w:name w:val="caption"/>
    <w:basedOn w:val="1"/>
    <w:next w:val="1"/>
    <w:semiHidden/>
    <w:unhideWhenUsed/>
    <w:qFormat/>
    <w:uiPriority w:val="35"/>
    <w:rPr>
      <w:b/>
      <w:bCs/>
      <w:sz w:val="18"/>
      <w:szCs w:val="18"/>
    </w:rPr>
  </w:style>
  <w:style w:type="paragraph" w:styleId="14">
    <w:name w:val="toc 3"/>
    <w:basedOn w:val="1"/>
    <w:next w:val="1"/>
    <w:unhideWhenUsed/>
    <w:qFormat/>
    <w:uiPriority w:val="39"/>
    <w:pPr>
      <w:spacing w:after="100" w:line="259" w:lineRule="auto"/>
      <w:ind w:left="440"/>
      <w:jc w:val="left"/>
    </w:pPr>
    <w:rPr>
      <w:rFonts w:cs="Times New Roman"/>
    </w:rPr>
  </w:style>
  <w:style w:type="paragraph" w:styleId="15">
    <w:name w:val="Plain Text"/>
    <w:basedOn w:val="1"/>
    <w:link w:val="61"/>
    <w:unhideWhenUsed/>
    <w:qFormat/>
    <w:uiPriority w:val="0"/>
    <w:rPr>
      <w:rFonts w:hAnsi="Courier New" w:cs="Courier New" w:asciiTheme="minorEastAsia"/>
    </w:rPr>
  </w:style>
  <w:style w:type="paragraph" w:styleId="16">
    <w:name w:val="Balloon Text"/>
    <w:basedOn w:val="1"/>
    <w:link w:val="66"/>
    <w:semiHidden/>
    <w:unhideWhenUsed/>
    <w:qFormat/>
    <w:uiPriority w:val="99"/>
    <w:pPr>
      <w:spacing w:after="0" w:line="240" w:lineRule="auto"/>
    </w:pPr>
    <w:rPr>
      <w:sz w:val="18"/>
      <w:szCs w:val="18"/>
    </w:rPr>
  </w:style>
  <w:style w:type="paragraph" w:styleId="17">
    <w:name w:val="footer"/>
    <w:basedOn w:val="1"/>
    <w:link w:val="57"/>
    <w:unhideWhenUsed/>
    <w:qFormat/>
    <w:uiPriority w:val="99"/>
    <w:pPr>
      <w:tabs>
        <w:tab w:val="center" w:pos="4153"/>
        <w:tab w:val="right" w:pos="8306"/>
      </w:tabs>
      <w:snapToGrid w:val="0"/>
      <w:spacing w:line="240" w:lineRule="auto"/>
      <w:jc w:val="left"/>
    </w:pPr>
    <w:rPr>
      <w:sz w:val="18"/>
      <w:szCs w:val="18"/>
    </w:rPr>
  </w:style>
  <w:style w:type="paragraph" w:styleId="18">
    <w:name w:val="header"/>
    <w:basedOn w:val="1"/>
    <w:link w:val="56"/>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9">
    <w:name w:val="toc 1"/>
    <w:basedOn w:val="1"/>
    <w:next w:val="1"/>
    <w:unhideWhenUsed/>
    <w:qFormat/>
    <w:uiPriority w:val="39"/>
    <w:pPr>
      <w:spacing w:after="100" w:line="259" w:lineRule="auto"/>
      <w:jc w:val="left"/>
    </w:pPr>
    <w:rPr>
      <w:rFonts w:cs="Times New Roman"/>
    </w:rPr>
  </w:style>
  <w:style w:type="paragraph" w:styleId="20">
    <w:name w:val="Subtitle"/>
    <w:basedOn w:val="1"/>
    <w:next w:val="1"/>
    <w:link w:val="42"/>
    <w:qFormat/>
    <w:uiPriority w:val="11"/>
    <w:pPr>
      <w:spacing w:after="240"/>
      <w:jc w:val="center"/>
    </w:pPr>
    <w:rPr>
      <w:rFonts w:asciiTheme="majorHAnsi" w:hAnsiTheme="majorHAnsi" w:eastAsiaTheme="majorEastAsia" w:cstheme="majorBidi"/>
      <w:sz w:val="24"/>
      <w:szCs w:val="24"/>
    </w:rPr>
  </w:style>
  <w:style w:type="paragraph" w:styleId="21">
    <w:name w:val="Body Text Indent 3"/>
    <w:basedOn w:val="1"/>
    <w:link w:val="59"/>
    <w:qFormat/>
    <w:uiPriority w:val="0"/>
    <w:pPr>
      <w:widowControl w:val="0"/>
      <w:spacing w:after="120" w:line="240" w:lineRule="auto"/>
      <w:ind w:left="420" w:leftChars="200"/>
    </w:pPr>
    <w:rPr>
      <w:rFonts w:ascii="Times New Roman" w:hAnsi="Times New Roman" w:eastAsia="宋体" w:cs="Times New Roman"/>
      <w:kern w:val="2"/>
      <w:sz w:val="16"/>
      <w:szCs w:val="16"/>
    </w:rPr>
  </w:style>
  <w:style w:type="paragraph" w:styleId="22">
    <w:name w:val="toc 2"/>
    <w:basedOn w:val="1"/>
    <w:next w:val="1"/>
    <w:unhideWhenUsed/>
    <w:qFormat/>
    <w:uiPriority w:val="39"/>
    <w:pPr>
      <w:spacing w:after="100" w:line="259" w:lineRule="auto"/>
      <w:ind w:left="220"/>
      <w:jc w:val="left"/>
    </w:pPr>
    <w:rPr>
      <w:rFonts w:cs="Times New Roman"/>
    </w:rPr>
  </w:style>
  <w:style w:type="paragraph" w:styleId="23">
    <w:name w:val="Normal (Web)"/>
    <w:basedOn w:val="1"/>
    <w:semiHidden/>
    <w:unhideWhenUsed/>
    <w:qFormat/>
    <w:uiPriority w:val="99"/>
    <w:pPr>
      <w:spacing w:beforeAutospacing="1" w:after="0" w:afterAutospacing="1"/>
      <w:jc w:val="left"/>
    </w:pPr>
    <w:rPr>
      <w:rFonts w:cs="Times New Roman"/>
      <w:sz w:val="24"/>
    </w:rPr>
  </w:style>
  <w:style w:type="paragraph" w:styleId="24">
    <w:name w:val="Title"/>
    <w:basedOn w:val="1"/>
    <w:next w:val="1"/>
    <w:link w:val="41"/>
    <w:qFormat/>
    <w:uiPriority w:val="10"/>
    <w:pPr>
      <w:spacing w:after="0" w:line="240" w:lineRule="auto"/>
      <w:contextualSpacing/>
      <w:jc w:val="center"/>
    </w:pPr>
    <w:rPr>
      <w:rFonts w:asciiTheme="majorHAnsi" w:hAnsiTheme="majorHAnsi" w:eastAsiaTheme="majorEastAsia" w:cstheme="majorBidi"/>
      <w:b/>
      <w:bCs/>
      <w:spacing w:val="-7"/>
      <w:sz w:val="48"/>
      <w:szCs w:val="48"/>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color w:val="auto"/>
    </w:rPr>
  </w:style>
  <w:style w:type="character" w:styleId="29">
    <w:name w:val="page number"/>
    <w:basedOn w:val="27"/>
    <w:qFormat/>
    <w:uiPriority w:val="99"/>
    <w:rPr>
      <w:rFonts w:cs="Times New Roman"/>
    </w:rPr>
  </w:style>
  <w:style w:type="character" w:styleId="30">
    <w:name w:val="Emphasis"/>
    <w:basedOn w:val="27"/>
    <w:qFormat/>
    <w:uiPriority w:val="20"/>
    <w:rPr>
      <w:i/>
      <w:iCs/>
      <w:color w:val="auto"/>
    </w:rPr>
  </w:style>
  <w:style w:type="character" w:styleId="31">
    <w:name w:val="Hyperlink"/>
    <w:basedOn w:val="27"/>
    <w:unhideWhenUsed/>
    <w:qFormat/>
    <w:uiPriority w:val="99"/>
    <w:rPr>
      <w:color w:val="F49100"/>
      <w:u w:val="single"/>
    </w:rPr>
  </w:style>
  <w:style w:type="character" w:customStyle="1" w:styleId="32">
    <w:name w:val="标题 1 字符"/>
    <w:basedOn w:val="27"/>
    <w:link w:val="3"/>
    <w:qFormat/>
    <w:uiPriority w:val="9"/>
    <w:rPr>
      <w:rFonts w:asciiTheme="majorHAnsi" w:hAnsiTheme="majorHAnsi" w:eastAsiaTheme="majorEastAsia" w:cstheme="majorBidi"/>
      <w:b/>
      <w:bCs/>
      <w:caps/>
      <w:spacing w:val="4"/>
      <w:sz w:val="28"/>
      <w:szCs w:val="28"/>
    </w:rPr>
  </w:style>
  <w:style w:type="character" w:customStyle="1" w:styleId="33">
    <w:name w:val="标题 2 字符"/>
    <w:basedOn w:val="27"/>
    <w:link w:val="4"/>
    <w:semiHidden/>
    <w:qFormat/>
    <w:uiPriority w:val="9"/>
    <w:rPr>
      <w:rFonts w:asciiTheme="majorHAnsi" w:hAnsiTheme="majorHAnsi" w:eastAsiaTheme="majorEastAsia" w:cstheme="majorBidi"/>
      <w:b/>
      <w:bCs/>
      <w:sz w:val="28"/>
      <w:szCs w:val="28"/>
    </w:rPr>
  </w:style>
  <w:style w:type="character" w:customStyle="1" w:styleId="34">
    <w:name w:val="标题 3 字符"/>
    <w:basedOn w:val="27"/>
    <w:link w:val="5"/>
    <w:semiHidden/>
    <w:qFormat/>
    <w:uiPriority w:val="9"/>
    <w:rPr>
      <w:rFonts w:asciiTheme="majorHAnsi" w:hAnsiTheme="majorHAnsi" w:eastAsiaTheme="majorEastAsia" w:cstheme="majorBidi"/>
      <w:spacing w:val="4"/>
      <w:sz w:val="24"/>
      <w:szCs w:val="24"/>
    </w:rPr>
  </w:style>
  <w:style w:type="character" w:customStyle="1" w:styleId="35">
    <w:name w:val="标题 4 字符"/>
    <w:basedOn w:val="27"/>
    <w:link w:val="6"/>
    <w:semiHidden/>
    <w:qFormat/>
    <w:uiPriority w:val="9"/>
    <w:rPr>
      <w:rFonts w:asciiTheme="majorHAnsi" w:hAnsiTheme="majorHAnsi" w:eastAsiaTheme="majorEastAsia" w:cstheme="majorBidi"/>
      <w:i/>
      <w:iCs/>
      <w:sz w:val="24"/>
      <w:szCs w:val="24"/>
    </w:rPr>
  </w:style>
  <w:style w:type="character" w:customStyle="1" w:styleId="36">
    <w:name w:val="标题 5 字符"/>
    <w:basedOn w:val="27"/>
    <w:link w:val="7"/>
    <w:semiHidden/>
    <w:qFormat/>
    <w:uiPriority w:val="9"/>
    <w:rPr>
      <w:rFonts w:asciiTheme="majorHAnsi" w:hAnsiTheme="majorHAnsi" w:eastAsiaTheme="majorEastAsia" w:cstheme="majorBidi"/>
      <w:b/>
      <w:bCs/>
    </w:rPr>
  </w:style>
  <w:style w:type="character" w:customStyle="1" w:styleId="37">
    <w:name w:val="标题 6 字符"/>
    <w:basedOn w:val="27"/>
    <w:link w:val="8"/>
    <w:semiHidden/>
    <w:qFormat/>
    <w:uiPriority w:val="9"/>
    <w:rPr>
      <w:rFonts w:asciiTheme="majorHAnsi" w:hAnsiTheme="majorHAnsi" w:eastAsiaTheme="majorEastAsia" w:cstheme="majorBidi"/>
      <w:b/>
      <w:bCs/>
      <w:i/>
      <w:iCs/>
    </w:rPr>
  </w:style>
  <w:style w:type="character" w:customStyle="1" w:styleId="38">
    <w:name w:val="标题 7 字符"/>
    <w:basedOn w:val="27"/>
    <w:link w:val="9"/>
    <w:semiHidden/>
    <w:qFormat/>
    <w:uiPriority w:val="9"/>
    <w:rPr>
      <w:i/>
      <w:iCs/>
    </w:rPr>
  </w:style>
  <w:style w:type="character" w:customStyle="1" w:styleId="39">
    <w:name w:val="标题 8 字符"/>
    <w:basedOn w:val="27"/>
    <w:link w:val="10"/>
    <w:semiHidden/>
    <w:qFormat/>
    <w:uiPriority w:val="9"/>
    <w:rPr>
      <w:b/>
      <w:bCs/>
    </w:rPr>
  </w:style>
  <w:style w:type="character" w:customStyle="1" w:styleId="40">
    <w:name w:val="标题 9 字符"/>
    <w:basedOn w:val="27"/>
    <w:link w:val="11"/>
    <w:semiHidden/>
    <w:qFormat/>
    <w:uiPriority w:val="9"/>
    <w:rPr>
      <w:i/>
      <w:iCs/>
    </w:rPr>
  </w:style>
  <w:style w:type="character" w:customStyle="1" w:styleId="41">
    <w:name w:val="标题 字符"/>
    <w:basedOn w:val="27"/>
    <w:link w:val="24"/>
    <w:qFormat/>
    <w:uiPriority w:val="10"/>
    <w:rPr>
      <w:rFonts w:asciiTheme="majorHAnsi" w:hAnsiTheme="majorHAnsi" w:eastAsiaTheme="majorEastAsia" w:cstheme="majorBidi"/>
      <w:b/>
      <w:bCs/>
      <w:spacing w:val="-7"/>
      <w:sz w:val="48"/>
      <w:szCs w:val="48"/>
    </w:rPr>
  </w:style>
  <w:style w:type="character" w:customStyle="1" w:styleId="42">
    <w:name w:val="副标题 字符"/>
    <w:basedOn w:val="27"/>
    <w:link w:val="20"/>
    <w:qFormat/>
    <w:uiPriority w:val="11"/>
    <w:rPr>
      <w:rFonts w:asciiTheme="majorHAnsi" w:hAnsiTheme="majorHAnsi" w:eastAsiaTheme="majorEastAsia" w:cstheme="majorBidi"/>
      <w:sz w:val="24"/>
      <w:szCs w:val="24"/>
    </w:rPr>
  </w:style>
  <w:style w:type="paragraph" w:styleId="43">
    <w:name w:val="No Spacing"/>
    <w:link w:val="54"/>
    <w:qFormat/>
    <w:uiPriority w:val="1"/>
    <w:pPr>
      <w:jc w:val="both"/>
    </w:pPr>
    <w:rPr>
      <w:rFonts w:asciiTheme="minorHAnsi" w:hAnsiTheme="minorHAnsi" w:eastAsiaTheme="minorEastAsia" w:cstheme="minorBidi"/>
      <w:sz w:val="22"/>
      <w:szCs w:val="22"/>
      <w:lang w:val="en-US" w:eastAsia="zh-CN" w:bidi="ar-SA"/>
    </w:rPr>
  </w:style>
  <w:style w:type="paragraph" w:styleId="44">
    <w:name w:val="Quote"/>
    <w:basedOn w:val="1"/>
    <w:next w:val="1"/>
    <w:link w:val="45"/>
    <w:qFormat/>
    <w:uiPriority w:val="29"/>
    <w:pPr>
      <w:spacing w:before="200" w:line="264" w:lineRule="auto"/>
      <w:ind w:left="864" w:right="864"/>
      <w:jc w:val="center"/>
    </w:pPr>
    <w:rPr>
      <w:rFonts w:asciiTheme="majorHAnsi" w:hAnsiTheme="majorHAnsi" w:eastAsiaTheme="majorEastAsia" w:cstheme="majorBidi"/>
      <w:i/>
      <w:iCs/>
      <w:sz w:val="24"/>
      <w:szCs w:val="24"/>
    </w:rPr>
  </w:style>
  <w:style w:type="character" w:customStyle="1" w:styleId="45">
    <w:name w:val="引用 字符"/>
    <w:basedOn w:val="27"/>
    <w:link w:val="44"/>
    <w:qFormat/>
    <w:uiPriority w:val="29"/>
    <w:rPr>
      <w:rFonts w:asciiTheme="majorHAnsi" w:hAnsiTheme="majorHAnsi" w:eastAsiaTheme="majorEastAsia" w:cstheme="majorBidi"/>
      <w:i/>
      <w:iCs/>
      <w:sz w:val="24"/>
      <w:szCs w:val="24"/>
    </w:rPr>
  </w:style>
  <w:style w:type="paragraph" w:styleId="46">
    <w:name w:val="Intense Quote"/>
    <w:basedOn w:val="1"/>
    <w:next w:val="1"/>
    <w:link w:val="47"/>
    <w:qFormat/>
    <w:uiPriority w:val="30"/>
    <w:pPr>
      <w:spacing w:before="100" w:beforeAutospacing="1" w:after="240"/>
      <w:ind w:left="936" w:right="936"/>
      <w:jc w:val="center"/>
    </w:pPr>
    <w:rPr>
      <w:rFonts w:asciiTheme="majorHAnsi" w:hAnsiTheme="majorHAnsi" w:eastAsiaTheme="majorEastAsia" w:cstheme="majorBidi"/>
      <w:sz w:val="26"/>
      <w:szCs w:val="26"/>
    </w:rPr>
  </w:style>
  <w:style w:type="character" w:customStyle="1" w:styleId="47">
    <w:name w:val="明显引用 字符"/>
    <w:basedOn w:val="27"/>
    <w:link w:val="46"/>
    <w:qFormat/>
    <w:uiPriority w:val="30"/>
    <w:rPr>
      <w:rFonts w:asciiTheme="majorHAnsi" w:hAnsiTheme="majorHAnsi" w:eastAsiaTheme="majorEastAsia" w:cstheme="majorBidi"/>
      <w:sz w:val="26"/>
      <w:szCs w:val="26"/>
    </w:rPr>
  </w:style>
  <w:style w:type="character" w:customStyle="1" w:styleId="48">
    <w:name w:val="不明显强调1"/>
    <w:basedOn w:val="27"/>
    <w:qFormat/>
    <w:uiPriority w:val="19"/>
    <w:rPr>
      <w:i/>
      <w:iCs/>
      <w:color w:val="auto"/>
    </w:rPr>
  </w:style>
  <w:style w:type="character" w:customStyle="1" w:styleId="49">
    <w:name w:val="明显强调1"/>
    <w:basedOn w:val="27"/>
    <w:qFormat/>
    <w:uiPriority w:val="21"/>
    <w:rPr>
      <w:b/>
      <w:bCs/>
      <w:i/>
      <w:iCs/>
      <w:color w:val="auto"/>
    </w:rPr>
  </w:style>
  <w:style w:type="character" w:customStyle="1" w:styleId="50">
    <w:name w:val="不明显参考1"/>
    <w:basedOn w:val="27"/>
    <w:qFormat/>
    <w:uiPriority w:val="31"/>
    <w:rPr>
      <w:smallCaps/>
      <w:color w:val="auto"/>
      <w:u w:val="single" w:color="7E7E7E" w:themeColor="text1" w:themeTint="80"/>
    </w:rPr>
  </w:style>
  <w:style w:type="character" w:customStyle="1" w:styleId="51">
    <w:name w:val="明显参考1"/>
    <w:basedOn w:val="27"/>
    <w:qFormat/>
    <w:uiPriority w:val="32"/>
    <w:rPr>
      <w:b/>
      <w:bCs/>
      <w:smallCaps/>
      <w:color w:val="auto"/>
      <w:u w:val="single"/>
    </w:rPr>
  </w:style>
  <w:style w:type="character" w:customStyle="1" w:styleId="52">
    <w:name w:val="书籍标题1"/>
    <w:basedOn w:val="27"/>
    <w:qFormat/>
    <w:uiPriority w:val="33"/>
    <w:rPr>
      <w:b/>
      <w:bCs/>
      <w:smallCaps/>
      <w:color w:val="auto"/>
    </w:rPr>
  </w:style>
  <w:style w:type="paragraph" w:customStyle="1" w:styleId="53">
    <w:name w:val="TOC 标题1"/>
    <w:basedOn w:val="3"/>
    <w:next w:val="1"/>
    <w:unhideWhenUsed/>
    <w:qFormat/>
    <w:uiPriority w:val="39"/>
    <w:pPr>
      <w:outlineLvl w:val="9"/>
    </w:pPr>
  </w:style>
  <w:style w:type="character" w:customStyle="1" w:styleId="54">
    <w:name w:val="无间隔 字符"/>
    <w:basedOn w:val="27"/>
    <w:link w:val="43"/>
    <w:qFormat/>
    <w:uiPriority w:val="1"/>
  </w:style>
  <w:style w:type="paragraph" w:customStyle="1" w:styleId="55">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56">
    <w:name w:val="页眉 字符"/>
    <w:basedOn w:val="27"/>
    <w:link w:val="18"/>
    <w:qFormat/>
    <w:uiPriority w:val="99"/>
    <w:rPr>
      <w:sz w:val="18"/>
      <w:szCs w:val="18"/>
    </w:rPr>
  </w:style>
  <w:style w:type="character" w:customStyle="1" w:styleId="57">
    <w:name w:val="页脚 字符"/>
    <w:basedOn w:val="27"/>
    <w:link w:val="17"/>
    <w:qFormat/>
    <w:uiPriority w:val="99"/>
    <w:rPr>
      <w:sz w:val="18"/>
      <w:szCs w:val="18"/>
    </w:rPr>
  </w:style>
  <w:style w:type="paragraph" w:styleId="58">
    <w:name w:val="List Paragraph"/>
    <w:basedOn w:val="1"/>
    <w:qFormat/>
    <w:uiPriority w:val="34"/>
    <w:pPr>
      <w:ind w:firstLine="420" w:firstLineChars="200"/>
    </w:pPr>
  </w:style>
  <w:style w:type="character" w:customStyle="1" w:styleId="59">
    <w:name w:val="正文文本缩进 3 字符"/>
    <w:basedOn w:val="27"/>
    <w:link w:val="21"/>
    <w:qFormat/>
    <w:uiPriority w:val="0"/>
    <w:rPr>
      <w:rFonts w:ascii="Times New Roman" w:hAnsi="Times New Roman" w:eastAsia="宋体" w:cs="Times New Roman"/>
      <w:kern w:val="2"/>
      <w:sz w:val="16"/>
      <w:szCs w:val="16"/>
    </w:rPr>
  </w:style>
  <w:style w:type="paragraph" w:customStyle="1" w:styleId="60">
    <w:name w:val="样式3"/>
    <w:basedOn w:val="15"/>
    <w:qFormat/>
    <w:uiPriority w:val="0"/>
    <w:pPr>
      <w:widowControl w:val="0"/>
      <w:spacing w:after="0" w:line="0" w:lineRule="atLeast"/>
      <w:outlineLvl w:val="0"/>
    </w:pPr>
    <w:rPr>
      <w:rFonts w:ascii="宋体" w:eastAsia="宋体" w:cs="Times New Roman"/>
      <w:kern w:val="2"/>
      <w:sz w:val="28"/>
      <w:szCs w:val="20"/>
    </w:rPr>
  </w:style>
  <w:style w:type="character" w:customStyle="1" w:styleId="61">
    <w:name w:val="纯文本 字符"/>
    <w:basedOn w:val="27"/>
    <w:link w:val="15"/>
    <w:semiHidden/>
    <w:qFormat/>
    <w:uiPriority w:val="99"/>
    <w:rPr>
      <w:rFonts w:hAnsi="Courier New" w:cs="Courier New" w:asciiTheme="minorEastAsia"/>
    </w:rPr>
  </w:style>
  <w:style w:type="character" w:customStyle="1" w:styleId="62">
    <w:name w:val="正文文本 字符"/>
    <w:basedOn w:val="27"/>
    <w:link w:val="2"/>
    <w:semiHidden/>
    <w:qFormat/>
    <w:uiPriority w:val="99"/>
  </w:style>
  <w:style w:type="character" w:customStyle="1" w:styleId="63">
    <w:name w:val="纯文本 Char"/>
    <w:qFormat/>
    <w:uiPriority w:val="0"/>
    <w:rPr>
      <w:rFonts w:ascii="宋体" w:hAnsi="Courier New" w:eastAsia="宋体"/>
      <w:kern w:val="2"/>
      <w:sz w:val="21"/>
      <w:lang w:val="en-US" w:eastAsia="zh-CN" w:bidi="ar-SA"/>
    </w:rPr>
  </w:style>
  <w:style w:type="character" w:customStyle="1" w:styleId="64">
    <w:name w:val="font11"/>
    <w:basedOn w:val="27"/>
    <w:qFormat/>
    <w:uiPriority w:val="0"/>
    <w:rPr>
      <w:rFonts w:hint="eastAsia" w:ascii="微软雅黑" w:hAnsi="微软雅黑" w:eastAsia="微软雅黑" w:cs="微软雅黑"/>
      <w:color w:val="000000"/>
      <w:sz w:val="16"/>
      <w:szCs w:val="16"/>
      <w:u w:val="none"/>
    </w:rPr>
  </w:style>
  <w:style w:type="character" w:customStyle="1" w:styleId="65">
    <w:name w:val="font01"/>
    <w:basedOn w:val="27"/>
    <w:qFormat/>
    <w:uiPriority w:val="0"/>
    <w:rPr>
      <w:rFonts w:hint="eastAsia" w:ascii="微软雅黑" w:hAnsi="微软雅黑" w:eastAsia="微软雅黑" w:cs="微软雅黑"/>
      <w:color w:val="FF0000"/>
      <w:sz w:val="16"/>
      <w:szCs w:val="16"/>
      <w:u w:val="none"/>
    </w:rPr>
  </w:style>
  <w:style w:type="character" w:customStyle="1" w:styleId="66">
    <w:name w:val="批注框文本 字符"/>
    <w:basedOn w:val="27"/>
    <w:link w:val="16"/>
    <w:semiHidden/>
    <w:qFormat/>
    <w:uiPriority w:val="99"/>
    <w:rPr>
      <w:sz w:val="18"/>
      <w:szCs w:val="18"/>
    </w:rPr>
  </w:style>
  <w:style w:type="paragraph" w:customStyle="1" w:styleId="67">
    <w:name w:val="中等深浅网格 1 - 强调文字颜色 21"/>
    <w:basedOn w:val="1"/>
    <w:qFormat/>
    <w:uiPriority w:val="0"/>
    <w:pPr>
      <w:widowControl w:val="0"/>
      <w:spacing w:after="0" w:line="240" w:lineRule="auto"/>
      <w:ind w:firstLine="420" w:firstLineChars="200"/>
    </w:pPr>
    <w:rPr>
      <w:rFonts w:ascii="Times New Roman" w:hAnsi="Times New Roman" w:eastAsia="宋体" w:cs="Times New Roman"/>
      <w:kern w:val="2"/>
      <w:sz w:val="21"/>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theme" Target="theme/theme1.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肥皂">
  <a:themeElements>
    <a:clrScheme name="肥皂">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肥皂">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肥皂">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89A1F-9FCC-4ED2-AC30-C834AF3BBE85}">
  <ds:schemaRefs/>
</ds:datastoreItem>
</file>

<file path=docProps/app.xml><?xml version="1.0" encoding="utf-8"?>
<Properties xmlns="http://schemas.openxmlformats.org/officeDocument/2006/extended-properties" xmlns:vt="http://schemas.openxmlformats.org/officeDocument/2006/docPropsVTypes">
  <Template>Normal</Template>
  <Pages>17</Pages>
  <Words>1148</Words>
  <Characters>6550</Characters>
  <Lines>54</Lines>
  <Paragraphs>15</Paragraphs>
  <TotalTime>2</TotalTime>
  <ScaleCrop>false</ScaleCrop>
  <LinksUpToDate>false</LinksUpToDate>
  <CharactersWithSpaces>7683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2021-09-10T09:53:00Z</dcterms:created>
  <dc:creator>树亮 门</dc:creator>
  <cp:lastModifiedBy>菓il雅琼</cp:lastModifiedBy>
  <dcterms:modified xsi:type="dcterms:W3CDTF">2022-06-26T15:12:15Z</dcterms:modified>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B40CE6FC88E54B7993858A070B2F3E26</vt:lpwstr>
  </property>
</Properties>
</file>