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江西科技学院关于</w:t>
      </w:r>
      <w:bookmarkEnd w:id="0"/>
      <w:r>
        <w:rPr>
          <w:rFonts w:hint="eastAsia" w:ascii="仿宋" w:hAnsi="仿宋" w:eastAsia="仿宋"/>
          <w:b/>
          <w:color w:val="000000" w:themeColor="text1"/>
          <w:sz w:val="44"/>
          <w:szCs w:val="44"/>
          <w14:textFill>
            <w14:solidFill>
              <w14:schemeClr w14:val="tx1"/>
            </w14:solidFill>
          </w14:textFill>
        </w:rPr>
        <w:t>多媒体钢制讲台采购项目</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项目编号：</w:t>
      </w:r>
      <w:bookmarkStart w:id="1" w:name="_Toc160880118"/>
      <w:bookmarkStart w:id="2" w:name="_Toc160880485"/>
      <w:bookmarkStart w:id="3" w:name="_Toc169332792"/>
      <w:r>
        <w:rPr>
          <w:rFonts w:hint="eastAsia" w:ascii="仿宋" w:hAnsi="仿宋" w:eastAsia="仿宋"/>
          <w:b/>
          <w:color w:val="000000" w:themeColor="text1"/>
          <w:sz w:val="30"/>
          <w:szCs w:val="30"/>
          <w14:textFill>
            <w14:solidFill>
              <w14:schemeClr w14:val="tx1"/>
            </w14:solidFill>
          </w14:textFill>
        </w:rPr>
        <w:t>JK2022</w:t>
      </w:r>
      <w:r>
        <w:rPr>
          <w:rFonts w:ascii="仿宋" w:hAnsi="仿宋" w:eastAsia="仿宋"/>
          <w:b/>
          <w:color w:val="000000" w:themeColor="text1"/>
          <w:sz w:val="30"/>
          <w:szCs w:val="30"/>
          <w14:textFill>
            <w14:solidFill>
              <w14:schemeClr w14:val="tx1"/>
            </w14:solidFill>
          </w14:textFill>
        </w:rPr>
        <w:t>0626001</w:t>
      </w:r>
    </w:p>
    <w:p>
      <w:pPr>
        <w:spacing w:line="500" w:lineRule="exact"/>
        <w:ind w:firstLine="1943" w:firstLineChars="645"/>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项目名称</w:t>
      </w:r>
      <w:bookmarkEnd w:id="1"/>
      <w:bookmarkEnd w:id="2"/>
      <w:bookmarkEnd w:id="3"/>
      <w:r>
        <w:rPr>
          <w:rFonts w:hint="eastAsia" w:ascii="仿宋" w:hAnsi="仿宋" w:eastAsia="仿宋"/>
          <w:b/>
          <w:color w:val="000000" w:themeColor="text1"/>
          <w:sz w:val="30"/>
          <w:szCs w:val="30"/>
          <w14:textFill>
            <w14:solidFill>
              <w14:schemeClr w14:val="tx1"/>
            </w14:solidFill>
          </w14:textFill>
        </w:rPr>
        <w:t>：</w:t>
      </w:r>
      <w:bookmarkStart w:id="4" w:name="_Toc217891359"/>
      <w:bookmarkStart w:id="5" w:name="_Toc236021402"/>
      <w:bookmarkStart w:id="6" w:name="_Toc216241307"/>
      <w:bookmarkStart w:id="7" w:name="_Toc266870386"/>
      <w:bookmarkStart w:id="8" w:name="_Toc254790852"/>
      <w:bookmarkStart w:id="9" w:name="_Toc212456146"/>
      <w:bookmarkStart w:id="10" w:name="_Toc235438297"/>
      <w:bookmarkStart w:id="11" w:name="_Toc253066567"/>
      <w:bookmarkStart w:id="12" w:name="_Toc249325665"/>
      <w:bookmarkStart w:id="13" w:name="_Toc267059519"/>
      <w:bookmarkStart w:id="14" w:name="_Toc212454753"/>
      <w:bookmarkStart w:id="15" w:name="_Toc169332794"/>
      <w:bookmarkStart w:id="16" w:name="_Toc267060407"/>
      <w:bookmarkStart w:id="17" w:name="_Toc227058483"/>
      <w:bookmarkStart w:id="18" w:name="_Toc259692693"/>
      <w:bookmarkStart w:id="19" w:name="_Toc235437942"/>
      <w:bookmarkStart w:id="20" w:name="_Toc212530253"/>
      <w:bookmarkStart w:id="21" w:name="_Toc177985424"/>
      <w:bookmarkStart w:id="22" w:name="_Toc169332904"/>
      <w:bookmarkStart w:id="23" w:name="_Toc273178686"/>
      <w:bookmarkStart w:id="24" w:name="_Toc266870861"/>
      <w:bookmarkStart w:id="25" w:name="_Toc211937196"/>
      <w:bookmarkStart w:id="26" w:name="_Toc219800200"/>
      <w:bookmarkStart w:id="27" w:name="_Toc235438227"/>
      <w:bookmarkStart w:id="28" w:name="_Toc255974963"/>
      <w:bookmarkStart w:id="29" w:name="_Toc259692600"/>
      <w:bookmarkStart w:id="30" w:name="_Toc267059786"/>
      <w:bookmarkStart w:id="31" w:name="_Toc207014580"/>
      <w:bookmarkStart w:id="32" w:name="_Toc267059010"/>
      <w:bookmarkStart w:id="33" w:name="_Toc223146565"/>
      <w:bookmarkStart w:id="34" w:name="_Toc251613780"/>
      <w:bookmarkStart w:id="35" w:name="_Toc267060022"/>
      <w:bookmarkStart w:id="36" w:name="_Toc160880487"/>
      <w:bookmarkStart w:id="37" w:name="_Toc251586187"/>
      <w:bookmarkStart w:id="38" w:name="_Toc212526081"/>
      <w:bookmarkStart w:id="39" w:name="_Toc258401210"/>
      <w:bookmarkStart w:id="40" w:name="_Toc267059161"/>
      <w:bookmarkStart w:id="41" w:name="_Toc259520819"/>
      <w:bookmarkStart w:id="42" w:name="_Toc225669277"/>
      <w:bookmarkStart w:id="43" w:name="_Toc267059899"/>
      <w:bookmarkStart w:id="44" w:name="_Toc266868924"/>
      <w:bookmarkStart w:id="45" w:name="_Toc170798743"/>
      <w:bookmarkStart w:id="46" w:name="_Toc267059633"/>
      <w:bookmarkStart w:id="47" w:name="_Toc267060162"/>
      <w:bookmarkStart w:id="48" w:name="_Toc266868624"/>
      <w:r>
        <w:rPr>
          <w:rFonts w:hint="eastAsia" w:ascii="仿宋" w:hAnsi="仿宋" w:eastAsia="仿宋"/>
          <w:b/>
          <w:color w:val="000000" w:themeColor="text1"/>
          <w:sz w:val="32"/>
          <w:szCs w:val="32"/>
          <w14:textFill>
            <w14:solidFill>
              <w14:schemeClr w14:val="tx1"/>
            </w14:solidFill>
          </w14:textFill>
        </w:rPr>
        <w:t>多媒体钢制讲台设备采购项目</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134" w:header="851" w:footer="680" w:gutter="0"/>
          <w:cols w:space="425" w:num="1"/>
          <w:titlePg/>
          <w:docGrid w:type="lines" w:linePitch="312" w:charSpace="0"/>
        </w:sectPr>
      </w:pP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000000" w:themeColor="text1"/>
          <w:sz w:val="44"/>
          <w:szCs w:val="44"/>
          <w14:textFill>
            <w14:solidFill>
              <w14:schemeClr w14:val="tx1"/>
            </w14:solidFill>
          </w14:textFill>
        </w:rPr>
        <w:t>函</w:t>
      </w:r>
    </w:p>
    <w:p>
      <w:pPr>
        <w:spacing w:after="0" w:line="500" w:lineRule="exact"/>
        <w:ind w:firstLine="425" w:firstLineChars="152"/>
        <w:jc w:val="left"/>
        <w:rPr>
          <w:rFonts w:ascii="仿宋" w:hAnsi="仿宋" w:eastAsia="仿宋" w:cs="Times New Roman"/>
          <w:color w:val="000000" w:themeColor="text1"/>
          <w:sz w:val="28"/>
          <w:szCs w:val="28"/>
          <w14:textFill>
            <w14:solidFill>
              <w14:schemeClr w14:val="tx1"/>
            </w14:solidFill>
          </w14:textFill>
        </w:rPr>
      </w:pPr>
      <w:bookmarkStart w:id="49" w:name="_Hlk10840310"/>
      <w:r>
        <w:rPr>
          <w:rFonts w:hint="eastAsia" w:ascii="仿宋" w:hAnsi="仿宋" w:eastAsia="仿宋"/>
          <w:color w:val="000000" w:themeColor="text1"/>
          <w:sz w:val="28"/>
          <w:szCs w:val="28"/>
          <w14:textFill>
            <w14:solidFill>
              <w14:schemeClr w14:val="tx1"/>
            </w14:solidFill>
          </w14:textFill>
        </w:rPr>
        <w:t>按照公开、公平、公正的原则，经学校研究决定，将江西科技学院多媒体钢制讲台设备采购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项目编号：JK2022</w:t>
      </w:r>
      <w:r>
        <w:rPr>
          <w:rFonts w:ascii="仿宋" w:hAnsi="仿宋" w:eastAsia="仿宋"/>
          <w:color w:val="000000" w:themeColor="text1"/>
          <w:sz w:val="28"/>
          <w:szCs w:val="28"/>
          <w14:textFill>
            <w14:solidFill>
              <w14:schemeClr w14:val="tx1"/>
            </w14:solidFill>
          </w14:textFill>
        </w:rPr>
        <w:t>0626001</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项目名称：多媒体钢制讲台设备采购项目</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数量及主要技术要求</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sz w:val="28"/>
          <w:szCs w:val="28"/>
        </w:rPr>
        <w:t>1</w:t>
      </w:r>
      <w:r>
        <w:rPr>
          <w:rFonts w:ascii="仿宋" w:hAnsi="仿宋" w:eastAsia="仿宋"/>
          <w:color w:val="000000" w:themeColor="text1"/>
          <w:sz w:val="28"/>
          <w:szCs w:val="28"/>
          <w14:textFill>
            <w14:solidFill>
              <w14:schemeClr w14:val="tx1"/>
            </w14:solidFill>
          </w14:textFill>
        </w:rPr>
        <w:t xml:space="preserve"> </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参与人资格标准：</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hint="eastAsia" w:ascii="仿宋" w:hAnsi="仿宋" w:eastAsia="仿宋"/>
          <w:b/>
          <w:bCs/>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具有独立承担民事责任能力的生产厂商或授权代理商。</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有提</w:t>
      </w:r>
      <w:r>
        <w:rPr>
          <w:rFonts w:hint="eastAsia" w:ascii="仿宋" w:hAnsi="仿宋" w:eastAsia="仿宋"/>
          <w:color w:val="000000" w:themeColor="text1"/>
          <w:sz w:val="28"/>
          <w:szCs w:val="28"/>
          <w14:textFill>
            <w14:solidFill>
              <w14:schemeClr w14:val="tx1"/>
            </w14:solidFill>
          </w14:textFill>
        </w:rPr>
        <w:t>供多媒体钢制讲台设备销售及服务</w:t>
      </w:r>
      <w:r>
        <w:rPr>
          <w:rFonts w:ascii="仿宋" w:hAnsi="仿宋" w:eastAsia="仿宋"/>
          <w:color w:val="000000" w:themeColor="text1"/>
          <w:sz w:val="28"/>
          <w:szCs w:val="28"/>
          <w14:textFill>
            <w14:solidFill>
              <w14:schemeClr w14:val="tx1"/>
            </w14:solidFill>
          </w14:textFill>
        </w:rPr>
        <w:t>的资格</w:t>
      </w:r>
      <w:r>
        <w:rPr>
          <w:rFonts w:hint="eastAsia" w:ascii="仿宋" w:hAnsi="仿宋" w:eastAsia="仿宋"/>
          <w:color w:val="000000" w:themeColor="text1"/>
          <w:sz w:val="28"/>
          <w:szCs w:val="28"/>
          <w14:textFill>
            <w14:solidFill>
              <w14:schemeClr w14:val="tx1"/>
            </w14:solidFill>
          </w14:textFill>
        </w:rPr>
        <w:t>及</w:t>
      </w:r>
      <w:r>
        <w:rPr>
          <w:rFonts w:ascii="仿宋" w:hAnsi="仿宋" w:eastAsia="仿宋"/>
          <w:color w:val="000000" w:themeColor="text1"/>
          <w:sz w:val="28"/>
          <w:szCs w:val="28"/>
          <w14:textFill>
            <w14:solidFill>
              <w14:schemeClr w14:val="tx1"/>
            </w14:solidFill>
          </w14:textFill>
        </w:rPr>
        <w:t>能力</w:t>
      </w:r>
      <w:r>
        <w:rPr>
          <w:rFonts w:hint="eastAsia" w:ascii="仿宋" w:hAnsi="仿宋" w:eastAsia="仿宋"/>
          <w:color w:val="000000" w:themeColor="text1"/>
          <w:sz w:val="28"/>
          <w:szCs w:val="28"/>
          <w14:textFill>
            <w14:solidFill>
              <w14:schemeClr w14:val="tx1"/>
            </w14:solidFill>
          </w14:textFill>
        </w:rPr>
        <w:t>，具备相应的维护保养能力。在南昌市范围有固定服务机构优先。</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（4）参与人具有相关多媒体钢制讲台设备项目和良好的售后服务应用成功案例,近三年未发生重大安全或质量事故。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spacing w:after="0" w:line="500" w:lineRule="exact"/>
        <w:ind w:left="1130" w:leftChars="322" w:hanging="422" w:hangingChars="151"/>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（6）参与人有依法缴纳税金的良好记录。</w:t>
      </w:r>
    </w:p>
    <w:p>
      <w:pPr>
        <w:widowControl w:val="0"/>
        <w:numPr>
          <w:ilvl w:val="1"/>
          <w:numId w:val="1"/>
        </w:numPr>
        <w:spacing w:after="0" w:line="50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报价响应文件递交方式：密封报价，按规定时间送达或邮寄。</w:t>
      </w:r>
    </w:p>
    <w:p>
      <w:pPr>
        <w:widowControl w:val="0"/>
        <w:numPr>
          <w:ilvl w:val="1"/>
          <w:numId w:val="1"/>
        </w:numPr>
        <w:spacing w:after="0" w:line="50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报价响应文件递交截止时间</w:t>
      </w:r>
      <w:r>
        <w:rPr>
          <w:rFonts w:hint="eastAsia" w:ascii="仿宋" w:hAnsi="仿宋" w:eastAsia="仿宋" w:cs="仿宋"/>
          <w:color w:val="000000" w:themeColor="text1"/>
          <w:sz w:val="28"/>
          <w:szCs w:val="28"/>
          <w:shd w:val="clear" w:color="auto" w:fill="FFFFFF"/>
          <w14:textFill>
            <w14:solidFill>
              <w14:schemeClr w14:val="tx1"/>
            </w14:solidFill>
          </w14:textFill>
        </w:rPr>
        <w:t>：2022年</w:t>
      </w:r>
      <w:r>
        <w:rPr>
          <w:rFonts w:ascii="仿宋" w:hAnsi="仿宋" w:eastAsia="仿宋" w:cs="仿宋"/>
          <w:color w:val="000000" w:themeColor="text1"/>
          <w:sz w:val="28"/>
          <w:szCs w:val="28"/>
          <w:shd w:val="clear" w:color="auto" w:fill="FFFFFF"/>
          <w14:textFill>
            <w14:solidFill>
              <w14:schemeClr w14:val="tx1"/>
            </w14:solidFill>
          </w14:textFill>
        </w:rPr>
        <w:t>7</w:t>
      </w:r>
      <w:r>
        <w:rPr>
          <w:rFonts w:hint="eastAsia" w:ascii="仿宋" w:hAnsi="仿宋" w:eastAsia="仿宋" w:cs="仿宋"/>
          <w:color w:val="000000" w:themeColor="text1"/>
          <w:sz w:val="28"/>
          <w:szCs w:val="28"/>
          <w:shd w:val="clear" w:color="auto" w:fill="FFFFFF"/>
          <w14:textFill>
            <w14:solidFill>
              <w14:schemeClr w14:val="tx1"/>
            </w14:solidFill>
          </w14:textFill>
        </w:rPr>
        <w:t>月</w:t>
      </w:r>
      <w:r>
        <w:rPr>
          <w:rFonts w:ascii="仿宋" w:hAnsi="仿宋" w:eastAsia="仿宋" w:cs="仿宋"/>
          <w:color w:val="000000" w:themeColor="text1"/>
          <w:sz w:val="28"/>
          <w:szCs w:val="28"/>
          <w:shd w:val="clear" w:color="auto" w:fill="FFFFFF"/>
          <w14:textFill>
            <w14:solidFill>
              <w14:schemeClr w14:val="tx1"/>
            </w14:solidFill>
          </w14:textFill>
        </w:rPr>
        <w:t>7</w:t>
      </w:r>
      <w:r>
        <w:rPr>
          <w:rFonts w:hint="eastAsia" w:ascii="仿宋" w:hAnsi="仿宋" w:eastAsia="仿宋" w:cs="仿宋"/>
          <w:color w:val="000000" w:themeColor="text1"/>
          <w:sz w:val="28"/>
          <w:szCs w:val="28"/>
          <w:shd w:val="clear" w:color="auto" w:fill="FFFFFF"/>
          <w14:textFill>
            <w14:solidFill>
              <w14:schemeClr w14:val="tx1"/>
            </w14:solidFill>
          </w14:textFill>
        </w:rPr>
        <w:t>日下午16:00前。</w:t>
      </w:r>
    </w:p>
    <w:p>
      <w:pPr>
        <w:pStyle w:val="58"/>
        <w:numPr>
          <w:ilvl w:val="1"/>
          <w:numId w:val="1"/>
        </w:numPr>
        <w:spacing w:after="0" w:line="500" w:lineRule="exact"/>
        <w:ind w:firstLineChars="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报价响应文件递交地点：江西科技学院后勤中心</w:t>
      </w:r>
      <w:r>
        <w:rPr>
          <w:rFonts w:ascii="仿宋" w:hAnsi="仿宋" w:eastAsia="仿宋" w:cs="仿宋"/>
          <w:color w:val="000000" w:themeColor="text1"/>
          <w:sz w:val="28"/>
          <w:szCs w:val="28"/>
          <w14:textFill>
            <w14:solidFill>
              <w14:schemeClr w14:val="tx1"/>
            </w14:solidFill>
          </w14:textFill>
        </w:rPr>
        <w:t>204</w:t>
      </w:r>
    </w:p>
    <w:p>
      <w:pPr>
        <w:pStyle w:val="58"/>
        <w:spacing w:after="0" w:line="500" w:lineRule="exact"/>
        <w:ind w:left="839" w:firstLine="0" w:firstLineChars="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联系人：吴震林；联系电话：0</w:t>
      </w:r>
      <w:r>
        <w:rPr>
          <w:rFonts w:ascii="仿宋" w:hAnsi="仿宋" w:eastAsia="仿宋" w:cs="仿宋"/>
          <w:color w:val="000000" w:themeColor="text1"/>
          <w:sz w:val="28"/>
          <w:szCs w:val="28"/>
          <w14:textFill>
            <w14:solidFill>
              <w14:schemeClr w14:val="tx1"/>
            </w14:solidFill>
          </w14:textFill>
        </w:rPr>
        <w:t>791</w:t>
      </w: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88136832</w:t>
      </w:r>
    </w:p>
    <w:p>
      <w:pPr>
        <w:widowControl w:val="0"/>
        <w:numPr>
          <w:ilvl w:val="1"/>
          <w:numId w:val="1"/>
        </w:numPr>
        <w:spacing w:after="0" w:line="500" w:lineRule="exact"/>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本</w:t>
      </w:r>
      <w:r>
        <w:rPr>
          <w:rFonts w:hint="eastAsia" w:ascii="仿宋" w:hAnsi="仿宋" w:eastAsia="仿宋" w:cs="仿宋"/>
          <w:color w:val="000000" w:themeColor="text1"/>
          <w:sz w:val="28"/>
          <w:szCs w:val="28"/>
          <w:lang w:val="en-US" w:eastAsia="zh-CN" w:bidi="ar-SA"/>
          <w14:textFill>
            <w14:solidFill>
              <w14:schemeClr w14:val="tx1"/>
            </w14:solidFill>
          </w14:textFill>
        </w:rPr>
        <w:t>项目需参与人在递交响应文件同时提供所投产品样品，成交参与人样品视情况予以封存或退回。样品放在后勤中心202</w:t>
      </w:r>
    </w:p>
    <w:p>
      <w:pPr>
        <w:widowControl w:val="0"/>
        <w:numPr>
          <w:ilvl w:val="1"/>
          <w:numId w:val="1"/>
        </w:numPr>
        <w:spacing w:after="0" w:line="460" w:lineRule="exact"/>
        <w:rPr>
          <w:rFonts w:ascii="仿宋" w:hAnsi="仿宋" w:eastAsia="仿宋" w:cs="仿宋"/>
          <w:color w:val="000000" w:themeColor="text1"/>
          <w:sz w:val="28"/>
          <w:szCs w:val="28"/>
          <w14:textFill>
            <w14:solidFill>
              <w14:schemeClr w14:val="tx1"/>
            </w14:solidFill>
          </w14:textFill>
        </w:rPr>
      </w:pPr>
      <w:bookmarkStart w:id="50" w:name="_Hlk97917519"/>
      <w:r>
        <w:rPr>
          <w:rFonts w:hint="eastAsia" w:ascii="仿宋" w:hAnsi="仿宋" w:eastAsia="仿宋" w:cs="仿宋"/>
          <w:color w:val="000000" w:themeColor="text1"/>
          <w:sz w:val="28"/>
          <w:szCs w:val="28"/>
          <w14:textFill>
            <w14:solidFill>
              <w14:schemeClr w14:val="tx1"/>
            </w14:solidFill>
          </w14:textFill>
        </w:rPr>
        <w:t>参加本项目的参与人如对</w:t>
      </w:r>
      <w:r>
        <w:rPr>
          <w:rFonts w:hint="eastAsia" w:ascii="仿宋" w:hAnsi="仿宋" w:eastAsia="仿宋" w:cs="仿宋"/>
          <w:b/>
          <w:bCs/>
          <w:color w:val="000000" w:themeColor="text1"/>
          <w:sz w:val="28"/>
          <w:szCs w:val="28"/>
          <w14:textFill>
            <w14:solidFill>
              <w14:schemeClr w14:val="tx1"/>
            </w14:solidFill>
          </w14:textFill>
        </w:rPr>
        <w:t>公开询价邀请函列示清单内容存有疑问的</w:t>
      </w:r>
      <w:r>
        <w:rPr>
          <w:rFonts w:hint="eastAsia" w:ascii="仿宋" w:hAnsi="仿宋" w:eastAsia="仿宋" w:cs="仿宋"/>
          <w:color w:val="000000" w:themeColor="text1"/>
          <w:sz w:val="28"/>
          <w:szCs w:val="28"/>
          <w14:textFill>
            <w14:solidFill>
              <w14:schemeClr w14:val="tx1"/>
            </w14:solidFill>
          </w14:textFill>
        </w:rPr>
        <w:t>，请在报价响应文件递交截止之日前，将问题以书面形式（有效签署的原件并加盖公章）提交至学校业务对接人，联系人：邱琳，电话：13807082015</w:t>
      </w:r>
      <w:r>
        <w:rPr>
          <w:rFonts w:hint="eastAsia" w:ascii="仿宋" w:hAnsi="仿宋" w:eastAsia="仿宋" w:cs="仿宋"/>
          <w:color w:val="000000" w:themeColor="text1"/>
          <w:sz w:val="28"/>
          <w:szCs w:val="28"/>
          <w14:textFill>
            <w14:solidFill>
              <w14:schemeClr w14:val="tx1"/>
            </w14:solidFill>
          </w14:textFill>
        </w:rPr>
        <w:t>。采购人不对超时提交及未加盖公章的质疑文件进行回复。</w:t>
      </w:r>
    </w:p>
    <w:p>
      <w:pPr>
        <w:widowControl w:val="0"/>
        <w:tabs>
          <w:tab w:val="left" w:pos="839"/>
          <w:tab w:val="left" w:pos="1469"/>
        </w:tabs>
        <w:spacing w:after="0" w:line="460" w:lineRule="exact"/>
        <w:ind w:left="42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0</w:t>
      </w:r>
      <w:r>
        <w:rPr>
          <w:rFonts w:hint="eastAsia" w:ascii="仿宋" w:hAnsi="仿宋" w:eastAsia="仿宋" w:cs="仿宋"/>
          <w:color w:val="000000" w:themeColor="text1"/>
          <w:sz w:val="28"/>
          <w:szCs w:val="28"/>
          <w14:textFill>
            <w14:solidFill>
              <w14:schemeClr w14:val="tx1"/>
            </w14:solidFill>
          </w14:textFill>
        </w:rPr>
        <w:t>、本项目最终成交结果会在中教集团后勤贤知平台“中标信息公示”板块公示，网址：</w:t>
      </w:r>
      <w:r>
        <w:fldChar w:fldCharType="begin"/>
      </w:r>
      <w:r>
        <w:instrText xml:space="preserve"> HYPERLINK "http://www.ceghqxz.com" </w:instrText>
      </w:r>
      <w:r>
        <w:fldChar w:fldCharType="separate"/>
      </w:r>
      <w:r>
        <w:rPr>
          <w:rStyle w:val="31"/>
          <w:rFonts w:hint="eastAsia" w:ascii="仿宋" w:hAnsi="仿宋" w:eastAsia="仿宋" w:cs="仿宋"/>
          <w:color w:val="000000" w:themeColor="text1"/>
          <w:sz w:val="28"/>
          <w:szCs w:val="28"/>
          <w14:textFill>
            <w14:solidFill>
              <w14:schemeClr w14:val="tx1"/>
            </w14:solidFill>
          </w14:textFill>
        </w:rPr>
        <w:t>www.ceghqxz.com</w:t>
      </w:r>
      <w:r>
        <w:rPr>
          <w:rStyle w:val="31"/>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14:textFill>
            <w14:solidFill>
              <w14:schemeClr w14:val="tx1"/>
            </w14:solidFill>
          </w14:textFill>
        </w:rPr>
        <w:t>。参加本项目的参与人如对</w:t>
      </w:r>
      <w:r>
        <w:rPr>
          <w:rFonts w:hint="eastAsia" w:ascii="仿宋" w:hAnsi="仿宋" w:eastAsia="仿宋" w:cs="仿宋"/>
          <w:b/>
          <w:bCs/>
          <w:color w:val="000000" w:themeColor="text1"/>
          <w:sz w:val="28"/>
          <w:szCs w:val="28"/>
          <w14:textFill>
            <w14:solidFill>
              <w14:schemeClr w14:val="tx1"/>
            </w14:solidFill>
          </w14:textFill>
        </w:rPr>
        <w:t>采购过程和成交结果有异议的，</w:t>
      </w:r>
      <w:bookmarkEnd w:id="50"/>
      <w:r>
        <w:rPr>
          <w:rFonts w:hint="eastAsia" w:ascii="仿宋" w:hAnsi="仿宋" w:eastAsia="仿宋" w:cs="仿宋"/>
          <w:color w:val="000000" w:themeColor="text1"/>
          <w:sz w:val="28"/>
          <w:szCs w:val="28"/>
          <w14:textFill>
            <w14:solidFill>
              <w14:schemeClr w14:val="tx1"/>
            </w14:solidFill>
          </w14:textFill>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投诉受理部门：中教集团内控部，投诉电话： 0791-88106510 /0791-88102608</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1.所有货物均以人民币报价；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三、售后服务要求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1.免费保修期；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2.应急维修时间安排；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3.培训计划及人员安排；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4.维修地点、地址、联系电话及联系人员；</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5.维修服务收费标准；</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6.主要零配件及易耗品价格；</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7.制造商的技术支持；</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pStyle w:val="58"/>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本项目为自有资金而非财政性资金采购，采购人按企业内部规定的标准进行评定</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pStyle w:val="58"/>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参与人所投物品符合需求、质量和服务等的要求,经过磋商所报价格为合理价格的参与人为成交参与人。</w:t>
      </w:r>
    </w:p>
    <w:p>
      <w:pPr>
        <w:pStyle w:val="58"/>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最低报价不作为成交的保证。</w:t>
      </w: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spacing w:after="0" w:line="500" w:lineRule="exact"/>
        <w:jc w:val="left"/>
        <w:rPr>
          <w:rFonts w:ascii="仿宋" w:hAnsi="仿宋" w:eastAsia="仿宋"/>
          <w:color w:val="000000" w:themeColor="text1"/>
          <w:sz w:val="24"/>
          <w:szCs w:val="24"/>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spacing w:after="0" w:line="500" w:lineRule="exact"/>
        <w:ind w:firstLine="6720" w:firstLineChars="24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江西科技学院</w:t>
      </w:r>
    </w:p>
    <w:p>
      <w:pPr>
        <w:pStyle w:val="55"/>
        <w:spacing w:line="360" w:lineRule="auto"/>
        <w:outlineLvl w:val="0"/>
        <w:rPr>
          <w:rFonts w:ascii="仿宋" w:hAnsi="仿宋" w:eastAsia="仿宋"/>
          <w:b/>
          <w:color w:val="000000" w:themeColor="text1"/>
          <w:sz w:val="44"/>
          <w:szCs w:val="44"/>
          <w14:textFill>
            <w14:solidFill>
              <w14:schemeClr w14:val="tx1"/>
            </w14:solidFill>
          </w14:textFill>
        </w:rPr>
      </w:pP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二、</w:t>
      </w:r>
      <w:bookmarkEnd w:id="49"/>
      <w:r>
        <w:rPr>
          <w:rFonts w:hint="eastAsia" w:ascii="仿宋" w:hAnsi="仿宋" w:eastAsia="仿宋"/>
          <w:b/>
          <w:color w:val="000000" w:themeColor="text1"/>
          <w:sz w:val="44"/>
          <w:szCs w:val="44"/>
          <w14:textFill>
            <w14:solidFill>
              <w14:schemeClr w14:val="tx1"/>
            </w14:solidFill>
          </w14:textFill>
        </w:rPr>
        <w:t>公开询价货物一览表</w:t>
      </w: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一、项目内容、参数</w:t>
      </w:r>
    </w:p>
    <w:tbl>
      <w:tblPr>
        <w:tblStyle w:val="25"/>
        <w:tblW w:w="9970" w:type="dxa"/>
        <w:jc w:val="center"/>
        <w:tblInd w:w="0" w:type="dxa"/>
        <w:tblLayout w:type="fixed"/>
        <w:tblCellMar>
          <w:top w:w="0" w:type="dxa"/>
          <w:left w:w="0" w:type="dxa"/>
          <w:bottom w:w="0" w:type="dxa"/>
          <w:right w:w="0" w:type="dxa"/>
        </w:tblCellMar>
      </w:tblPr>
      <w:tblGrid>
        <w:gridCol w:w="287"/>
        <w:gridCol w:w="714"/>
        <w:gridCol w:w="5812"/>
        <w:gridCol w:w="567"/>
        <w:gridCol w:w="525"/>
        <w:gridCol w:w="562"/>
        <w:gridCol w:w="582"/>
        <w:gridCol w:w="921"/>
      </w:tblGrid>
      <w:tr>
        <w:tblPrEx>
          <w:tblLayout w:type="fixed"/>
          <w:tblCellMar>
            <w:top w:w="0" w:type="dxa"/>
            <w:left w:w="0" w:type="dxa"/>
            <w:bottom w:w="0" w:type="dxa"/>
            <w:right w:w="0" w:type="dxa"/>
          </w:tblCellMar>
        </w:tblPrEx>
        <w:trPr>
          <w:trHeight w:val="753" w:hRule="atLeast"/>
          <w:jc w:val="center"/>
        </w:trPr>
        <w:tc>
          <w:tcPr>
            <w:tcW w:w="2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序号</w:t>
            </w:r>
          </w:p>
        </w:tc>
        <w:tc>
          <w:tcPr>
            <w:tcW w:w="7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物品名称</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技术参数</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数量</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单位</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单价</w:t>
            </w:r>
          </w:p>
        </w:tc>
        <w:tc>
          <w:tcPr>
            <w:tcW w:w="582" w:type="dxa"/>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总价</w:t>
            </w:r>
          </w:p>
        </w:tc>
        <w:tc>
          <w:tcPr>
            <w:tcW w:w="921"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仿宋" w:hAnsi="仿宋" w:eastAsia="仿宋" w:cs="仿宋"/>
                <w:color w:val="000000"/>
              </w:rPr>
            </w:pPr>
            <w:r>
              <w:rPr>
                <w:rFonts w:hint="eastAsia" w:ascii="仿宋" w:hAnsi="仿宋" w:eastAsia="仿宋" w:cs="仿宋"/>
                <w:color w:val="000000"/>
              </w:rPr>
              <w:t>备注</w:t>
            </w:r>
          </w:p>
        </w:tc>
      </w:tr>
      <w:tr>
        <w:tblPrEx>
          <w:tblLayout w:type="fixed"/>
          <w:tblCellMar>
            <w:top w:w="0" w:type="dxa"/>
            <w:left w:w="0" w:type="dxa"/>
            <w:bottom w:w="0" w:type="dxa"/>
            <w:right w:w="0" w:type="dxa"/>
          </w:tblCellMar>
        </w:tblPrEx>
        <w:trPr>
          <w:trHeight w:val="456" w:hRule="atLeast"/>
          <w:jc w:val="center"/>
        </w:trPr>
        <w:tc>
          <w:tcPr>
            <w:tcW w:w="2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7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textAlignment w:val="center"/>
              <w:rPr>
                <w:rFonts w:ascii="仿宋" w:hAnsi="仿宋" w:eastAsia="仿宋" w:cs="仿宋"/>
                <w:sz w:val="24"/>
                <w:szCs w:val="24"/>
              </w:rPr>
            </w:pPr>
            <w:r>
              <w:rPr>
                <w:rFonts w:hint="eastAsia" w:ascii="仿宋" w:hAnsi="仿宋" w:eastAsia="仿宋" w:cs="仿宋"/>
                <w:sz w:val="24"/>
                <w:szCs w:val="24"/>
              </w:rPr>
              <w:t>钢质讲 台</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tcPr>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1、讲台尺寸：≥90cm*60cm*90cm（长宽高）</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2、讲台的前面丝印学校的LOGO</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3、主体冷轧钢材质</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4、讲桌的喷涂工艺、防静电、导轨抽拉符合国家标准</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5、螺丝全部不锈钢螺丝</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6、桌面木板采用的是高密度板，桌面木板及桌面木板涂层、塑料扶手等主要部件具备以下环保要求：甲醛释放量、重金属含量等有害物质的检测符合国家标准</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7、可以存放吊麦主机、管控主机、无线网络等设备</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8、支持桌面开孔，需安装机械臂，可以加装显示器，加装中控面板等</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9、桌面安装笔记本电脑模块及控制模块，可以实现多种信号源输入输出及投影扩声系统电视的一键开关，方便老师教学，比如：USB、高清HDMI接口、VGA 、 MIC 、 网口、音频接口等。</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10、减少安全隐患，为了考虑设备散热，下层机柜采用竖排国际散热孔。前后开门主要取决教室地台的高度。</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、方便使用和管理，钥匙通配。可以一键启动。</w:t>
            </w:r>
          </w:p>
          <w:p>
            <w:pPr>
              <w:pStyle w:val="2"/>
              <w:spacing w:line="300" w:lineRule="exact"/>
              <w:ind w:firstLine="560" w:firstLineChars="200"/>
              <w:rPr>
                <w:rFonts w:ascii="仿宋" w:hAnsi="仿宋" w:eastAsia="仿宋"/>
                <w:color w:val="000000" w:themeColor="text1"/>
                <w:sz w:val="28"/>
                <w:szCs w:val="28"/>
                <w14:textFill>
                  <w14:solidFill>
                    <w14:schemeClr w14:val="tx1"/>
                  </w14:solidFill>
                </w14:textFill>
              </w:rPr>
            </w:pPr>
          </w:p>
          <w:p>
            <w:pPr>
              <w:pStyle w:val="2"/>
              <w:spacing w:line="300" w:lineRule="exact"/>
              <w:rPr>
                <w:rFonts w:ascii="仿宋" w:hAnsi="仿宋" w:eastAsia="仿宋"/>
                <w:color w:val="000000" w:themeColor="text1"/>
                <w:sz w:val="28"/>
                <w:szCs w:val="28"/>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r>
              <w:rPr>
                <w:rFonts w:ascii="仿宋" w:hAnsi="仿宋" w:eastAsia="仿宋" w:cs="仿宋"/>
                <w:color w:val="000000"/>
                <w:sz w:val="24"/>
                <w:szCs w:val="24"/>
              </w:rPr>
              <w:t>135</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hAnsi="宋体" w:cs="宋体"/>
                <w:color w:val="000000"/>
              </w:rPr>
            </w:pPr>
          </w:p>
        </w:tc>
        <w:tc>
          <w:tcPr>
            <w:tcW w:w="582" w:type="dxa"/>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rPr>
                <w:rFonts w:ascii="宋体" w:hAnsi="宋体" w:cs="宋体"/>
                <w:color w:val="000000"/>
              </w:rPr>
            </w:pPr>
          </w:p>
        </w:tc>
        <w:tc>
          <w:tcPr>
            <w:tcW w:w="92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rPr>
            </w:pPr>
          </w:p>
        </w:tc>
      </w:tr>
      <w:tr>
        <w:tblPrEx>
          <w:tblLayout w:type="fixed"/>
          <w:tblCellMar>
            <w:top w:w="0" w:type="dxa"/>
            <w:left w:w="0" w:type="dxa"/>
            <w:bottom w:w="0" w:type="dxa"/>
            <w:right w:w="0" w:type="dxa"/>
          </w:tblCellMar>
        </w:tblPrEx>
        <w:trPr>
          <w:trHeight w:val="456" w:hRule="atLeast"/>
          <w:jc w:val="center"/>
        </w:trPr>
        <w:tc>
          <w:tcPr>
            <w:tcW w:w="2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p>
        </w:tc>
        <w:tc>
          <w:tcPr>
            <w:tcW w:w="7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等线" w:hAnsi="等线" w:eastAsia="等线"/>
                <w:b/>
                <w:bCs/>
                <w:color w:val="000000" w:themeColor="text1"/>
                <w:sz w:val="20"/>
                <w14:textFill>
                  <w14:solidFill>
                    <w14:schemeClr w14:val="tx1"/>
                  </w14:solidFill>
                </w14:textFill>
              </w:rPr>
            </w:pPr>
            <w:r>
              <w:rPr>
                <w:rFonts w:hint="eastAsia" w:ascii="等线" w:hAnsi="等线" w:eastAsia="等线"/>
                <w:b/>
                <w:bCs/>
                <w:color w:val="000000" w:themeColor="text1"/>
                <w:sz w:val="20"/>
                <w14:textFill>
                  <w14:solidFill>
                    <w14:schemeClr w14:val="tx1"/>
                  </w14:solidFill>
                </w14:textFill>
              </w:rPr>
              <w:t>总计</w:t>
            </w:r>
          </w:p>
        </w:tc>
        <w:tc>
          <w:tcPr>
            <w:tcW w:w="8969"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cs="宋体"/>
                <w:color w:val="000000"/>
              </w:rPr>
            </w:pPr>
          </w:p>
        </w:tc>
      </w:tr>
      <w:tr>
        <w:tblPrEx>
          <w:tblLayout w:type="fixed"/>
          <w:tblCellMar>
            <w:top w:w="0" w:type="dxa"/>
            <w:left w:w="0" w:type="dxa"/>
            <w:bottom w:w="0" w:type="dxa"/>
            <w:right w:w="0" w:type="dxa"/>
          </w:tblCellMar>
        </w:tblPrEx>
        <w:trPr>
          <w:trHeight w:val="456" w:hRule="atLeast"/>
          <w:jc w:val="center"/>
        </w:trPr>
        <w:tc>
          <w:tcPr>
            <w:tcW w:w="2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仿宋" w:hAnsi="仿宋" w:eastAsia="仿宋" w:cs="仿宋"/>
                <w:color w:val="000000"/>
                <w:sz w:val="24"/>
                <w:szCs w:val="24"/>
              </w:rPr>
            </w:pPr>
          </w:p>
        </w:tc>
        <w:tc>
          <w:tcPr>
            <w:tcW w:w="7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textAlignment w:val="center"/>
              <w:rPr>
                <w:rFonts w:ascii="等线" w:hAnsi="等线" w:eastAsia="等线"/>
                <w:b/>
                <w:bCs/>
                <w:color w:val="000000" w:themeColor="text1"/>
                <w:sz w:val="20"/>
                <w14:textFill>
                  <w14:solidFill>
                    <w14:schemeClr w14:val="tx1"/>
                  </w14:solidFill>
                </w14:textFill>
              </w:rPr>
            </w:pPr>
          </w:p>
        </w:tc>
        <w:tc>
          <w:tcPr>
            <w:tcW w:w="8969"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rPr>
                <w:rFonts w:ascii="宋体" w:hAnsi="宋体" w:cs="宋体"/>
                <w:color w:val="000000"/>
              </w:rPr>
            </w:pPr>
            <w:r>
              <w:rPr>
                <w:rFonts w:hint="eastAsia" w:ascii="仿宋" w:hAnsi="仿宋" w:eastAsia="仿宋" w:cs="仿宋"/>
                <w:color w:val="000000"/>
                <w:sz w:val="24"/>
                <w:szCs w:val="24"/>
              </w:rPr>
              <w:drawing>
                <wp:inline distT="0" distB="0" distL="114300" distR="114300">
                  <wp:extent cx="3391535" cy="2400300"/>
                  <wp:effectExtent l="0" t="0" r="0" b="0"/>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17"/>
                          <a:stretch>
                            <a:fillRect/>
                          </a:stretch>
                        </pic:blipFill>
                        <pic:spPr>
                          <a:xfrm>
                            <a:off x="0" y="0"/>
                            <a:ext cx="3400515" cy="2406655"/>
                          </a:xfrm>
                          <a:prstGeom prst="rect">
                            <a:avLst/>
                          </a:prstGeom>
                        </pic:spPr>
                      </pic:pic>
                    </a:graphicData>
                  </a:graphic>
                </wp:inline>
              </w:drawing>
            </w:r>
            <w:r>
              <w:rPr>
                <w:rFonts w:hint="eastAsia" w:ascii="宋体" w:hAnsi="宋体" w:cs="宋体"/>
                <w:color w:val="000000"/>
              </w:rPr>
              <w:t>（样图仅供参考）</w:t>
            </w:r>
          </w:p>
        </w:tc>
      </w:tr>
    </w:tbl>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p>
    <w:p>
      <w:pPr>
        <w:spacing w:line="4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注：</w:t>
      </w:r>
    </w:p>
    <w:p>
      <w:pPr>
        <w:numPr>
          <w:ilvl w:val="0"/>
          <w:numId w:val="3"/>
        </w:numPr>
        <w:spacing w:after="0" w:line="440" w:lineRule="exac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themeColor="text1"/>
          <w:sz w:val="28"/>
          <w:szCs w:val="28"/>
          <w14:textFill>
            <w14:solidFill>
              <w14:schemeClr w14:val="tx1"/>
            </w14:solidFill>
          </w14:textFill>
        </w:rPr>
        <w:t>。</w:t>
      </w:r>
    </w:p>
    <w:p>
      <w:pPr>
        <w:numPr>
          <w:ilvl w:val="0"/>
          <w:numId w:val="3"/>
        </w:numPr>
        <w:spacing w:after="0" w:line="440" w:lineRule="exac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参与人所投商品需要提供品牌、规格型号等真实详细信息，禁止复制采购人所提供的参考参数，确保设备为原厂正品并按原厂提供质保。</w:t>
      </w:r>
    </w:p>
    <w:p>
      <w:pPr>
        <w:numPr>
          <w:ilvl w:val="0"/>
          <w:numId w:val="3"/>
        </w:numPr>
        <w:spacing w:after="0" w:line="44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参与人所投商品报价应包含税费、运输费、搬运费、整体实施、安装（调试费、售后服务等一切费用，</w:t>
      </w:r>
      <w:r>
        <w:rPr>
          <w:rFonts w:hint="eastAsia" w:ascii="仿宋" w:hAnsi="仿宋" w:eastAsia="仿宋" w:cs="仿宋"/>
          <w:b/>
          <w:sz w:val="28"/>
          <w:szCs w:val="28"/>
        </w:rPr>
        <w:t>供应商务必自行踏勘现场，测算具体工程量，一次性包干，结算时合同价不</w:t>
      </w:r>
      <w:bookmarkStart w:id="208" w:name="_GoBack"/>
      <w:bookmarkEnd w:id="208"/>
      <w:r>
        <w:rPr>
          <w:rFonts w:hint="eastAsia" w:ascii="仿宋" w:hAnsi="仿宋" w:eastAsia="仿宋" w:cs="仿宋"/>
          <w:b/>
          <w:sz w:val="28"/>
          <w:szCs w:val="28"/>
        </w:rPr>
        <w:t>作调整，</w:t>
      </w:r>
      <w:r>
        <w:rPr>
          <w:rFonts w:hint="eastAsia" w:ascii="仿宋" w:hAnsi="仿宋" w:eastAsia="仿宋"/>
          <w:b/>
          <w:color w:val="000000" w:themeColor="text1"/>
          <w:sz w:val="28"/>
          <w:szCs w:val="28"/>
          <w14:textFill>
            <w14:solidFill>
              <w14:schemeClr w14:val="tx1"/>
            </w14:solidFill>
          </w14:textFill>
        </w:rPr>
        <w:t>确保为交钥匙工程。</w:t>
      </w:r>
    </w:p>
    <w:p>
      <w:pPr>
        <w:numPr>
          <w:ilvl w:val="0"/>
          <w:numId w:val="3"/>
        </w:numPr>
        <w:spacing w:after="0" w:line="440" w:lineRule="exact"/>
        <w:rPr>
          <w:rFonts w:ascii="仿宋" w:hAnsi="仿宋" w:eastAsia="仿宋"/>
          <w:b/>
          <w:color w:val="000000" w:themeColor="text1"/>
          <w:sz w:val="28"/>
          <w:szCs w:val="28"/>
          <w14:textFill>
            <w14:solidFill>
              <w14:schemeClr w14:val="tx1"/>
            </w14:solidFill>
          </w14:textFill>
        </w:rPr>
        <w:sectPr>
          <w:headerReference r:id="rId10" w:type="first"/>
          <w:headerReference r:id="rId9" w:type="default"/>
          <w:pgSz w:w="11906" w:h="16838"/>
          <w:pgMar w:top="1440" w:right="1416" w:bottom="1440" w:left="1134" w:header="851" w:footer="680" w:gutter="0"/>
          <w:cols w:space="425" w:num="1"/>
          <w:titlePg/>
          <w:docGrid w:type="lines" w:linePitch="312" w:charSpace="0"/>
        </w:sectPr>
      </w:pPr>
      <w:r>
        <w:rPr>
          <w:rFonts w:ascii="仿宋" w:hAnsi="仿宋" w:eastAsia="仿宋"/>
          <w:b/>
          <w:color w:val="000000" w:themeColor="text1"/>
          <w:sz w:val="28"/>
          <w:szCs w:val="28"/>
          <w14:textFill>
            <w14:solidFill>
              <w14:schemeClr w14:val="tx1"/>
            </w14:solidFill>
          </w14:textFill>
        </w:rPr>
        <w:br w:type="page"/>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ascii="仿宋" w:hAnsi="仿宋" w:eastAsia="仿宋"/>
          <w:b/>
          <w:color w:val="000000" w:themeColor="text1"/>
          <w:sz w:val="72"/>
          <w:szCs w:val="72"/>
          <w14:textFill>
            <w14:solidFill>
              <w14:schemeClr w14:val="tx1"/>
            </w14:solidFill>
          </w14:textFill>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江西科技学院关于多媒体钢制讲台设备采购项目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参与人名称（公司全称）：</w:t>
      </w:r>
      <w:r>
        <w:rPr>
          <w:rFonts w:ascii="仿宋" w:hAnsi="仿宋" w:eastAsia="仿宋"/>
          <w:b/>
          <w:color w:val="000000" w:themeColor="text1"/>
          <w:sz w:val="30"/>
          <w:szCs w:val="30"/>
          <w14:textFill>
            <w14:solidFill>
              <w14:schemeClr w14:val="tx1"/>
            </w14:solidFill>
          </w14:textFill>
        </w:rPr>
        <w:t>XXXX</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参与人授权代表：X</w:t>
      </w:r>
      <w:r>
        <w:rPr>
          <w:rFonts w:ascii="仿宋" w:hAnsi="仿宋" w:eastAsia="仿宋"/>
          <w:b/>
          <w:color w:val="000000" w:themeColor="text1"/>
          <w:sz w:val="30"/>
          <w:szCs w:val="30"/>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pStyle w:val="2"/>
      </w:pPr>
    </w:p>
    <w:p>
      <w:pPr>
        <w:pStyle w:val="2"/>
      </w:pP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12" w:type="first"/>
          <w:headerReference r:id="rId11"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cs="仿宋"/>
          <w:b/>
          <w:bCs/>
          <w:color w:val="000000" w:themeColor="text1"/>
          <w:sz w:val="28"/>
          <w:szCs w:val="28"/>
          <w14:textFill>
            <w14:solidFill>
              <w14:schemeClr w14:val="tx1"/>
            </w14:solidFill>
          </w14:textFill>
        </w:rPr>
      </w:pPr>
      <w:bookmarkStart w:id="51" w:name="_Toc235438344"/>
      <w:bookmarkStart w:id="52" w:name="_Toc235438274"/>
      <w:bookmarkStart w:id="53" w:name="_Toc251586231"/>
      <w:bookmarkStart w:id="54" w:name="_Toc235437991"/>
      <w:bookmarkStart w:id="55" w:name="_Toc236021449"/>
      <w:bookmarkStart w:id="56" w:name="_Toc227058530"/>
      <w:bookmarkStart w:id="57" w:name="_Toc249325711"/>
      <w:bookmarkStart w:id="58" w:name="_Toc203355733"/>
      <w:bookmarkStart w:id="59" w:name="_Toc182805217"/>
      <w:bookmarkStart w:id="60" w:name="_Toc213755939"/>
      <w:bookmarkStart w:id="61" w:name="_Toc191803626"/>
      <w:bookmarkStart w:id="62" w:name="_Toc182372782"/>
      <w:bookmarkStart w:id="63" w:name="_Toc181436461"/>
      <w:bookmarkStart w:id="64" w:name="_Toc192663835"/>
      <w:bookmarkStart w:id="65" w:name="_Toc181436565"/>
      <w:bookmarkStart w:id="66" w:name="_Toc267059653"/>
      <w:bookmarkStart w:id="67" w:name="_Toc192663686"/>
      <w:bookmarkStart w:id="68" w:name="_Toc192996338"/>
      <w:bookmarkStart w:id="69" w:name="_Toc177985469"/>
      <w:bookmarkStart w:id="70" w:name="_Toc230071147"/>
      <w:bookmarkStart w:id="71" w:name="_Toc267059539"/>
      <w:bookmarkStart w:id="72" w:name="_Toc180302913"/>
      <w:bookmarkStart w:id="73" w:name="_Toc191802690"/>
      <w:bookmarkStart w:id="74" w:name="_Toc191789329"/>
      <w:bookmarkStart w:id="75" w:name="_Toc192664153"/>
      <w:bookmarkStart w:id="76" w:name="_Toc232302115"/>
      <w:bookmarkStart w:id="77" w:name="_Toc170798793"/>
      <w:bookmarkStart w:id="78" w:name="_Toc169332949"/>
      <w:bookmarkStart w:id="79" w:name="_Toc266870907"/>
      <w:bookmarkStart w:id="80" w:name="_Toc191783222"/>
      <w:bookmarkStart w:id="81" w:name="_Toc192996446"/>
      <w:bookmarkStart w:id="82" w:name="_Toc193160448"/>
      <w:bookmarkStart w:id="83" w:name="_Toc266870833"/>
      <w:bookmarkStart w:id="84" w:name="_Toc211917116"/>
      <w:bookmarkStart w:id="85" w:name="_Toc193165734"/>
      <w:bookmarkStart w:id="86" w:name="_Toc266870432"/>
      <w:bookmarkStart w:id="87" w:name="_Toc266868937"/>
      <w:bookmarkStart w:id="88" w:name="_Toc213208766"/>
      <w:bookmarkStart w:id="89" w:name="_Toc267059181"/>
      <w:bookmarkStart w:id="90" w:name="_Toc213756051"/>
      <w:bookmarkStart w:id="91" w:name="_Toc213755858"/>
      <w:bookmarkStart w:id="92" w:name="_Toc169332838"/>
      <w:bookmarkStart w:id="93" w:name="_Toc219800243"/>
      <w:bookmarkStart w:id="94" w:name="_Toc267059919"/>
      <w:bookmarkStart w:id="95" w:name="_Toc267060068"/>
      <w:bookmarkStart w:id="96" w:name="_Toc273178698"/>
      <w:bookmarkStart w:id="97" w:name="_Toc259692740"/>
      <w:bookmarkStart w:id="98" w:name="_Toc266868670"/>
      <w:bookmarkStart w:id="99" w:name="_Toc160880160"/>
      <w:bookmarkStart w:id="100" w:name="_Toc223146608"/>
      <w:bookmarkStart w:id="101" w:name="_Toc251613829"/>
      <w:bookmarkStart w:id="102" w:name="_Toc213755995"/>
      <w:bookmarkStart w:id="103" w:name="_Toc259520865"/>
      <w:bookmarkStart w:id="104" w:name="_Toc258401256"/>
      <w:bookmarkStart w:id="105" w:name="_Toc253066614"/>
      <w:bookmarkStart w:id="106" w:name="_Toc267060453"/>
      <w:bookmarkStart w:id="107" w:name="_Toc255975007"/>
      <w:bookmarkStart w:id="108" w:name="_Toc267059806"/>
      <w:bookmarkStart w:id="109" w:name="_Toc267059030"/>
      <w:bookmarkStart w:id="110" w:name="_Toc254790899"/>
      <w:bookmarkStart w:id="111" w:name="_Toc217891402"/>
      <w:bookmarkStart w:id="112" w:name="_Toc267060321"/>
      <w:bookmarkStart w:id="113" w:name="_Toc267060208"/>
      <w:bookmarkStart w:id="114" w:name="_Toc225669322"/>
      <w:bookmarkStart w:id="115" w:name="_Toc160880529"/>
      <w:bookmarkStart w:id="116" w:name="_Toc259692647"/>
      <w:r>
        <w:rPr>
          <w:rFonts w:hint="eastAsia" w:ascii="仿宋" w:hAnsi="仿宋" w:eastAsia="仿宋" w:cs="仿宋"/>
          <w:b/>
          <w:bCs/>
          <w:color w:val="000000" w:themeColor="text1"/>
          <w:sz w:val="28"/>
          <w:szCs w:val="28"/>
          <w14:textFill>
            <w14:solidFill>
              <w14:schemeClr w14:val="tx1"/>
            </w14:solidFill>
          </w14:textFill>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cs="仿宋"/>
          <w:b/>
          <w:bCs/>
          <w:color w:val="000000" w:themeColor="text1"/>
          <w:sz w:val="28"/>
          <w:szCs w:val="28"/>
          <w14:textFill>
            <w14:solidFill>
              <w14:schemeClr w14:val="tx1"/>
            </w14:solidFill>
          </w14:textFill>
        </w:rPr>
        <w:t>询价响应函</w:t>
      </w:r>
    </w:p>
    <w:p>
      <w:pPr>
        <w:spacing w:after="0"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致：XXX学校</w:t>
      </w:r>
    </w:p>
    <w:p>
      <w:pPr>
        <w:spacing w:after="0"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根据贵学校编号为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项目名称为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的公开询价邀请，本签字代表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（全名、职务）正式授权并代表我方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（参与人公司名称）提交下述文件。</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报价一览表</w:t>
      </w:r>
    </w:p>
    <w:p>
      <w:pPr>
        <w:spacing w:after="0" w:line="480" w:lineRule="exact"/>
        <w:ind w:firstLine="425" w:firstLineChars="15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 参与人资质证明</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，即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（中文表述），交货期为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天 。</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3.保证遵守公开询价文件的全部规定，所提交的材料中所含的信息均为真实、准确、完整，且不具有任何误导性。</w:t>
      </w:r>
    </w:p>
    <w:p>
      <w:pPr>
        <w:spacing w:after="0"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4.同意按公开询价文件的规定履行合同责任和义务。</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5.同意提供按照贵方可能要求的与其公开询价有关的一切数据或资料</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after="0" w:line="480" w:lineRule="exact"/>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after="0" w:line="480" w:lineRule="exact"/>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after="0" w:line="480" w:lineRule="exact"/>
        <w:ind w:left="284" w:leftChars="129" w:firstLine="282" w:firstLineChars="101"/>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参与人（公司全称并加盖公章）：</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参与人授权代表签字： </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电  话：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（手机号码）</w:t>
      </w:r>
    </w:p>
    <w:p>
      <w:pPr>
        <w:pStyle w:val="60"/>
        <w:spacing w:line="480" w:lineRule="exact"/>
        <w:ind w:firstLine="560" w:firstLineChars="200"/>
        <w:jc w:val="left"/>
        <w:outlineLvl w:val="9"/>
        <w:rPr>
          <w:rFonts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 xml:space="preserve">日  期： </w:t>
      </w:r>
      <w:r>
        <w:rPr>
          <w:rFonts w:hint="eastAsia" w:ascii="仿宋" w:hAnsi="仿宋" w:eastAsia="仿宋" w:cs="仿宋"/>
          <w:color w:val="000000" w:themeColor="text1"/>
          <w:szCs w:val="28"/>
          <w:u w:val="single"/>
          <w14:textFill>
            <w14:solidFill>
              <w14:schemeClr w14:val="tx1"/>
            </w14:solidFill>
          </w14:textFill>
        </w:rPr>
        <w:t xml:space="preserve">    </w:t>
      </w:r>
      <w:r>
        <w:rPr>
          <w:rFonts w:hint="eastAsia" w:ascii="仿宋" w:hAnsi="仿宋" w:eastAsia="仿宋" w:cs="仿宋"/>
          <w:color w:val="000000" w:themeColor="text1"/>
          <w:szCs w:val="28"/>
          <w14:textFill>
            <w14:solidFill>
              <w14:schemeClr w14:val="tx1"/>
            </w14:solidFill>
          </w14:textFill>
        </w:rPr>
        <w:t xml:space="preserve">年 </w:t>
      </w:r>
      <w:r>
        <w:rPr>
          <w:rFonts w:hint="eastAsia" w:ascii="仿宋" w:hAnsi="仿宋" w:eastAsia="仿宋" w:cs="仿宋"/>
          <w:color w:val="000000" w:themeColor="text1"/>
          <w:szCs w:val="28"/>
          <w:u w:val="single"/>
          <w14:textFill>
            <w14:solidFill>
              <w14:schemeClr w14:val="tx1"/>
            </w14:solidFill>
          </w14:textFill>
        </w:rPr>
        <w:t xml:space="preserve">   </w:t>
      </w:r>
      <w:r>
        <w:rPr>
          <w:rFonts w:hint="eastAsia" w:ascii="仿宋" w:hAnsi="仿宋" w:eastAsia="仿宋" w:cs="仿宋"/>
          <w:color w:val="000000" w:themeColor="text1"/>
          <w:szCs w:val="28"/>
          <w14:textFill>
            <w14:solidFill>
              <w14:schemeClr w14:val="tx1"/>
            </w14:solidFill>
          </w14:textFill>
        </w:rPr>
        <w:t xml:space="preserve">月 </w:t>
      </w:r>
      <w:r>
        <w:rPr>
          <w:rFonts w:hint="eastAsia" w:ascii="仿宋" w:hAnsi="仿宋" w:eastAsia="仿宋" w:cs="仿宋"/>
          <w:color w:val="000000" w:themeColor="text1"/>
          <w:szCs w:val="28"/>
          <w:u w:val="single"/>
          <w14:textFill>
            <w14:solidFill>
              <w14:schemeClr w14:val="tx1"/>
            </w14:solidFill>
          </w14:textFill>
        </w:rPr>
        <w:t xml:space="preserve">   </w:t>
      </w:r>
      <w:r>
        <w:rPr>
          <w:rFonts w:hint="eastAsia" w:ascii="仿宋" w:hAnsi="仿宋" w:eastAsia="仿宋" w:cs="仿宋"/>
          <w:color w:val="000000" w:themeColor="text1"/>
          <w:szCs w:val="28"/>
          <w14:textFill>
            <w14:solidFill>
              <w14:schemeClr w14:val="tx1"/>
            </w14:solidFill>
          </w14:textFill>
        </w:rPr>
        <w:t>日</w:t>
      </w:r>
    </w:p>
    <w:p>
      <w:pPr>
        <w:numPr>
          <w:ilvl w:val="0"/>
          <w:numId w:val="4"/>
        </w:numPr>
        <w:spacing w:line="380" w:lineRule="exact"/>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报价一览表</w:t>
      </w:r>
    </w:p>
    <w:tbl>
      <w:tblPr>
        <w:tblStyle w:val="25"/>
        <w:tblW w:w="9736" w:type="dxa"/>
        <w:jc w:val="center"/>
        <w:tblInd w:w="0" w:type="dxa"/>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Layout w:type="fixed"/>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备注</w:t>
            </w:r>
          </w:p>
        </w:tc>
      </w:tr>
      <w:tr>
        <w:tblPrEx>
          <w:tblLayout w:type="fixed"/>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r>
      <w:tr>
        <w:tblPrEx>
          <w:tblLayout w:type="fixed"/>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r>
      <w:tr>
        <w:tblPrEx>
          <w:tblLayout w:type="fixed"/>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4"/>
                <w:szCs w:val="24"/>
                <w14:textFill>
                  <w14:solidFill>
                    <w14:schemeClr w14:val="tx1"/>
                  </w14:solidFill>
                </w14:textFill>
              </w:rPr>
            </w:pPr>
          </w:p>
        </w:tc>
      </w:tr>
    </w:tbl>
    <w:p>
      <w:pPr>
        <w:spacing w:line="380" w:lineRule="exact"/>
        <w:rPr>
          <w:rFonts w:ascii="仿宋" w:hAnsi="仿宋" w:eastAsia="仿宋" w:cs="仿宋"/>
          <w:color w:val="000000" w:themeColor="text1"/>
          <w:sz w:val="28"/>
          <w:szCs w:val="28"/>
          <w14:textFill>
            <w14:solidFill>
              <w14:schemeClr w14:val="tx1"/>
            </w14:solidFill>
          </w14:textFill>
        </w:rPr>
      </w:pPr>
    </w:p>
    <w:p>
      <w:pPr>
        <w:spacing w:line="3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w:t>
      </w:r>
      <w:r>
        <w:rPr>
          <w:rFonts w:hint="eastAsia" w:ascii="仿宋" w:hAnsi="仿宋" w:eastAsia="仿宋" w:cs="仿宋"/>
          <w:color w:val="000000" w:themeColor="text1"/>
          <w:sz w:val="28"/>
          <w:szCs w:val="28"/>
          <w:lang w:val="zh-CN"/>
          <w14:textFill>
            <w14:solidFill>
              <w14:schemeClr w14:val="tx1"/>
            </w14:solidFill>
          </w14:textFill>
        </w:rPr>
        <w:t>（公司全称并加盖公章）</w:t>
      </w:r>
      <w:r>
        <w:rPr>
          <w:rFonts w:hint="eastAsia" w:ascii="仿宋" w:hAnsi="仿宋" w:eastAsia="仿宋" w:cs="仿宋"/>
          <w:color w:val="000000" w:themeColor="text1"/>
          <w:sz w:val="28"/>
          <w:szCs w:val="28"/>
          <w14:textFill>
            <w14:solidFill>
              <w14:schemeClr w14:val="tx1"/>
            </w14:solidFill>
          </w14:textFill>
        </w:rPr>
        <w:t>项目编号：</w:t>
      </w:r>
    </w:p>
    <w:p>
      <w:pPr>
        <w:spacing w:line="380" w:lineRule="exact"/>
        <w:ind w:left="147" w:leftChars="67"/>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货币单位：</w:t>
      </w:r>
    </w:p>
    <w:p>
      <w:pPr>
        <w:spacing w:line="380" w:lineRule="exact"/>
        <w:ind w:left="147" w:leftChars="67"/>
        <w:rPr>
          <w:rFonts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注：1.如果按单价计算的结果与总价不一致,以单价为准修正总价。</w:t>
      </w:r>
    </w:p>
    <w:p>
      <w:pPr>
        <w:spacing w:line="380" w:lineRule="exact"/>
        <w:ind w:left="147" w:leftChars="67"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2.如果不提供详细参数和报价将视为没有实质性响应公开询价文件。</w:t>
      </w:r>
    </w:p>
    <w:p>
      <w:pPr>
        <w:spacing w:after="0" w:line="300" w:lineRule="exact"/>
        <w:ind w:firstLine="560" w:firstLineChars="200"/>
        <w:rPr>
          <w:rFonts w:ascii="仿宋" w:hAnsi="仿宋" w:eastAsia="仿宋" w:cs="仿宋"/>
          <w:color w:val="000000" w:themeColor="text1"/>
          <w:sz w:val="28"/>
          <w:szCs w:val="28"/>
          <w:lang w:val="zh-CN"/>
          <w14:textFill>
            <w14:solidFill>
              <w14:schemeClr w14:val="tx1"/>
            </w14:solidFill>
          </w14:textFill>
        </w:rPr>
      </w:pPr>
    </w:p>
    <w:p>
      <w:pPr>
        <w:spacing w:line="380" w:lineRule="exact"/>
        <w:rPr>
          <w:rFonts w:ascii="仿宋" w:hAnsi="仿宋" w:eastAsia="仿宋" w:cs="仿宋"/>
          <w:color w:val="000000" w:themeColor="text1"/>
          <w:sz w:val="28"/>
          <w:szCs w:val="28"/>
          <w:lang w:val="zh-CN"/>
          <w14:textFill>
            <w14:solidFill>
              <w14:schemeClr w14:val="tx1"/>
            </w14:solidFill>
          </w14:textFill>
        </w:rPr>
      </w:pPr>
    </w:p>
    <w:p>
      <w:pPr>
        <w:spacing w:line="360" w:lineRule="auto"/>
        <w:ind w:right="960"/>
        <w:jc w:val="right"/>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参与人授权代表（签字或盖章）：</w:t>
      </w:r>
    </w:p>
    <w:p>
      <w:pPr>
        <w:spacing w:line="380" w:lineRule="exact"/>
        <w:ind w:right="1120" w:firstLine="4200" w:firstLineChars="1500"/>
        <w:outlineLvl w:val="2"/>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日 期：</w:t>
      </w:r>
      <w:bookmarkStart w:id="117" w:name="_Toc213756001"/>
      <w:bookmarkStart w:id="118" w:name="_Toc177985474"/>
      <w:bookmarkStart w:id="119" w:name="_Toc181436570"/>
      <w:bookmarkStart w:id="120" w:name="_Toc193160453"/>
      <w:bookmarkStart w:id="121" w:name="_Toc191803631"/>
      <w:bookmarkStart w:id="122" w:name="_Toc193165739"/>
      <w:bookmarkStart w:id="123" w:name="_Toc182805222"/>
      <w:bookmarkStart w:id="124" w:name="_Toc203355738"/>
      <w:bookmarkStart w:id="125" w:name="_Toc227058536"/>
      <w:bookmarkStart w:id="126" w:name="_Toc169332843"/>
      <w:bookmarkStart w:id="127" w:name="_Toc192996343"/>
      <w:bookmarkStart w:id="128" w:name="_Toc213755864"/>
      <w:bookmarkStart w:id="129" w:name="_Toc225669328"/>
      <w:bookmarkStart w:id="130" w:name="_Toc253066624"/>
      <w:bookmarkStart w:id="131" w:name="_Toc235438352"/>
      <w:bookmarkStart w:id="132" w:name="_Toc255975016"/>
      <w:bookmarkStart w:id="133" w:name="_Toc160880534"/>
      <w:bookmarkStart w:id="134" w:name="_Toc169332954"/>
      <w:bookmarkStart w:id="135" w:name="_Toc180302918"/>
      <w:bookmarkStart w:id="136" w:name="_Toc192663691"/>
      <w:bookmarkStart w:id="137" w:name="_Toc249325720"/>
      <w:bookmarkStart w:id="138" w:name="_Toc267060076"/>
      <w:bookmarkStart w:id="139" w:name="_Toc235437998"/>
      <w:bookmarkStart w:id="140" w:name="_Toc267059658"/>
      <w:bookmarkStart w:id="141" w:name="_Toc192664158"/>
      <w:bookmarkStart w:id="142" w:name="_Toc266870839"/>
      <w:bookmarkStart w:id="143" w:name="_Toc258401265"/>
      <w:bookmarkStart w:id="144" w:name="_Toc232302122"/>
      <w:bookmarkStart w:id="145" w:name="_Toc191802695"/>
      <w:bookmarkStart w:id="146" w:name="_Toc219800249"/>
      <w:bookmarkStart w:id="147" w:name="_Toc254790909"/>
      <w:bookmarkStart w:id="148" w:name="_Toc266870916"/>
      <w:bookmarkStart w:id="149" w:name="_Toc259520874"/>
      <w:bookmarkStart w:id="150" w:name="_Toc192996451"/>
      <w:bookmarkStart w:id="151" w:name="_Toc267059924"/>
      <w:bookmarkStart w:id="152" w:name="_Toc236021457"/>
      <w:bookmarkStart w:id="153" w:name="_Toc266870441"/>
      <w:bookmarkStart w:id="154" w:name="_Toc273178703"/>
      <w:bookmarkStart w:id="155" w:name="_Toc191783227"/>
      <w:bookmarkStart w:id="156" w:name="_Toc267060216"/>
      <w:bookmarkStart w:id="157" w:name="_Toc230071153"/>
      <w:bookmarkStart w:id="158" w:name="_Toc267060326"/>
      <w:bookmarkStart w:id="159" w:name="_Toc223146614"/>
      <w:bookmarkStart w:id="160" w:name="_Toc266868943"/>
      <w:bookmarkStart w:id="161" w:name="_Toc213208771"/>
      <w:bookmarkStart w:id="162" w:name="_Toc213755945"/>
      <w:bookmarkStart w:id="163" w:name="_Toc259692656"/>
      <w:bookmarkStart w:id="164" w:name="_Toc251586241"/>
      <w:bookmarkStart w:id="165" w:name="_Toc211917121"/>
      <w:bookmarkStart w:id="166" w:name="_Toc267059186"/>
      <w:bookmarkStart w:id="167" w:name="_Toc267059544"/>
      <w:bookmarkStart w:id="168" w:name="_Toc217891408"/>
      <w:bookmarkStart w:id="169" w:name="_Toc192663840"/>
      <w:bookmarkStart w:id="170" w:name="_Toc181436466"/>
      <w:bookmarkStart w:id="171" w:name="_Toc259692749"/>
      <w:bookmarkStart w:id="172" w:name="_Toc191789334"/>
      <w:bookmarkStart w:id="173" w:name="_Toc235438281"/>
      <w:bookmarkStart w:id="174" w:name="_Toc267059811"/>
      <w:bookmarkStart w:id="175" w:name="_Toc213756057"/>
      <w:bookmarkStart w:id="176" w:name="_Toc160880165"/>
      <w:bookmarkStart w:id="177" w:name="_Toc266868679"/>
      <w:bookmarkStart w:id="178" w:name="_Toc182372787"/>
      <w:bookmarkStart w:id="179" w:name="_Toc267059035"/>
      <w:bookmarkStart w:id="180" w:name="_Toc267060461"/>
      <w:bookmarkStart w:id="181" w:name="_Toc251613839"/>
      <w:bookmarkStart w:id="182" w:name="_Toc170798798"/>
    </w:p>
    <w:p>
      <w:pPr>
        <w:jc w:val="center"/>
        <w:outlineLvl w:val="1"/>
        <w:rPr>
          <w:rFonts w:ascii="仿宋" w:hAnsi="仿宋" w:eastAsia="仿宋" w:cs="仿宋"/>
          <w:b/>
          <w:bCs/>
          <w:color w:val="000000" w:themeColor="text1"/>
          <w:sz w:val="28"/>
          <w:szCs w:val="28"/>
          <w14:textFill>
            <w14:solidFill>
              <w14:schemeClr w14:val="tx1"/>
            </w14:solidFill>
          </w14:textFill>
        </w:rPr>
      </w:pPr>
      <w:bookmarkStart w:id="183" w:name="_Toc266870918"/>
      <w:bookmarkStart w:id="184" w:name="_Toc230071155"/>
      <w:bookmarkStart w:id="185" w:name="_Toc235438283"/>
      <w:bookmarkStart w:id="186" w:name="_Toc249325722"/>
      <w:bookmarkStart w:id="187" w:name="_Toc253066626"/>
      <w:bookmarkStart w:id="188" w:name="_Toc225669330"/>
      <w:bookmarkStart w:id="189" w:name="_Toc236021459"/>
      <w:bookmarkStart w:id="190" w:name="_Toc255975018"/>
      <w:bookmarkStart w:id="191" w:name="_Toc235438000"/>
      <w:bookmarkStart w:id="192" w:name="_Toc235438354"/>
      <w:bookmarkStart w:id="193" w:name="_Toc266868681"/>
      <w:bookmarkStart w:id="194" w:name="_Toc223146616"/>
      <w:bookmarkStart w:id="195" w:name="_Toc251613841"/>
      <w:bookmarkStart w:id="196" w:name="_Toc219800251"/>
      <w:bookmarkStart w:id="197" w:name="_Toc217891410"/>
      <w:bookmarkStart w:id="198" w:name="_Toc254790911"/>
      <w:bookmarkStart w:id="199" w:name="_Toc251586243"/>
      <w:bookmarkStart w:id="200" w:name="_Toc259520876"/>
      <w:bookmarkStart w:id="201" w:name="_Toc266870443"/>
      <w:bookmarkStart w:id="202" w:name="_Toc227058538"/>
      <w:bookmarkStart w:id="203" w:name="_Toc232302124"/>
      <w:bookmarkStart w:id="204" w:name="_Toc259692751"/>
      <w:bookmarkStart w:id="205" w:name="_Toc213756059"/>
      <w:bookmarkStart w:id="206" w:name="_Toc259692658"/>
      <w:bookmarkStart w:id="207" w:name="_Toc258401267"/>
    </w:p>
    <w:p>
      <w:pPr>
        <w:jc w:val="center"/>
        <w:outlineLvl w:val="1"/>
        <w:rPr>
          <w:rFonts w:ascii="仿宋" w:hAnsi="仿宋" w:eastAsia="仿宋" w:cs="仿宋"/>
          <w:b/>
          <w:bCs/>
          <w:color w:val="000000" w:themeColor="text1"/>
          <w:sz w:val="28"/>
          <w:szCs w:val="28"/>
          <w14:textFill>
            <w14:solidFill>
              <w14:schemeClr w14:val="tx1"/>
            </w14:solidFill>
          </w14:textFill>
        </w:rPr>
      </w:pPr>
    </w:p>
    <w:p>
      <w:pPr>
        <w:pStyle w:val="2"/>
      </w:pPr>
    </w:p>
    <w:p>
      <w:pPr>
        <w:jc w:val="center"/>
        <w:outlineLvl w:val="1"/>
        <w:rPr>
          <w:rFonts w:ascii="仿宋" w:hAnsi="仿宋" w:eastAsia="仿宋" w:cs="仿宋"/>
          <w:b/>
          <w:bCs/>
          <w:color w:val="000000" w:themeColor="text1"/>
          <w:sz w:val="28"/>
          <w:szCs w:val="28"/>
          <w14:textFill>
            <w14:solidFill>
              <w14:schemeClr w14:val="tx1"/>
            </w14:solidFill>
          </w14:textFill>
        </w:rPr>
      </w:pPr>
    </w:p>
    <w:p>
      <w:pPr>
        <w:jc w:val="center"/>
        <w:outlineLvl w:val="1"/>
        <w:rPr>
          <w:rFonts w:ascii="仿宋" w:hAnsi="仿宋" w:eastAsia="仿宋" w:cs="仿宋"/>
          <w:b/>
          <w:bCs/>
          <w:color w:val="000000" w:themeColor="text1"/>
          <w:sz w:val="28"/>
          <w:szCs w:val="28"/>
          <w14:textFill>
            <w14:solidFill>
              <w14:schemeClr w14:val="tx1"/>
            </w14:solidFill>
          </w14:textFill>
        </w:rPr>
      </w:pPr>
    </w:p>
    <w:p>
      <w:pPr>
        <w:jc w:val="center"/>
        <w:outlineLvl w:val="1"/>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3、参与人资质材料</w:t>
      </w:r>
    </w:p>
    <w:p>
      <w:pPr>
        <w:pStyle w:val="43"/>
        <w:rPr>
          <w:rFonts w:ascii="仿宋" w:hAnsi="仿宋" w:eastAsia="仿宋" w:cs="仿宋"/>
          <w:color w:val="000000" w:themeColor="text1"/>
          <w:sz w:val="28"/>
          <w:szCs w:val="28"/>
          <w14:textFill>
            <w14:solidFill>
              <w14:schemeClr w14:val="tx1"/>
            </w14:solidFill>
          </w14:textFill>
        </w:rPr>
      </w:pPr>
    </w:p>
    <w:p>
      <w:pPr>
        <w:spacing w:after="0"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参与人需要提供以下材料：</w:t>
      </w:r>
    </w:p>
    <w:p>
      <w:pPr>
        <w:pStyle w:val="58"/>
        <w:numPr>
          <w:ilvl w:val="0"/>
          <w:numId w:val="5"/>
        </w:numPr>
        <w:spacing w:after="0" w:line="500" w:lineRule="exact"/>
        <w:ind w:firstLineChars="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营业执照复印件</w:t>
      </w:r>
    </w:p>
    <w:p>
      <w:pPr>
        <w:pStyle w:val="58"/>
        <w:numPr>
          <w:ilvl w:val="0"/>
          <w:numId w:val="5"/>
        </w:numPr>
        <w:spacing w:after="0" w:line="500" w:lineRule="exact"/>
        <w:ind w:firstLineChars="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授权经销商或代理商证明材料复印件</w:t>
      </w:r>
    </w:p>
    <w:p>
      <w:pPr>
        <w:pStyle w:val="58"/>
        <w:numPr>
          <w:ilvl w:val="0"/>
          <w:numId w:val="5"/>
        </w:numPr>
        <w:spacing w:after="0" w:line="500" w:lineRule="exact"/>
        <w:ind w:firstLineChars="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质保期和售后服务承诺书（参与人自行起草）</w:t>
      </w:r>
    </w:p>
    <w:p>
      <w:pPr>
        <w:spacing w:line="380" w:lineRule="exact"/>
        <w:rPr>
          <w:rFonts w:ascii="仿宋" w:hAnsi="仿宋" w:eastAsia="仿宋" w:cs="仿宋"/>
          <w:color w:val="000000" w:themeColor="text1"/>
          <w:sz w:val="28"/>
          <w:szCs w:val="28"/>
          <w14:textFill>
            <w14:solidFill>
              <w14:schemeClr w14:val="tx1"/>
            </w14:solidFill>
          </w14:textFill>
        </w:rPr>
      </w:pPr>
    </w:p>
    <w:p>
      <w:pPr>
        <w:spacing w:line="380" w:lineRule="exact"/>
        <w:rPr>
          <w:rFonts w:ascii="仿宋" w:hAnsi="仿宋" w:eastAsia="仿宋" w:cs="仿宋"/>
          <w:b/>
          <w:bCs/>
          <w:sz w:val="24"/>
          <w:szCs w:val="24"/>
        </w:rPr>
      </w:pPr>
      <w:r>
        <w:rPr>
          <w:rFonts w:hint="eastAsia" w:ascii="仿宋" w:hAnsi="仿宋" w:eastAsia="仿宋" w:cs="仿宋"/>
          <w:b/>
          <w:bCs/>
          <w:color w:val="000000" w:themeColor="text1"/>
          <w:sz w:val="28"/>
          <w:szCs w:val="28"/>
          <w14:textFill>
            <w14:solidFill>
              <w14:schemeClr w14:val="tx1"/>
            </w14:solidFill>
          </w14:textFill>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sectPr>
      <w:headerReference r:id="rId13" w:type="first"/>
      <w:footerReference r:id="rId14" w:type="default"/>
      <w:type w:val="continuous"/>
      <w:pgSz w:w="11906" w:h="16838"/>
      <w:pgMar w:top="1440" w:right="1416" w:bottom="144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swiss"/>
    <w:pitch w:val="default"/>
    <w:sig w:usb0="00000000" w:usb1="00000000" w:usb2="00000000" w:usb3="00000000" w:csb0="000000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4OTZhMzZiMTVjODNhMTIwZjc4ODhjODgzYjJlMTMifQ=="/>
  </w:docVars>
  <w:rsids>
    <w:rsidRoot w:val="00172A27"/>
    <w:rsid w:val="000044AD"/>
    <w:rsid w:val="0000490C"/>
    <w:rsid w:val="00004A19"/>
    <w:rsid w:val="0000733E"/>
    <w:rsid w:val="00017266"/>
    <w:rsid w:val="00026806"/>
    <w:rsid w:val="0002731B"/>
    <w:rsid w:val="00031D61"/>
    <w:rsid w:val="00041909"/>
    <w:rsid w:val="000569E1"/>
    <w:rsid w:val="00064E4D"/>
    <w:rsid w:val="00070A6D"/>
    <w:rsid w:val="0007244C"/>
    <w:rsid w:val="00074B20"/>
    <w:rsid w:val="00082572"/>
    <w:rsid w:val="00091346"/>
    <w:rsid w:val="00092390"/>
    <w:rsid w:val="000934D4"/>
    <w:rsid w:val="000940AF"/>
    <w:rsid w:val="00096B8B"/>
    <w:rsid w:val="000A06E4"/>
    <w:rsid w:val="000A18C2"/>
    <w:rsid w:val="000A482E"/>
    <w:rsid w:val="000C09AE"/>
    <w:rsid w:val="000D4D71"/>
    <w:rsid w:val="000D4FB9"/>
    <w:rsid w:val="000F37DD"/>
    <w:rsid w:val="000F4F45"/>
    <w:rsid w:val="00112269"/>
    <w:rsid w:val="0012724D"/>
    <w:rsid w:val="0013118F"/>
    <w:rsid w:val="00146B60"/>
    <w:rsid w:val="00147E05"/>
    <w:rsid w:val="001561E9"/>
    <w:rsid w:val="0016249C"/>
    <w:rsid w:val="00163B53"/>
    <w:rsid w:val="00172A27"/>
    <w:rsid w:val="00176CD4"/>
    <w:rsid w:val="00182C6E"/>
    <w:rsid w:val="00191234"/>
    <w:rsid w:val="001975A8"/>
    <w:rsid w:val="001A06A4"/>
    <w:rsid w:val="001A5B43"/>
    <w:rsid w:val="001B2557"/>
    <w:rsid w:val="001B719E"/>
    <w:rsid w:val="001C0845"/>
    <w:rsid w:val="001C2BFC"/>
    <w:rsid w:val="001C6943"/>
    <w:rsid w:val="001D1081"/>
    <w:rsid w:val="001E44E4"/>
    <w:rsid w:val="001E7B35"/>
    <w:rsid w:val="001F3952"/>
    <w:rsid w:val="001F4F58"/>
    <w:rsid w:val="00200F50"/>
    <w:rsid w:val="00204680"/>
    <w:rsid w:val="00215A21"/>
    <w:rsid w:val="00220FA1"/>
    <w:rsid w:val="00231B1F"/>
    <w:rsid w:val="00235942"/>
    <w:rsid w:val="00235C32"/>
    <w:rsid w:val="00237309"/>
    <w:rsid w:val="00241EA7"/>
    <w:rsid w:val="00244E90"/>
    <w:rsid w:val="002476C4"/>
    <w:rsid w:val="002644F6"/>
    <w:rsid w:val="002772BB"/>
    <w:rsid w:val="002807CE"/>
    <w:rsid w:val="00282FFD"/>
    <w:rsid w:val="002936CA"/>
    <w:rsid w:val="00295514"/>
    <w:rsid w:val="002961A3"/>
    <w:rsid w:val="002A1975"/>
    <w:rsid w:val="002B5EA2"/>
    <w:rsid w:val="002C2C3D"/>
    <w:rsid w:val="002C4297"/>
    <w:rsid w:val="002C533C"/>
    <w:rsid w:val="002C558F"/>
    <w:rsid w:val="002D191B"/>
    <w:rsid w:val="002E2902"/>
    <w:rsid w:val="002F3F54"/>
    <w:rsid w:val="002F61BF"/>
    <w:rsid w:val="00311B7B"/>
    <w:rsid w:val="00315D0D"/>
    <w:rsid w:val="0031762B"/>
    <w:rsid w:val="003222F2"/>
    <w:rsid w:val="00334E6F"/>
    <w:rsid w:val="0033686F"/>
    <w:rsid w:val="00343EEF"/>
    <w:rsid w:val="0034695A"/>
    <w:rsid w:val="00350AF8"/>
    <w:rsid w:val="003570A0"/>
    <w:rsid w:val="00370098"/>
    <w:rsid w:val="003716A7"/>
    <w:rsid w:val="003716F7"/>
    <w:rsid w:val="003737CE"/>
    <w:rsid w:val="00383EA0"/>
    <w:rsid w:val="003845F2"/>
    <w:rsid w:val="00384665"/>
    <w:rsid w:val="003924B5"/>
    <w:rsid w:val="003C0028"/>
    <w:rsid w:val="003C0E1A"/>
    <w:rsid w:val="003C406B"/>
    <w:rsid w:val="003C60EF"/>
    <w:rsid w:val="003D02FC"/>
    <w:rsid w:val="003D43EC"/>
    <w:rsid w:val="003D55C2"/>
    <w:rsid w:val="003E6439"/>
    <w:rsid w:val="003F20A6"/>
    <w:rsid w:val="003F36CB"/>
    <w:rsid w:val="003F4827"/>
    <w:rsid w:val="003F4C2C"/>
    <w:rsid w:val="003F6D67"/>
    <w:rsid w:val="00403AD6"/>
    <w:rsid w:val="00404FA2"/>
    <w:rsid w:val="00416AB1"/>
    <w:rsid w:val="004242F4"/>
    <w:rsid w:val="00424AA3"/>
    <w:rsid w:val="0043243C"/>
    <w:rsid w:val="00436823"/>
    <w:rsid w:val="00441955"/>
    <w:rsid w:val="00453BDA"/>
    <w:rsid w:val="0045488D"/>
    <w:rsid w:val="004632D3"/>
    <w:rsid w:val="00464CB2"/>
    <w:rsid w:val="00467BE1"/>
    <w:rsid w:val="00477053"/>
    <w:rsid w:val="00482E03"/>
    <w:rsid w:val="004842C5"/>
    <w:rsid w:val="00485EE6"/>
    <w:rsid w:val="00486EEF"/>
    <w:rsid w:val="00490E29"/>
    <w:rsid w:val="00494088"/>
    <w:rsid w:val="00495025"/>
    <w:rsid w:val="004956C0"/>
    <w:rsid w:val="00495A1D"/>
    <w:rsid w:val="004A6E7B"/>
    <w:rsid w:val="004B4E97"/>
    <w:rsid w:val="004B66B1"/>
    <w:rsid w:val="004D3E79"/>
    <w:rsid w:val="004E06EB"/>
    <w:rsid w:val="004E0DBF"/>
    <w:rsid w:val="004E24DE"/>
    <w:rsid w:val="004E3E6F"/>
    <w:rsid w:val="004F3FCE"/>
    <w:rsid w:val="00500FB5"/>
    <w:rsid w:val="00502F52"/>
    <w:rsid w:val="00517197"/>
    <w:rsid w:val="00527BFC"/>
    <w:rsid w:val="00543220"/>
    <w:rsid w:val="00553238"/>
    <w:rsid w:val="005553AB"/>
    <w:rsid w:val="00561EC1"/>
    <w:rsid w:val="00562F2E"/>
    <w:rsid w:val="0057646C"/>
    <w:rsid w:val="00582530"/>
    <w:rsid w:val="005873BF"/>
    <w:rsid w:val="00590957"/>
    <w:rsid w:val="0059251D"/>
    <w:rsid w:val="005A5A4D"/>
    <w:rsid w:val="005B24C4"/>
    <w:rsid w:val="005B48FA"/>
    <w:rsid w:val="005C2170"/>
    <w:rsid w:val="005C6E27"/>
    <w:rsid w:val="005E4228"/>
    <w:rsid w:val="005F1FC8"/>
    <w:rsid w:val="00607B2B"/>
    <w:rsid w:val="00614268"/>
    <w:rsid w:val="006230ED"/>
    <w:rsid w:val="00624155"/>
    <w:rsid w:val="00630374"/>
    <w:rsid w:val="006375CF"/>
    <w:rsid w:val="006458AD"/>
    <w:rsid w:val="00645EFA"/>
    <w:rsid w:val="0064713E"/>
    <w:rsid w:val="0064793B"/>
    <w:rsid w:val="00652323"/>
    <w:rsid w:val="0066427F"/>
    <w:rsid w:val="006651E0"/>
    <w:rsid w:val="006652BF"/>
    <w:rsid w:val="00665A94"/>
    <w:rsid w:val="00684FEF"/>
    <w:rsid w:val="00691E02"/>
    <w:rsid w:val="006A084D"/>
    <w:rsid w:val="006B244D"/>
    <w:rsid w:val="006B6F8C"/>
    <w:rsid w:val="006C2D5E"/>
    <w:rsid w:val="006D02DB"/>
    <w:rsid w:val="006D27DD"/>
    <w:rsid w:val="006D53F9"/>
    <w:rsid w:val="006D6492"/>
    <w:rsid w:val="006D65D2"/>
    <w:rsid w:val="006F3C71"/>
    <w:rsid w:val="006F5FBA"/>
    <w:rsid w:val="00702C4A"/>
    <w:rsid w:val="00703879"/>
    <w:rsid w:val="00705550"/>
    <w:rsid w:val="00723B1F"/>
    <w:rsid w:val="00735819"/>
    <w:rsid w:val="00737694"/>
    <w:rsid w:val="00740356"/>
    <w:rsid w:val="00742D2F"/>
    <w:rsid w:val="00745DF4"/>
    <w:rsid w:val="007550F2"/>
    <w:rsid w:val="00775CE1"/>
    <w:rsid w:val="00780A6F"/>
    <w:rsid w:val="00790192"/>
    <w:rsid w:val="0079407E"/>
    <w:rsid w:val="007B0F09"/>
    <w:rsid w:val="007B2319"/>
    <w:rsid w:val="007B5846"/>
    <w:rsid w:val="007B5C67"/>
    <w:rsid w:val="007C0756"/>
    <w:rsid w:val="007C3EF2"/>
    <w:rsid w:val="007C719E"/>
    <w:rsid w:val="007D5A32"/>
    <w:rsid w:val="007E12A9"/>
    <w:rsid w:val="007E4679"/>
    <w:rsid w:val="00802261"/>
    <w:rsid w:val="00807A7B"/>
    <w:rsid w:val="00820F76"/>
    <w:rsid w:val="00821371"/>
    <w:rsid w:val="00832069"/>
    <w:rsid w:val="00844ABD"/>
    <w:rsid w:val="0085479C"/>
    <w:rsid w:val="00865B30"/>
    <w:rsid w:val="00867893"/>
    <w:rsid w:val="008733EA"/>
    <w:rsid w:val="00874219"/>
    <w:rsid w:val="00875E40"/>
    <w:rsid w:val="00876AB6"/>
    <w:rsid w:val="008843FB"/>
    <w:rsid w:val="008902DC"/>
    <w:rsid w:val="008A7DBB"/>
    <w:rsid w:val="008B31EE"/>
    <w:rsid w:val="008B4FB6"/>
    <w:rsid w:val="008C2433"/>
    <w:rsid w:val="008C32D6"/>
    <w:rsid w:val="008D05CA"/>
    <w:rsid w:val="008D2D55"/>
    <w:rsid w:val="008D5688"/>
    <w:rsid w:val="008E5F9A"/>
    <w:rsid w:val="008F1544"/>
    <w:rsid w:val="008F1965"/>
    <w:rsid w:val="008F47CB"/>
    <w:rsid w:val="00906C23"/>
    <w:rsid w:val="00916532"/>
    <w:rsid w:val="009206ED"/>
    <w:rsid w:val="00923C7E"/>
    <w:rsid w:val="0092599B"/>
    <w:rsid w:val="00936704"/>
    <w:rsid w:val="00941CEB"/>
    <w:rsid w:val="00945B37"/>
    <w:rsid w:val="009548E4"/>
    <w:rsid w:val="009606BC"/>
    <w:rsid w:val="009622D2"/>
    <w:rsid w:val="00964CEA"/>
    <w:rsid w:val="00967E57"/>
    <w:rsid w:val="00970E44"/>
    <w:rsid w:val="00974742"/>
    <w:rsid w:val="00977EF1"/>
    <w:rsid w:val="0098102A"/>
    <w:rsid w:val="00985FC2"/>
    <w:rsid w:val="00994E59"/>
    <w:rsid w:val="009A19FA"/>
    <w:rsid w:val="009A635D"/>
    <w:rsid w:val="009A6925"/>
    <w:rsid w:val="009B035D"/>
    <w:rsid w:val="009B38B3"/>
    <w:rsid w:val="009B5A7A"/>
    <w:rsid w:val="009B75DB"/>
    <w:rsid w:val="009C0273"/>
    <w:rsid w:val="009C3840"/>
    <w:rsid w:val="009C3D80"/>
    <w:rsid w:val="009C7584"/>
    <w:rsid w:val="009C77D4"/>
    <w:rsid w:val="009D6222"/>
    <w:rsid w:val="009D75D8"/>
    <w:rsid w:val="009E759F"/>
    <w:rsid w:val="00A005E3"/>
    <w:rsid w:val="00A04519"/>
    <w:rsid w:val="00A10022"/>
    <w:rsid w:val="00A148CE"/>
    <w:rsid w:val="00A24465"/>
    <w:rsid w:val="00A265CF"/>
    <w:rsid w:val="00A26B1D"/>
    <w:rsid w:val="00A40610"/>
    <w:rsid w:val="00A4220E"/>
    <w:rsid w:val="00A44A63"/>
    <w:rsid w:val="00A625F7"/>
    <w:rsid w:val="00A64A5B"/>
    <w:rsid w:val="00A6611C"/>
    <w:rsid w:val="00A73E47"/>
    <w:rsid w:val="00A8390A"/>
    <w:rsid w:val="00A921E6"/>
    <w:rsid w:val="00AA5A63"/>
    <w:rsid w:val="00AB75B7"/>
    <w:rsid w:val="00AC50D8"/>
    <w:rsid w:val="00AD29A3"/>
    <w:rsid w:val="00AE4A31"/>
    <w:rsid w:val="00AF1CE1"/>
    <w:rsid w:val="00AF3C2A"/>
    <w:rsid w:val="00B016CA"/>
    <w:rsid w:val="00B14C37"/>
    <w:rsid w:val="00B35205"/>
    <w:rsid w:val="00B430EE"/>
    <w:rsid w:val="00B53F63"/>
    <w:rsid w:val="00B54440"/>
    <w:rsid w:val="00B554E7"/>
    <w:rsid w:val="00B60843"/>
    <w:rsid w:val="00B613BB"/>
    <w:rsid w:val="00B61E3B"/>
    <w:rsid w:val="00B9025C"/>
    <w:rsid w:val="00BA1DC6"/>
    <w:rsid w:val="00BA4686"/>
    <w:rsid w:val="00BA7AF2"/>
    <w:rsid w:val="00BB038D"/>
    <w:rsid w:val="00BB0F65"/>
    <w:rsid w:val="00BC2A5F"/>
    <w:rsid w:val="00BD49FB"/>
    <w:rsid w:val="00BD7232"/>
    <w:rsid w:val="00BE1921"/>
    <w:rsid w:val="00BE3AA2"/>
    <w:rsid w:val="00C019D8"/>
    <w:rsid w:val="00C035B5"/>
    <w:rsid w:val="00C03700"/>
    <w:rsid w:val="00C03744"/>
    <w:rsid w:val="00C03BFF"/>
    <w:rsid w:val="00C24328"/>
    <w:rsid w:val="00C35176"/>
    <w:rsid w:val="00C4469C"/>
    <w:rsid w:val="00C44740"/>
    <w:rsid w:val="00C46CBE"/>
    <w:rsid w:val="00C53205"/>
    <w:rsid w:val="00C53790"/>
    <w:rsid w:val="00C53D70"/>
    <w:rsid w:val="00C55D10"/>
    <w:rsid w:val="00C66E1E"/>
    <w:rsid w:val="00C676BA"/>
    <w:rsid w:val="00C81AB4"/>
    <w:rsid w:val="00C8537C"/>
    <w:rsid w:val="00C857BF"/>
    <w:rsid w:val="00C872BA"/>
    <w:rsid w:val="00C93464"/>
    <w:rsid w:val="00C97CD5"/>
    <w:rsid w:val="00CA48A5"/>
    <w:rsid w:val="00CA4EF8"/>
    <w:rsid w:val="00CB5A61"/>
    <w:rsid w:val="00CF096E"/>
    <w:rsid w:val="00D131BB"/>
    <w:rsid w:val="00D2102C"/>
    <w:rsid w:val="00D23E6F"/>
    <w:rsid w:val="00D2428C"/>
    <w:rsid w:val="00D268B8"/>
    <w:rsid w:val="00D31624"/>
    <w:rsid w:val="00D36D52"/>
    <w:rsid w:val="00D441A4"/>
    <w:rsid w:val="00D56DEA"/>
    <w:rsid w:val="00D63CE3"/>
    <w:rsid w:val="00D710EA"/>
    <w:rsid w:val="00D81172"/>
    <w:rsid w:val="00D920FD"/>
    <w:rsid w:val="00D92ED7"/>
    <w:rsid w:val="00DA0D64"/>
    <w:rsid w:val="00DA5179"/>
    <w:rsid w:val="00DB059A"/>
    <w:rsid w:val="00DB64C3"/>
    <w:rsid w:val="00DC2A3E"/>
    <w:rsid w:val="00DC2C74"/>
    <w:rsid w:val="00DC7C62"/>
    <w:rsid w:val="00DE4C02"/>
    <w:rsid w:val="00DE53CA"/>
    <w:rsid w:val="00DF4B52"/>
    <w:rsid w:val="00DF6A55"/>
    <w:rsid w:val="00E04A37"/>
    <w:rsid w:val="00E06CBF"/>
    <w:rsid w:val="00E11567"/>
    <w:rsid w:val="00E2321D"/>
    <w:rsid w:val="00E30C8F"/>
    <w:rsid w:val="00E3241C"/>
    <w:rsid w:val="00E3310A"/>
    <w:rsid w:val="00E33B9E"/>
    <w:rsid w:val="00E33C1C"/>
    <w:rsid w:val="00E67206"/>
    <w:rsid w:val="00E737BC"/>
    <w:rsid w:val="00E77DB9"/>
    <w:rsid w:val="00E83F69"/>
    <w:rsid w:val="00E84BB5"/>
    <w:rsid w:val="00E85E7E"/>
    <w:rsid w:val="00E9406E"/>
    <w:rsid w:val="00E95973"/>
    <w:rsid w:val="00EA31FE"/>
    <w:rsid w:val="00EA320E"/>
    <w:rsid w:val="00EA340A"/>
    <w:rsid w:val="00EB0368"/>
    <w:rsid w:val="00EB1B4B"/>
    <w:rsid w:val="00EB4FC4"/>
    <w:rsid w:val="00EC2D26"/>
    <w:rsid w:val="00EC2FDD"/>
    <w:rsid w:val="00EC5886"/>
    <w:rsid w:val="00ED2437"/>
    <w:rsid w:val="00EE02A8"/>
    <w:rsid w:val="00EE3803"/>
    <w:rsid w:val="00F0149B"/>
    <w:rsid w:val="00F030C2"/>
    <w:rsid w:val="00F07716"/>
    <w:rsid w:val="00F15782"/>
    <w:rsid w:val="00F1721B"/>
    <w:rsid w:val="00F172D8"/>
    <w:rsid w:val="00F17683"/>
    <w:rsid w:val="00F23FCB"/>
    <w:rsid w:val="00F30016"/>
    <w:rsid w:val="00F66190"/>
    <w:rsid w:val="00F81C66"/>
    <w:rsid w:val="00F823F4"/>
    <w:rsid w:val="00F8646A"/>
    <w:rsid w:val="00F876DE"/>
    <w:rsid w:val="00F9131A"/>
    <w:rsid w:val="00F915AB"/>
    <w:rsid w:val="00F97E22"/>
    <w:rsid w:val="00FA1749"/>
    <w:rsid w:val="00FA4236"/>
    <w:rsid w:val="00FA5070"/>
    <w:rsid w:val="00FB099F"/>
    <w:rsid w:val="00FB2DCF"/>
    <w:rsid w:val="00FB7688"/>
    <w:rsid w:val="00FC4A83"/>
    <w:rsid w:val="00FD19CF"/>
    <w:rsid w:val="00FD2343"/>
    <w:rsid w:val="00FE1E93"/>
    <w:rsid w:val="00FE2A00"/>
    <w:rsid w:val="00FF1750"/>
    <w:rsid w:val="07150683"/>
    <w:rsid w:val="0FB5408F"/>
    <w:rsid w:val="14D53EE5"/>
    <w:rsid w:val="184F17AB"/>
    <w:rsid w:val="1AD81BF2"/>
    <w:rsid w:val="1BEC742C"/>
    <w:rsid w:val="208268EC"/>
    <w:rsid w:val="2A7C013C"/>
    <w:rsid w:val="2DD131C6"/>
    <w:rsid w:val="2E9278E2"/>
    <w:rsid w:val="2EF76197"/>
    <w:rsid w:val="300039B1"/>
    <w:rsid w:val="33F12D64"/>
    <w:rsid w:val="35933869"/>
    <w:rsid w:val="36265468"/>
    <w:rsid w:val="3F7B1C31"/>
    <w:rsid w:val="411E5593"/>
    <w:rsid w:val="495B2848"/>
    <w:rsid w:val="4BAD18DA"/>
    <w:rsid w:val="4CE038D4"/>
    <w:rsid w:val="4EFC0DA6"/>
    <w:rsid w:val="4F785859"/>
    <w:rsid w:val="57CC0FC7"/>
    <w:rsid w:val="65225B79"/>
    <w:rsid w:val="689564A6"/>
    <w:rsid w:val="6A923527"/>
    <w:rsid w:val="6D814CBA"/>
    <w:rsid w:val="71E83163"/>
    <w:rsid w:val="7C906096"/>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8"/>
    <w:semiHidden/>
    <w:unhideWhenUsed/>
    <w:qFormat/>
    <w:uiPriority w:val="9"/>
    <w:pPr>
      <w:keepNext/>
      <w:keepLines/>
      <w:spacing w:before="120" w:after="0"/>
      <w:outlineLvl w:val="6"/>
    </w:pPr>
    <w:rPr>
      <w:i/>
      <w:iCs/>
    </w:rPr>
  </w:style>
  <w:style w:type="paragraph" w:styleId="10">
    <w:name w:val="heading 8"/>
    <w:basedOn w:val="1"/>
    <w:next w:val="1"/>
    <w:link w:val="39"/>
    <w:semiHidden/>
    <w:unhideWhenUsed/>
    <w:qFormat/>
    <w:uiPriority w:val="9"/>
    <w:pPr>
      <w:keepNext/>
      <w:keepLines/>
      <w:spacing w:before="120" w:after="0"/>
      <w:outlineLvl w:val="7"/>
    </w:pPr>
    <w:rPr>
      <w:b/>
      <w:bCs/>
    </w:rPr>
  </w:style>
  <w:style w:type="paragraph" w:styleId="11">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62"/>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1"/>
    <w:unhideWhenUsed/>
    <w:qFormat/>
    <w:uiPriority w:val="0"/>
    <w:rPr>
      <w:rFonts w:hAnsi="Courier New" w:cs="Courier New" w:asciiTheme="minorEastAsia"/>
    </w:rPr>
  </w:style>
  <w:style w:type="paragraph" w:styleId="16">
    <w:name w:val="Balloon Text"/>
    <w:basedOn w:val="1"/>
    <w:link w:val="66"/>
    <w:semiHidden/>
    <w:unhideWhenUsed/>
    <w:qFormat/>
    <w:uiPriority w:val="99"/>
    <w:pPr>
      <w:spacing w:after="0" w:line="240" w:lineRule="auto"/>
    </w:pPr>
    <w:rPr>
      <w:sz w:val="18"/>
      <w:szCs w:val="18"/>
    </w:rPr>
  </w:style>
  <w:style w:type="paragraph" w:styleId="17">
    <w:name w:val="footer"/>
    <w:basedOn w:val="1"/>
    <w:link w:val="57"/>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2"/>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9"/>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semiHidden/>
    <w:unhideWhenUsed/>
    <w:qFormat/>
    <w:uiPriority w:val="99"/>
    <w:pPr>
      <w:spacing w:beforeAutospacing="1" w:after="0" w:afterAutospacing="1"/>
      <w:jc w:val="left"/>
    </w:pPr>
    <w:rPr>
      <w:rFonts w:cs="Times New Roman"/>
      <w:sz w:val="24"/>
    </w:rPr>
  </w:style>
  <w:style w:type="paragraph" w:styleId="24">
    <w:name w:val="Title"/>
    <w:basedOn w:val="1"/>
    <w:next w:val="1"/>
    <w:link w:val="41"/>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basedOn w:val="27"/>
    <w:qFormat/>
    <w:uiPriority w:val="22"/>
    <w:rPr>
      <w:b/>
      <w:bCs/>
      <w:color w:val="auto"/>
    </w:rPr>
  </w:style>
  <w:style w:type="character" w:styleId="29">
    <w:name w:val="page number"/>
    <w:basedOn w:val="27"/>
    <w:qFormat/>
    <w:uiPriority w:val="99"/>
    <w:rPr>
      <w:rFonts w:cs="Times New Roman"/>
    </w:rPr>
  </w:style>
  <w:style w:type="character" w:styleId="30">
    <w:name w:val="Emphasis"/>
    <w:basedOn w:val="27"/>
    <w:qFormat/>
    <w:uiPriority w:val="20"/>
    <w:rPr>
      <w:i/>
      <w:iCs/>
      <w:color w:val="auto"/>
    </w:rPr>
  </w:style>
  <w:style w:type="character" w:styleId="31">
    <w:name w:val="Hyperlink"/>
    <w:basedOn w:val="27"/>
    <w:unhideWhenUsed/>
    <w:qFormat/>
    <w:uiPriority w:val="99"/>
    <w:rPr>
      <w:color w:val="F49100"/>
      <w:u w:val="single"/>
    </w:rPr>
  </w:style>
  <w:style w:type="character" w:customStyle="1" w:styleId="32">
    <w:name w:val="标题 1 字符"/>
    <w:basedOn w:val="27"/>
    <w:link w:val="3"/>
    <w:qFormat/>
    <w:uiPriority w:val="9"/>
    <w:rPr>
      <w:rFonts w:asciiTheme="majorHAnsi" w:hAnsiTheme="majorHAnsi" w:eastAsiaTheme="majorEastAsia" w:cstheme="majorBidi"/>
      <w:b/>
      <w:bCs/>
      <w:caps/>
      <w:spacing w:val="4"/>
      <w:sz w:val="28"/>
      <w:szCs w:val="28"/>
    </w:rPr>
  </w:style>
  <w:style w:type="character" w:customStyle="1" w:styleId="33">
    <w:name w:val="标题 2 字符"/>
    <w:basedOn w:val="27"/>
    <w:link w:val="4"/>
    <w:semiHidden/>
    <w:qFormat/>
    <w:uiPriority w:val="9"/>
    <w:rPr>
      <w:rFonts w:asciiTheme="majorHAnsi" w:hAnsiTheme="majorHAnsi" w:eastAsiaTheme="majorEastAsia" w:cstheme="majorBidi"/>
      <w:b/>
      <w:bCs/>
      <w:sz w:val="28"/>
      <w:szCs w:val="28"/>
    </w:rPr>
  </w:style>
  <w:style w:type="character" w:customStyle="1" w:styleId="34">
    <w:name w:val="标题 3 字符"/>
    <w:basedOn w:val="27"/>
    <w:link w:val="5"/>
    <w:semiHidden/>
    <w:qFormat/>
    <w:uiPriority w:val="9"/>
    <w:rPr>
      <w:rFonts w:asciiTheme="majorHAnsi" w:hAnsiTheme="majorHAnsi" w:eastAsiaTheme="majorEastAsia" w:cstheme="majorBidi"/>
      <w:spacing w:val="4"/>
      <w:sz w:val="24"/>
      <w:szCs w:val="24"/>
    </w:rPr>
  </w:style>
  <w:style w:type="character" w:customStyle="1" w:styleId="35">
    <w:name w:val="标题 4 字符"/>
    <w:basedOn w:val="27"/>
    <w:link w:val="6"/>
    <w:semiHidden/>
    <w:qFormat/>
    <w:uiPriority w:val="9"/>
    <w:rPr>
      <w:rFonts w:asciiTheme="majorHAnsi" w:hAnsiTheme="majorHAnsi" w:eastAsiaTheme="majorEastAsia" w:cstheme="majorBidi"/>
      <w:i/>
      <w:iCs/>
      <w:sz w:val="24"/>
      <w:szCs w:val="24"/>
    </w:rPr>
  </w:style>
  <w:style w:type="character" w:customStyle="1" w:styleId="36">
    <w:name w:val="标题 5 字符"/>
    <w:basedOn w:val="27"/>
    <w:link w:val="7"/>
    <w:semiHidden/>
    <w:qFormat/>
    <w:uiPriority w:val="9"/>
    <w:rPr>
      <w:rFonts w:asciiTheme="majorHAnsi" w:hAnsiTheme="majorHAnsi" w:eastAsiaTheme="majorEastAsia" w:cstheme="majorBidi"/>
      <w:b/>
      <w:bCs/>
    </w:rPr>
  </w:style>
  <w:style w:type="character" w:customStyle="1" w:styleId="37">
    <w:name w:val="标题 6 字符"/>
    <w:basedOn w:val="27"/>
    <w:link w:val="8"/>
    <w:semiHidden/>
    <w:qFormat/>
    <w:uiPriority w:val="9"/>
    <w:rPr>
      <w:rFonts w:asciiTheme="majorHAnsi" w:hAnsiTheme="majorHAnsi" w:eastAsiaTheme="majorEastAsia" w:cstheme="majorBidi"/>
      <w:b/>
      <w:bCs/>
      <w:i/>
      <w:iCs/>
    </w:rPr>
  </w:style>
  <w:style w:type="character" w:customStyle="1" w:styleId="38">
    <w:name w:val="标题 7 字符"/>
    <w:basedOn w:val="27"/>
    <w:link w:val="9"/>
    <w:semiHidden/>
    <w:qFormat/>
    <w:uiPriority w:val="9"/>
    <w:rPr>
      <w:i/>
      <w:iCs/>
    </w:rPr>
  </w:style>
  <w:style w:type="character" w:customStyle="1" w:styleId="39">
    <w:name w:val="标题 8 字符"/>
    <w:basedOn w:val="27"/>
    <w:link w:val="10"/>
    <w:semiHidden/>
    <w:qFormat/>
    <w:uiPriority w:val="9"/>
    <w:rPr>
      <w:b/>
      <w:bCs/>
    </w:rPr>
  </w:style>
  <w:style w:type="character" w:customStyle="1" w:styleId="40">
    <w:name w:val="标题 9 字符"/>
    <w:basedOn w:val="27"/>
    <w:link w:val="11"/>
    <w:semiHidden/>
    <w:qFormat/>
    <w:uiPriority w:val="9"/>
    <w:rPr>
      <w:i/>
      <w:iCs/>
    </w:rPr>
  </w:style>
  <w:style w:type="character" w:customStyle="1" w:styleId="41">
    <w:name w:val="标题 字符"/>
    <w:basedOn w:val="27"/>
    <w:link w:val="24"/>
    <w:qFormat/>
    <w:uiPriority w:val="10"/>
    <w:rPr>
      <w:rFonts w:asciiTheme="majorHAnsi" w:hAnsiTheme="majorHAnsi" w:eastAsiaTheme="majorEastAsia" w:cstheme="majorBidi"/>
      <w:b/>
      <w:bCs/>
      <w:spacing w:val="-7"/>
      <w:sz w:val="48"/>
      <w:szCs w:val="48"/>
    </w:rPr>
  </w:style>
  <w:style w:type="character" w:customStyle="1" w:styleId="42">
    <w:name w:val="副标题 字符"/>
    <w:basedOn w:val="27"/>
    <w:link w:val="20"/>
    <w:qFormat/>
    <w:uiPriority w:val="11"/>
    <w:rPr>
      <w:rFonts w:asciiTheme="majorHAnsi" w:hAnsiTheme="majorHAnsi" w:eastAsiaTheme="majorEastAsia" w:cstheme="majorBidi"/>
      <w:sz w:val="24"/>
      <w:szCs w:val="24"/>
    </w:rPr>
  </w:style>
  <w:style w:type="paragraph" w:styleId="43">
    <w:name w:val="No Spacing"/>
    <w:link w:val="54"/>
    <w:qFormat/>
    <w:uiPriority w:val="1"/>
    <w:pPr>
      <w:jc w:val="both"/>
    </w:pPr>
    <w:rPr>
      <w:rFonts w:asciiTheme="minorHAnsi" w:hAnsiTheme="minorHAnsi" w:eastAsiaTheme="minorEastAsia" w:cstheme="minorBidi"/>
      <w:sz w:val="22"/>
      <w:szCs w:val="22"/>
      <w:lang w:val="en-US" w:eastAsia="zh-CN" w:bidi="ar-SA"/>
    </w:rPr>
  </w:style>
  <w:style w:type="paragraph" w:styleId="44">
    <w:name w:val="Quote"/>
    <w:basedOn w:val="1"/>
    <w:next w:val="1"/>
    <w:link w:val="45"/>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5">
    <w:name w:val="引用 字符"/>
    <w:basedOn w:val="27"/>
    <w:link w:val="44"/>
    <w:qFormat/>
    <w:uiPriority w:val="29"/>
    <w:rPr>
      <w:rFonts w:asciiTheme="majorHAnsi" w:hAnsiTheme="majorHAnsi" w:eastAsiaTheme="majorEastAsia" w:cstheme="majorBidi"/>
      <w:i/>
      <w:iCs/>
      <w:sz w:val="24"/>
      <w:szCs w:val="24"/>
    </w:rPr>
  </w:style>
  <w:style w:type="paragraph" w:styleId="46">
    <w:name w:val="Intense Quote"/>
    <w:basedOn w:val="1"/>
    <w:next w:val="1"/>
    <w:link w:val="47"/>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7">
    <w:name w:val="明显引用 字符"/>
    <w:basedOn w:val="27"/>
    <w:link w:val="46"/>
    <w:qFormat/>
    <w:uiPriority w:val="30"/>
    <w:rPr>
      <w:rFonts w:asciiTheme="majorHAnsi" w:hAnsiTheme="majorHAnsi" w:eastAsiaTheme="majorEastAsia" w:cstheme="majorBidi"/>
      <w:sz w:val="26"/>
      <w:szCs w:val="26"/>
    </w:rPr>
  </w:style>
  <w:style w:type="character" w:customStyle="1" w:styleId="48">
    <w:name w:val="不明显强调1"/>
    <w:basedOn w:val="27"/>
    <w:qFormat/>
    <w:uiPriority w:val="19"/>
    <w:rPr>
      <w:i/>
      <w:iCs/>
      <w:color w:val="auto"/>
    </w:rPr>
  </w:style>
  <w:style w:type="character" w:customStyle="1" w:styleId="49">
    <w:name w:val="明显强调1"/>
    <w:basedOn w:val="27"/>
    <w:qFormat/>
    <w:uiPriority w:val="21"/>
    <w:rPr>
      <w:b/>
      <w:bCs/>
      <w:i/>
      <w:iCs/>
      <w:color w:val="auto"/>
    </w:rPr>
  </w:style>
  <w:style w:type="character" w:customStyle="1" w:styleId="50">
    <w:name w:val="不明显参考1"/>
    <w:basedOn w:val="27"/>
    <w:qFormat/>
    <w:uiPriority w:val="31"/>
    <w:rPr>
      <w:smallCaps/>
      <w:color w:val="auto"/>
      <w:u w:val="single" w:color="7E7E7E" w:themeColor="text1" w:themeTint="80"/>
    </w:rPr>
  </w:style>
  <w:style w:type="character" w:customStyle="1" w:styleId="51">
    <w:name w:val="明显参考1"/>
    <w:basedOn w:val="27"/>
    <w:qFormat/>
    <w:uiPriority w:val="32"/>
    <w:rPr>
      <w:b/>
      <w:bCs/>
      <w:smallCaps/>
      <w:color w:val="auto"/>
      <w:u w:val="single"/>
    </w:rPr>
  </w:style>
  <w:style w:type="character" w:customStyle="1" w:styleId="52">
    <w:name w:val="书籍标题1"/>
    <w:basedOn w:val="27"/>
    <w:qFormat/>
    <w:uiPriority w:val="33"/>
    <w:rPr>
      <w:b/>
      <w:bCs/>
      <w:smallCaps/>
      <w:color w:val="auto"/>
    </w:rPr>
  </w:style>
  <w:style w:type="paragraph" w:customStyle="1" w:styleId="53">
    <w:name w:val="TOC 标题1"/>
    <w:basedOn w:val="3"/>
    <w:next w:val="1"/>
    <w:unhideWhenUsed/>
    <w:qFormat/>
    <w:uiPriority w:val="39"/>
    <w:pPr>
      <w:outlineLvl w:val="9"/>
    </w:pPr>
  </w:style>
  <w:style w:type="character" w:customStyle="1" w:styleId="54">
    <w:name w:val="无间隔 字符"/>
    <w:basedOn w:val="27"/>
    <w:link w:val="43"/>
    <w:qFormat/>
    <w:uiPriority w:val="1"/>
  </w:style>
  <w:style w:type="paragraph" w:customStyle="1" w:styleId="5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6">
    <w:name w:val="页眉 字符"/>
    <w:basedOn w:val="27"/>
    <w:link w:val="18"/>
    <w:qFormat/>
    <w:uiPriority w:val="99"/>
    <w:rPr>
      <w:sz w:val="18"/>
      <w:szCs w:val="18"/>
    </w:rPr>
  </w:style>
  <w:style w:type="character" w:customStyle="1" w:styleId="57">
    <w:name w:val="页脚 字符"/>
    <w:basedOn w:val="27"/>
    <w:link w:val="17"/>
    <w:qFormat/>
    <w:uiPriority w:val="99"/>
    <w:rPr>
      <w:sz w:val="18"/>
      <w:szCs w:val="18"/>
    </w:rPr>
  </w:style>
  <w:style w:type="paragraph" w:styleId="58">
    <w:name w:val="List Paragraph"/>
    <w:basedOn w:val="1"/>
    <w:qFormat/>
    <w:uiPriority w:val="34"/>
    <w:pPr>
      <w:ind w:firstLine="420" w:firstLineChars="200"/>
    </w:pPr>
  </w:style>
  <w:style w:type="character" w:customStyle="1" w:styleId="59">
    <w:name w:val="正文文本缩进 3 字符"/>
    <w:basedOn w:val="27"/>
    <w:link w:val="21"/>
    <w:qFormat/>
    <w:uiPriority w:val="0"/>
    <w:rPr>
      <w:rFonts w:ascii="Times New Roman" w:hAnsi="Times New Roman" w:eastAsia="宋体" w:cs="Times New Roman"/>
      <w:kern w:val="2"/>
      <w:sz w:val="16"/>
      <w:szCs w:val="16"/>
    </w:rPr>
  </w:style>
  <w:style w:type="paragraph" w:customStyle="1" w:styleId="60">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1">
    <w:name w:val="纯文本 字符"/>
    <w:basedOn w:val="27"/>
    <w:link w:val="15"/>
    <w:semiHidden/>
    <w:qFormat/>
    <w:uiPriority w:val="99"/>
    <w:rPr>
      <w:rFonts w:hAnsi="Courier New" w:cs="Courier New" w:asciiTheme="minorEastAsia"/>
    </w:rPr>
  </w:style>
  <w:style w:type="character" w:customStyle="1" w:styleId="62">
    <w:name w:val="正文文本 字符"/>
    <w:basedOn w:val="27"/>
    <w:link w:val="2"/>
    <w:qFormat/>
    <w:uiPriority w:val="99"/>
  </w:style>
  <w:style w:type="character" w:customStyle="1" w:styleId="63">
    <w:name w:val="纯文本 Char"/>
    <w:qFormat/>
    <w:uiPriority w:val="0"/>
    <w:rPr>
      <w:rFonts w:ascii="宋体" w:hAnsi="Courier New" w:eastAsia="宋体"/>
      <w:kern w:val="2"/>
      <w:sz w:val="21"/>
      <w:lang w:val="en-US" w:eastAsia="zh-CN" w:bidi="ar-SA"/>
    </w:rPr>
  </w:style>
  <w:style w:type="character" w:customStyle="1" w:styleId="64">
    <w:name w:val="font11"/>
    <w:basedOn w:val="27"/>
    <w:qFormat/>
    <w:uiPriority w:val="0"/>
    <w:rPr>
      <w:rFonts w:hint="eastAsia" w:ascii="微软雅黑" w:hAnsi="微软雅黑" w:eastAsia="微软雅黑" w:cs="微软雅黑"/>
      <w:color w:val="000000"/>
      <w:sz w:val="16"/>
      <w:szCs w:val="16"/>
      <w:u w:val="none"/>
    </w:rPr>
  </w:style>
  <w:style w:type="character" w:customStyle="1" w:styleId="65">
    <w:name w:val="font01"/>
    <w:basedOn w:val="27"/>
    <w:qFormat/>
    <w:uiPriority w:val="0"/>
    <w:rPr>
      <w:rFonts w:hint="eastAsia" w:ascii="微软雅黑" w:hAnsi="微软雅黑" w:eastAsia="微软雅黑" w:cs="微软雅黑"/>
      <w:color w:val="FF0000"/>
      <w:sz w:val="16"/>
      <w:szCs w:val="16"/>
      <w:u w:val="none"/>
    </w:rPr>
  </w:style>
  <w:style w:type="character" w:customStyle="1" w:styleId="66">
    <w:name w:val="批注框文本 字符"/>
    <w:basedOn w:val="27"/>
    <w:link w:val="16"/>
    <w:semiHidden/>
    <w:qFormat/>
    <w:uiPriority w:val="99"/>
    <w:rPr>
      <w:sz w:val="18"/>
      <w:szCs w:val="18"/>
    </w:rPr>
  </w:style>
  <w:style w:type="paragraph" w:customStyle="1" w:styleId="67">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png"/><Relationship Id="rId16" Type="http://schemas.openxmlformats.org/officeDocument/2006/relationships/image" Target="media/image3.jpeg"/><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10</Pages>
  <Words>524</Words>
  <Characters>2987</Characters>
  <Lines>24</Lines>
  <Paragraphs>7</Paragraphs>
  <TotalTime>21</TotalTime>
  <ScaleCrop>false</ScaleCrop>
  <LinksUpToDate>false</LinksUpToDate>
  <CharactersWithSpaces>3504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夜起南风</cp:lastModifiedBy>
  <dcterms:modified xsi:type="dcterms:W3CDTF">2022-06-30T06:40:25Z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B40CE6FC88E54B7993858A070B2F3E26</vt:lpwstr>
  </property>
</Properties>
</file>