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12454753"/>
      <w:bookmarkStart w:id="1" w:name="_Toc207014580"/>
      <w:bookmarkStart w:id="2" w:name="_Toc219800200"/>
      <w:bookmarkStart w:id="3" w:name="_Toc212526081"/>
      <w:bookmarkStart w:id="4" w:name="_Toc160880487"/>
      <w:bookmarkStart w:id="5" w:name="_Toc169332904"/>
      <w:bookmarkStart w:id="6" w:name="_Toc235438227"/>
      <w:bookmarkStart w:id="7" w:name="_Toc169332794"/>
      <w:bookmarkStart w:id="8" w:name="_Toc223146565"/>
      <w:bookmarkStart w:id="9" w:name="_Toc212456146"/>
      <w:bookmarkStart w:id="10" w:name="_Toc170798743"/>
      <w:bookmarkStart w:id="11" w:name="_Toc217891359"/>
      <w:bookmarkStart w:id="12" w:name="_Toc235438297"/>
      <w:bookmarkStart w:id="13" w:name="_Toc212530253"/>
      <w:bookmarkStart w:id="14" w:name="_Toc216241307"/>
      <w:bookmarkStart w:id="15" w:name="_Toc211937196"/>
      <w:bookmarkStart w:id="16" w:name="_Toc177985424"/>
      <w:bookmarkStart w:id="17" w:name="_Toc251613780"/>
      <w:bookmarkStart w:id="18" w:name="_Toc254790852"/>
      <w:bookmarkStart w:id="19" w:name="_Toc266868924"/>
      <w:bookmarkStart w:id="20" w:name="_Toc267059899"/>
      <w:bookmarkStart w:id="21" w:name="_Toc235437942"/>
      <w:bookmarkStart w:id="22" w:name="_Toc267059010"/>
      <w:bookmarkStart w:id="23" w:name="_Toc259692693"/>
      <w:bookmarkStart w:id="24" w:name="_Toc267059633"/>
      <w:bookmarkStart w:id="25" w:name="_Toc267060162"/>
      <w:bookmarkStart w:id="26" w:name="_Toc259520819"/>
      <w:bookmarkStart w:id="27" w:name="_Toc236021402"/>
      <w:bookmarkStart w:id="28" w:name="_Toc227058483"/>
      <w:bookmarkStart w:id="29" w:name="_Toc266870386"/>
      <w:bookmarkStart w:id="30" w:name="_Toc255974963"/>
      <w:bookmarkStart w:id="31" w:name="_Toc266868624"/>
      <w:bookmarkStart w:id="32" w:name="_Toc267059786"/>
      <w:bookmarkStart w:id="33" w:name="_Toc267059519"/>
      <w:bookmarkStart w:id="34" w:name="_Toc253066567"/>
      <w:bookmarkStart w:id="35" w:name="_Toc251586187"/>
      <w:bookmarkStart w:id="36" w:name="_Toc267059161"/>
      <w:bookmarkStart w:id="37" w:name="_Toc267060407"/>
      <w:bookmarkStart w:id="38" w:name="_Toc267060022"/>
      <w:bookmarkStart w:id="39" w:name="_Toc266870861"/>
      <w:bookmarkStart w:id="40" w:name="_Toc225669277"/>
      <w:bookmarkStart w:id="41" w:name="_Toc258401210"/>
      <w:bookmarkStart w:id="42" w:name="_Toc273178686"/>
      <w:bookmarkStart w:id="43" w:name="_Toc259692600"/>
      <w:bookmarkStart w:id="44" w:name="_Toc249325665"/>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80" w:firstLineChars="200"/>
        <w:rPr>
          <w:rFonts w:ascii="仿宋" w:eastAsia="仿宋"/>
          <w:sz w:val="24"/>
          <w:szCs w:val="24"/>
        </w:rPr>
      </w:pPr>
      <w:bookmarkStart w:id="45" w:name="_Hlk10840310"/>
      <w:r>
        <w:rPr>
          <w:rFonts w:hint="eastAsia" w:ascii="仿宋" w:eastAsia="仿宋"/>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交换机及机柜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项目编号：</w:t>
      </w:r>
      <w:r>
        <w:rPr>
          <w:rFonts w:hint="eastAsia" w:ascii="仿宋" w:hAnsi="仿宋" w:eastAsia="仿宋"/>
          <w:color w:val="000000" w:themeColor="text1"/>
          <w:sz w:val="24"/>
          <w:szCs w:val="24"/>
          <w14:textFill>
            <w14:solidFill>
              <w14:schemeClr w14:val="tx1"/>
            </w14:solidFill>
          </w14:textFill>
        </w:rPr>
        <w:t>A20220702</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项目名称：科创楼二层人台</w:t>
      </w:r>
      <w:r>
        <w:rPr>
          <w:rFonts w:hint="eastAsia" w:ascii="仿宋" w:hAnsi="仿宋" w:eastAsia="仿宋"/>
          <w:color w:val="000000"/>
          <w:sz w:val="24"/>
          <w:szCs w:val="24"/>
        </w:rPr>
        <w:t>采购</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参与人应具有独立法人资格的生产厂商或授权经销商。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color w:val="000000"/>
          <w:sz w:val="24"/>
          <w:szCs w:val="24"/>
        </w:rPr>
        <w:t>人台</w:t>
      </w:r>
      <w:r>
        <w:rPr>
          <w:rFonts w:hint="eastAsia" w:ascii="仿宋" w:hAnsi="仿宋" w:eastAsia="仿宋"/>
          <w:sz w:val="24"/>
          <w:szCs w:val="24"/>
        </w:rPr>
        <w:t>资质</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color w:val="000000"/>
          <w:sz w:val="24"/>
          <w:szCs w:val="24"/>
        </w:rPr>
        <w:t>人台</w:t>
      </w:r>
      <w:r>
        <w:rPr>
          <w:rFonts w:hint="eastAsia" w:ascii="仿宋" w:hAnsi="仿宋" w:eastAsia="仿宋"/>
          <w:sz w:val="24"/>
          <w:szCs w:val="24"/>
        </w:rPr>
        <w:t>设备</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：2022年7</w:t>
      </w:r>
      <w:r>
        <w:rPr>
          <w:rFonts w:ascii="仿宋" w:hAnsi="仿宋" w:eastAsia="仿宋"/>
          <w:sz w:val="24"/>
          <w:szCs w:val="24"/>
          <w:shd w:val="clear" w:color="auto" w:fill="FFFFFF"/>
        </w:rPr>
        <w:t>月</w:t>
      </w:r>
      <w:r>
        <w:rPr>
          <w:rFonts w:hint="eastAsia" w:ascii="仿宋" w:hAnsi="仿宋" w:eastAsia="仿宋"/>
          <w:sz w:val="24"/>
          <w:szCs w:val="24"/>
          <w:shd w:val="clear" w:color="auto" w:fill="FFFFFF"/>
        </w:rPr>
        <w:t>15</w:t>
      </w:r>
      <w:r>
        <w:rPr>
          <w:rFonts w:ascii="仿宋" w:hAnsi="仿宋" w:eastAsia="仿宋"/>
          <w:sz w:val="24"/>
          <w:szCs w:val="24"/>
          <w:shd w:val="clear" w:color="auto" w:fill="FFFFFF"/>
        </w:rPr>
        <w:t>日</w:t>
      </w:r>
      <w:r>
        <w:rPr>
          <w:rFonts w:hint="eastAsia" w:ascii="仿宋" w:hAnsi="仿宋" w:eastAsia="仿宋"/>
          <w:sz w:val="24"/>
          <w:szCs w:val="24"/>
          <w:shd w:val="clear" w:color="auto" w:fill="FFFFFF"/>
        </w:rPr>
        <w:t>下午</w:t>
      </w:r>
      <w:r>
        <w:rPr>
          <w:rFonts w:ascii="仿宋" w:hAnsi="仿宋" w:eastAsia="仿宋"/>
          <w:sz w:val="24"/>
          <w:szCs w:val="24"/>
          <w:shd w:val="clear" w:color="auto" w:fill="FFFFFF"/>
        </w:rPr>
        <w:t>16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前（以参与人快递寄出时间为准，邮寄时应提前告知）。</w:t>
      </w:r>
    </w:p>
    <w:p>
      <w:pPr>
        <w:pStyle w:val="54"/>
        <w:spacing w:after="0" w:line="500" w:lineRule="exact"/>
        <w:ind w:left="839" w:firstLine="0" w:firstLineChars="0"/>
        <w:rPr>
          <w:rFonts w:ascii="仿宋" w:hAnsi="仿宋" w:eastAsia="仿宋"/>
          <w:sz w:val="24"/>
          <w:szCs w:val="24"/>
        </w:rPr>
      </w:pPr>
      <w:r>
        <w:rPr>
          <w:rFonts w:hint="eastAsia" w:ascii="仿宋" w:hAnsi="仿宋" w:eastAsia="仿宋"/>
          <w:sz w:val="24"/>
          <w:szCs w:val="24"/>
        </w:rPr>
        <w:t>7.报价响应文件递交地点：广州市白云区江高镇田南路13号。</w:t>
      </w:r>
    </w:p>
    <w:p>
      <w:pPr>
        <w:pStyle w:val="54"/>
        <w:spacing w:after="0" w:line="500" w:lineRule="exact"/>
        <w:ind w:left="839" w:firstLine="0" w:firstLineChars="0"/>
        <w:rPr>
          <w:rFonts w:ascii="仿宋" w:hAnsi="仿宋" w:eastAsia="仿宋"/>
          <w:color w:val="FF0000"/>
          <w:sz w:val="24"/>
          <w:szCs w:val="24"/>
        </w:rPr>
      </w:pPr>
      <w:r>
        <w:rPr>
          <w:rFonts w:hint="eastAsia" w:ascii="仿宋" w:hAnsi="仿宋" w:eastAsia="仿宋"/>
          <w:sz w:val="24"/>
          <w:szCs w:val="24"/>
        </w:rPr>
        <w:t>联系人：李树泽；联系电话：13416175669</w:t>
      </w:r>
    </w:p>
    <w:p>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，请在报价响应文件递交截止之日前，将问题以书面形式（有效签署的原件并加盖公章）提交至学校业务对接人，联系人：李树泽，电话：13416175669。采购人不对超时提交及未加盖公章的质疑文件进行回复。</w:t>
      </w:r>
    </w:p>
    <w:p>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bookmarkStart w:id="46"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27"/>
          <w:rFonts w:hint="eastAsia" w:ascii="仿宋" w:hAnsi="仿宋" w:eastAsia="仿宋"/>
          <w:color w:val="000000" w:themeColor="text1"/>
          <w:sz w:val="24"/>
          <w:szCs w:val="24"/>
          <w14:textFill>
            <w14:solidFill>
              <w14:schemeClr w14:val="tx1"/>
            </w14:solidFill>
          </w14:textFill>
        </w:rPr>
        <w:t>www.ceghqxz.com</w:t>
      </w:r>
      <w:r>
        <w:rPr>
          <w:rStyle w:val="27"/>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免费保修期:不小于12个月</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left="851" w:firstLine="0" w:firstLineChars="0"/>
        <w:jc w:val="left"/>
        <w:rPr>
          <w:rFonts w:ascii="仿宋" w:hAnsi="仿宋" w:eastAsia="仿宋"/>
          <w:sz w:val="24"/>
          <w:szCs w:val="24"/>
        </w:rPr>
      </w:pPr>
    </w:p>
    <w:p>
      <w:pPr>
        <w:pStyle w:val="54"/>
        <w:spacing w:after="0" w:line="500" w:lineRule="exact"/>
        <w:ind w:firstLine="0" w:firstLineChars="0"/>
        <w:jc w:val="left"/>
        <w:rPr>
          <w:rFonts w:ascii="仿宋" w:hAnsi="仿宋" w:eastAsia="仿宋"/>
          <w:sz w:val="24"/>
          <w:szCs w:val="24"/>
        </w:rPr>
      </w:pPr>
    </w:p>
    <w:p>
      <w:pPr>
        <w:pStyle w:val="54"/>
        <w:spacing w:after="0" w:line="500" w:lineRule="exact"/>
        <w:ind w:left="7370" w:leftChars="3350" w:firstLine="240" w:firstLineChars="1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广东白云学院</w:t>
      </w:r>
    </w:p>
    <w:p>
      <w:pPr>
        <w:pStyle w:val="54"/>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2022年07月</w:t>
      </w:r>
      <w:r>
        <w:rPr>
          <w:rFonts w:hint="eastAsia" w:ascii="仿宋" w:hAnsi="仿宋" w:eastAsia="仿宋"/>
          <w:color w:val="000000" w:themeColor="text1"/>
          <w:sz w:val="24"/>
          <w:szCs w:val="24"/>
          <w:lang w:val="en-US" w:eastAsia="zh-CN"/>
          <w14:textFill>
            <w14:solidFill>
              <w14:schemeClr w14:val="tx1"/>
            </w14:solidFill>
          </w14:textFill>
        </w:rPr>
        <w:t>10</w:t>
      </w:r>
      <w:r>
        <w:rPr>
          <w:rFonts w:hint="eastAsia" w:ascii="仿宋" w:hAnsi="仿宋" w:eastAsia="仿宋"/>
          <w:color w:val="000000" w:themeColor="text1"/>
          <w:sz w:val="24"/>
          <w:szCs w:val="24"/>
          <w14:textFill>
            <w14:solidFill>
              <w14:schemeClr w14:val="tx1"/>
            </w14:solidFill>
          </w14:textFill>
        </w:rPr>
        <w:t>日</w:t>
      </w:r>
    </w:p>
    <w:p>
      <w:pPr>
        <w:pStyle w:val="54"/>
        <w:spacing w:after="0" w:line="500" w:lineRule="exact"/>
        <w:ind w:left="851" w:firstLine="0" w:firstLineChars="0"/>
        <w:jc w:val="center"/>
        <w:rPr>
          <w:rFonts w:ascii="仿宋" w:hAnsi="仿宋" w:eastAsia="仿宋"/>
          <w:sz w:val="24"/>
          <w:szCs w:val="24"/>
        </w:rPr>
      </w:pPr>
      <w:bookmarkStart w:id="180" w:name="_GoBack"/>
      <w:bookmarkEnd w:id="180"/>
      <w:r>
        <w:rPr>
          <w:rFonts w:ascii="仿宋" w:hAnsi="仿宋" w:eastAsia="仿宋"/>
          <w:color w:val="FF0000"/>
          <w:sz w:val="28"/>
          <w:szCs w:val="28"/>
        </w:rPr>
        <w:br w:type="page"/>
      </w:r>
      <w:r>
        <w:rPr>
          <w:rFonts w:hint="eastAsia" w:ascii="仿宋" w:hAnsi="仿宋" w:eastAsia="仿宋"/>
          <w:b/>
          <w:sz w:val="44"/>
          <w:szCs w:val="44"/>
        </w:rPr>
        <w:t>公开询价货物一览表</w:t>
      </w:r>
      <w:bookmarkEnd w:id="45"/>
    </w:p>
    <w:tbl>
      <w:tblPr>
        <w:tblStyle w:val="23"/>
        <w:tblW w:w="4875" w:type="pct"/>
        <w:tblInd w:w="0" w:type="dxa"/>
        <w:tblLayout w:type="autofit"/>
        <w:tblCellMar>
          <w:top w:w="0" w:type="dxa"/>
          <w:left w:w="108" w:type="dxa"/>
          <w:bottom w:w="0" w:type="dxa"/>
          <w:right w:w="108" w:type="dxa"/>
        </w:tblCellMar>
      </w:tblPr>
      <w:tblGrid>
        <w:gridCol w:w="630"/>
        <w:gridCol w:w="951"/>
        <w:gridCol w:w="3111"/>
        <w:gridCol w:w="604"/>
        <w:gridCol w:w="641"/>
        <w:gridCol w:w="899"/>
        <w:gridCol w:w="821"/>
        <w:gridCol w:w="1097"/>
        <w:gridCol w:w="992"/>
      </w:tblGrid>
      <w:tr>
        <w:tblPrEx>
          <w:tblCellMar>
            <w:top w:w="0" w:type="dxa"/>
            <w:left w:w="108" w:type="dxa"/>
            <w:bottom w:w="0" w:type="dxa"/>
            <w:right w:w="108" w:type="dxa"/>
          </w:tblCellMar>
        </w:tblPrEx>
        <w:trPr>
          <w:trHeight w:val="492" w:hRule="atLeast"/>
        </w:trPr>
        <w:tc>
          <w:tcPr>
            <w:tcW w:w="32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488"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  名称</w:t>
            </w:r>
          </w:p>
        </w:tc>
        <w:tc>
          <w:tcPr>
            <w:tcW w:w="159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rPr>
              <w:t>规格型号（技术参数）</w:t>
            </w:r>
            <w:bookmarkEnd w:id="47"/>
          </w:p>
        </w:tc>
        <w:tc>
          <w:tcPr>
            <w:tcW w:w="31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29"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6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是否提 供样品</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4191"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半身立体人台（女）</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支架是不锈钢材质，底座是熟铁冲压喷漆材质。“人体需要体型准确，线条优美逼真,人台制出的服装板型准确覆盖率高。整体结构设计美观人性化，使用方便。人体模型材质为树脂玻璃钢，坚固耐用且重量轻，支架底座较重站立稳固。人台表面为棉麻混纺面料包面，下有0.3～0.4cm泡沫，表面手感柔软，易插针，插针形式为斜插针形式。</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四脚滑轮带脚踏升降底座</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方便移动，底座面积较大，稳固性较好，滑轮为万向刹车轮，可固定。脚踏板踩下后需用手协助人台升降。</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30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女160/84A</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半身立体人台（男）</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支架是不锈钢材质，底座是熟铁冲压喷漆材质。“人体需要体型准确，线条优美逼真,人台制出的服装板型准确覆盖率高。整体结构设计美观人性化，使用方便。人体模型材质为树脂玻璃钢，坚固耐用且重量轻，支架底座较重站立稳固。人台表面为棉麻混纺面料包面，下有0.3～0.4cm泡沫，表面手感柔软，易插针，插针形式为斜插针形式。</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四脚滑轮带脚踏升降底座</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方便移动，底座面积较大，稳固性较好，滑轮为万向刹车轮，可固定。脚踏板踩下后需用手协助人台升降。</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10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男175/92A</w:t>
            </w:r>
          </w:p>
        </w:tc>
      </w:tr>
      <w:tr>
        <w:tblPrEx>
          <w:tblCellMar>
            <w:top w:w="0" w:type="dxa"/>
            <w:left w:w="108" w:type="dxa"/>
            <w:bottom w:w="0" w:type="dxa"/>
            <w:right w:w="108" w:type="dxa"/>
          </w:tblCellMar>
        </w:tblPrEx>
        <w:trPr>
          <w:trHeight w:val="3109"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全身立体人台（女）</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支架是不锈钢材质，底座是熟铁冲压喷漆材质。“人体需要体型准确，线条优美逼真,人台制出的服装板型准确覆盖率高。整体结构设计美观人性化，使用方便。人体模型材质为树脂玻璃钢，坚固耐用且重量轻，支架底座较重站立稳固。人台表面为棉麻混纺面料包面，下有0.3～0.4cm泡沫，表面手感柔软，易插针，插针形式为斜插针形式。</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四脚滑轮带脚踏升降底座</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方便移动，底座面积较大，稳固性较好，滑轮为万向刹车轮，可固定。脚踏板踩下后需用手协助人台升降。</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3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女160/84A</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全身立体人台（男）</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支架是不锈钢材质，底座是熟铁冲压喷漆材质。“人体需要体型准确，线条优美逼真,人台制出的服装板型准确覆盖率高。整体结构设计美观人性化，使用方便。人体模型材质为树脂玻璃钢，坚固耐用且重量轻，支架底座较重站立稳固。人台表面为棉麻混纺面料包面，下有0.3～0.4cm泡沫，表面手感柔软，易插针，插针形式为斜插针形式。</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四脚滑轮带脚踏升降底座</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方便移动，底座面积较大，稳固性较好，滑轮为万向刹车轮，可固定。脚踏板踩下后需用手协助人台升降。</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3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男175/92A</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全身橱窗人台模特（女）</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机械化生产，质量有保障。模特及道具主材料采用“SGS”认证的ABS、PVC进行生产，材质特性：具有钢性，延展性，韧性，坚固耐摔，抗压性好，使用寿命长，时尚环保（常见于建筑工地用的安全帽）。</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产品表面油漆：无甲醛UV漆（UV漆一般用于喷手机及汽车），附着力强，抗耐刮，硬度达到2H，不掉漆，不担心使用过程中剥落油漆问题。经UV漆处理的优点：表面高档，光泽亮丽、手感滑润、色泽稳定。</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10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女银色</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全身橱窗人台模特（男）</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机械化生产，质量有保障。模特及道具主材料采用“SGS”认证的ABS、PVC进行生产，材质特性：具有钢性，延展性，韧性，坚固耐摔，抗压性好，使用寿命长，时尚环保（常见于建筑工地用的安全帽）。</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产品表面油漆：无甲醛UV漆（UV漆一般用于喷手机及汽车），附着力强，抗耐刮，硬度达到2H，不掉漆，不担心使用过程中剥落油漆问题。经UV漆处理的优点：表面高档，光泽亮丽、手感滑润、色泽稳定。</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6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男银色</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488"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半身橱窗人台模特（女）</w:t>
            </w:r>
          </w:p>
        </w:tc>
        <w:tc>
          <w:tcPr>
            <w:tcW w:w="1596" w:type="pct"/>
            <w:tcBorders>
              <w:top w:val="nil"/>
              <w:left w:val="nil"/>
              <w:bottom w:val="single" w:color="auto" w:sz="4" w:space="0"/>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机械化生产，质量有保障。模特及道具主材料采用“SGS”认证的ABS、PVC进行生产，材质特性：具有钢性，延展性，韧性，坚固耐摔，抗压性好，使用寿命长，时尚环保（常见于建筑工地用的安全帽）。</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产品表面油漆：无甲醛UV漆（UV漆一般用于喷手机及汽车），附着力强，抗耐刮，硬度达到2H，不掉漆，不担心使用过程中剥落油漆问题。经UV漆处理的优点：表面高档，光泽亮丽、手感滑润、色泽稳定。</w:t>
            </w:r>
          </w:p>
        </w:tc>
        <w:tc>
          <w:tcPr>
            <w:tcW w:w="310"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6 </w:t>
            </w:r>
          </w:p>
        </w:tc>
        <w:tc>
          <w:tcPr>
            <w:tcW w:w="46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女银色</w:t>
            </w:r>
          </w:p>
        </w:tc>
      </w:tr>
      <w:tr>
        <w:tblPrEx>
          <w:tblCellMar>
            <w:top w:w="0" w:type="dxa"/>
            <w:left w:w="108" w:type="dxa"/>
            <w:bottom w:w="0" w:type="dxa"/>
            <w:right w:w="108" w:type="dxa"/>
          </w:tblCellMar>
        </w:tblPrEx>
        <w:trPr>
          <w:trHeight w:val="794" w:hRule="atLeast"/>
        </w:trPr>
        <w:tc>
          <w:tcPr>
            <w:tcW w:w="323" w:type="pct"/>
            <w:tcBorders>
              <w:top w:val="nil"/>
              <w:left w:val="single" w:color="auto" w:sz="4" w:space="0"/>
              <w:bottom w:val="nil"/>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488" w:type="pct"/>
            <w:tcBorders>
              <w:top w:val="nil"/>
              <w:left w:val="nil"/>
              <w:bottom w:val="nil"/>
              <w:right w:val="single" w:color="auto" w:sz="4" w:space="0"/>
            </w:tcBorders>
            <w:shd w:val="clear" w:color="auto" w:fill="auto"/>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半身橱窗人台模特（男）</w:t>
            </w:r>
          </w:p>
        </w:tc>
        <w:tc>
          <w:tcPr>
            <w:tcW w:w="1596" w:type="pct"/>
            <w:tcBorders>
              <w:top w:val="nil"/>
              <w:left w:val="nil"/>
              <w:bottom w:val="nil"/>
              <w:right w:val="single" w:color="auto" w:sz="4" w:space="0"/>
            </w:tcBorders>
            <w:shd w:val="clear" w:color="000000" w:fill="FFFFFF"/>
            <w:vAlign w:val="center"/>
          </w:tcPr>
          <w:p>
            <w:pPr>
              <w:jc w:val="left"/>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机械化生产，质量有保障。模特及道具主材料采用“SGS”认证的ABS、PVC进行生产，材质特性：具有钢性，延展性，韧性，坚固耐摔，抗压性好，使用寿命长，时尚环保（常见于建筑工地用的安全帽）。</w:t>
            </w:r>
            <w:r>
              <w:rPr>
                <w:rFonts w:hint="eastAsia" w:ascii="仿宋" w:hAnsi="仿宋" w:eastAsia="仿宋" w:cs="宋体"/>
                <w:color w:val="000000"/>
                <w:sz w:val="20"/>
                <w:szCs w:val="20"/>
                <w:lang w:bidi="ar"/>
              </w:rPr>
              <w:br w:type="textWrapping"/>
            </w:r>
            <w:r>
              <w:rPr>
                <w:rFonts w:hint="eastAsia" w:ascii="仿宋" w:hAnsi="仿宋" w:eastAsia="仿宋" w:cs="宋体"/>
                <w:color w:val="000000"/>
                <w:sz w:val="20"/>
                <w:szCs w:val="20"/>
                <w:lang w:bidi="ar"/>
              </w:rPr>
              <w:t>产品表面油漆：无甲醛UV漆（UV漆一般用于喷手机及汽车），附着力强，抗耐刮，硬度达到2H，不掉漆，不担心使用过程中剥落油漆问题。经UV漆处理的优点：表面高档，光泽亮丽、手感滑润、色泽稳定。</w:t>
            </w:r>
          </w:p>
        </w:tc>
        <w:tc>
          <w:tcPr>
            <w:tcW w:w="310" w:type="pct"/>
            <w:tcBorders>
              <w:top w:val="nil"/>
              <w:left w:val="nil"/>
              <w:bottom w:val="nil"/>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个</w:t>
            </w:r>
          </w:p>
        </w:tc>
        <w:tc>
          <w:tcPr>
            <w:tcW w:w="329" w:type="pct"/>
            <w:tcBorders>
              <w:top w:val="nil"/>
              <w:left w:val="nil"/>
              <w:bottom w:val="nil"/>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 xml:space="preserve">2 </w:t>
            </w:r>
          </w:p>
        </w:tc>
        <w:tc>
          <w:tcPr>
            <w:tcW w:w="461" w:type="pct"/>
            <w:tcBorders>
              <w:top w:val="nil"/>
              <w:left w:val="nil"/>
              <w:bottom w:val="nil"/>
              <w:right w:val="single" w:color="auto" w:sz="4" w:space="0"/>
            </w:tcBorders>
            <w:vAlign w:val="center"/>
          </w:tcPr>
          <w:p>
            <w:pPr>
              <w:jc w:val="center"/>
              <w:rPr>
                <w:rFonts w:ascii="仿宋" w:hAnsi="仿宋" w:eastAsia="仿宋" w:cs="Tahoma"/>
                <w:color w:val="000000"/>
                <w:sz w:val="20"/>
                <w:szCs w:val="20"/>
              </w:rPr>
            </w:pPr>
          </w:p>
        </w:tc>
        <w:tc>
          <w:tcPr>
            <w:tcW w:w="421" w:type="pct"/>
            <w:tcBorders>
              <w:top w:val="nil"/>
              <w:left w:val="nil"/>
              <w:bottom w:val="nil"/>
              <w:right w:val="single" w:color="auto" w:sz="4" w:space="0"/>
            </w:tcBorders>
            <w:vAlign w:val="center"/>
          </w:tcPr>
          <w:p>
            <w:pPr>
              <w:jc w:val="center"/>
              <w:rPr>
                <w:rFonts w:ascii="仿宋" w:hAnsi="仿宋" w:eastAsia="仿宋" w:cs="Tahoma"/>
                <w:color w:val="000000"/>
                <w:sz w:val="20"/>
                <w:szCs w:val="20"/>
              </w:rPr>
            </w:pPr>
          </w:p>
        </w:tc>
        <w:tc>
          <w:tcPr>
            <w:tcW w:w="56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否</w:t>
            </w:r>
          </w:p>
        </w:tc>
        <w:tc>
          <w:tcPr>
            <w:tcW w:w="509"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 w:hAnsi="仿宋" w:eastAsia="仿宋" w:cs="Tahoma"/>
                <w:color w:val="000000"/>
                <w:sz w:val="20"/>
                <w:szCs w:val="20"/>
              </w:rPr>
            </w:pPr>
            <w:r>
              <w:rPr>
                <w:rFonts w:hint="eastAsia" w:ascii="仿宋" w:hAnsi="仿宋" w:eastAsia="仿宋" w:cs="宋体"/>
                <w:color w:val="000000"/>
                <w:sz w:val="20"/>
                <w:szCs w:val="20"/>
                <w:lang w:bidi="ar"/>
              </w:rPr>
              <w:t>男银色</w:t>
            </w:r>
          </w:p>
        </w:tc>
      </w:tr>
      <w:tr>
        <w:tblPrEx>
          <w:tblCellMar>
            <w:top w:w="0" w:type="dxa"/>
            <w:left w:w="108" w:type="dxa"/>
            <w:bottom w:w="0" w:type="dxa"/>
            <w:right w:w="108" w:type="dxa"/>
          </w:tblCellMar>
        </w:tblPrEx>
        <w:trPr>
          <w:trHeight w:val="506" w:hRule="atLeast"/>
        </w:trPr>
        <w:tc>
          <w:tcPr>
            <w:tcW w:w="3507"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合计</w:t>
            </w:r>
          </w:p>
        </w:tc>
        <w:tc>
          <w:tcPr>
            <w:tcW w:w="1493" w:type="pct"/>
            <w:gridSpan w:val="3"/>
            <w:tcBorders>
              <w:top w:val="single" w:color="auto" w:sz="4" w:space="0"/>
              <w:left w:val="nil"/>
              <w:bottom w:val="single" w:color="auto" w:sz="4" w:space="0"/>
              <w:right w:val="single" w:color="auto" w:sz="4" w:space="0"/>
            </w:tcBorders>
            <w:vAlign w:val="center"/>
          </w:tcPr>
          <w:p>
            <w:pPr>
              <w:jc w:val="center"/>
              <w:textAlignment w:val="center"/>
              <w:rPr>
                <w:rFonts w:ascii="仿宋" w:hAnsi="仿宋" w:eastAsia="仿宋" w:cs="宋体"/>
                <w:color w:val="000000"/>
                <w:sz w:val="20"/>
                <w:szCs w:val="20"/>
                <w:lang w:bidi="ar"/>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ind w:left="480" w:hanging="480" w:hangingChars="200"/>
        <w:jc w:val="left"/>
        <w:rPr>
          <w:rFonts w:ascii="仿宋" w:hAnsi="仿宋" w:eastAsia="仿宋"/>
          <w:b/>
          <w:color w:val="FF0000"/>
          <w:sz w:val="36"/>
          <w:szCs w:val="36"/>
        </w:rPr>
      </w:pPr>
      <w:r>
        <w:rPr>
          <w:rFonts w:hint="eastAsia" w:ascii="仿宋" w:eastAsia="仿宋"/>
          <w:sz w:val="24"/>
          <w:szCs w:val="24"/>
        </w:rPr>
        <w:t>4） 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rPr>
          <w:rFonts w:ascii="仿宋" w:hAnsi="仿宋" w:eastAsia="仿宋"/>
          <w:b/>
          <w:color w:val="FF0000"/>
          <w:sz w:val="36"/>
          <w:szCs w:val="36"/>
        </w:rPr>
      </w:pPr>
    </w:p>
    <w:p>
      <w:pPr>
        <w:spacing w:line="1000" w:lineRule="exact"/>
        <w:jc w:val="center"/>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广东白云学院</w:t>
      </w:r>
    </w:p>
    <w:p>
      <w:pPr>
        <w:spacing w:line="1000" w:lineRule="exact"/>
        <w:jc w:val="center"/>
        <w:rPr>
          <w:rFonts w:ascii="仿宋" w:hAnsi="仿宋" w:eastAsia="仿宋"/>
          <w:b/>
          <w:sz w:val="44"/>
          <w:szCs w:val="44"/>
        </w:rPr>
      </w:pPr>
      <w:r>
        <w:rPr>
          <w:rFonts w:hint="eastAsia" w:ascii="仿宋" w:hAnsi="仿宋" w:eastAsia="仿宋"/>
          <w:b/>
          <w:sz w:val="44"/>
          <w:szCs w:val="44"/>
        </w:rPr>
        <w:t>关于科创楼二层人台采购项目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手机号码：</w:t>
      </w:r>
    </w:p>
    <w:p>
      <w:pPr>
        <w:jc w:val="center"/>
        <w:rPr>
          <w:rFonts w:ascii="仿宋" w:hAnsi="仿宋" w:eastAsia="仿宋"/>
          <w:b/>
          <w:sz w:val="36"/>
          <w:szCs w:val="36"/>
        </w:rPr>
      </w:pPr>
    </w:p>
    <w:p>
      <w:pPr>
        <w:ind w:firstLine="2548" w:firstLineChars="846"/>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48" w:name="_Toc267060068"/>
      <w:bookmarkStart w:id="49" w:name="_Toc267060208"/>
      <w:bookmarkStart w:id="50" w:name="_Toc267059653"/>
      <w:bookmarkStart w:id="51" w:name="_Toc273178698"/>
      <w:bookmarkStart w:id="52" w:name="_Toc258401256"/>
      <w:bookmarkStart w:id="53" w:name="_Toc266868937"/>
      <w:bookmarkStart w:id="54" w:name="_Toc254790899"/>
      <w:bookmarkStart w:id="55" w:name="_Toc267059181"/>
      <w:bookmarkStart w:id="56" w:name="_Toc267059539"/>
      <w:bookmarkStart w:id="57" w:name="_Toc235437991"/>
      <w:bookmarkStart w:id="58" w:name="_Toc236021449"/>
      <w:bookmarkStart w:id="59" w:name="_Toc249325711"/>
      <w:bookmarkStart w:id="60" w:name="_Toc251613829"/>
      <w:bookmarkStart w:id="61" w:name="_Toc219800243"/>
      <w:bookmarkStart w:id="62" w:name="_Toc223146608"/>
      <w:bookmarkStart w:id="63" w:name="_Toc213755939"/>
      <w:bookmarkStart w:id="64" w:name="_Toc213755995"/>
      <w:bookmarkStart w:id="65" w:name="_Toc213756051"/>
      <w:bookmarkStart w:id="66" w:name="_Toc253066614"/>
      <w:bookmarkStart w:id="67" w:name="_Toc227058530"/>
      <w:bookmarkStart w:id="68" w:name="_Toc225669322"/>
      <w:bookmarkStart w:id="69" w:name="_Toc266870432"/>
      <w:bookmarkStart w:id="70" w:name="_Toc267059030"/>
      <w:bookmarkStart w:id="71" w:name="_Toc266868670"/>
      <w:bookmarkStart w:id="72" w:name="_Toc217891402"/>
      <w:bookmarkStart w:id="73" w:name="_Toc251586231"/>
      <w:bookmarkStart w:id="74" w:name="_Toc266870907"/>
      <w:bookmarkStart w:id="75" w:name="_Toc267060453"/>
      <w:bookmarkStart w:id="76" w:name="_Toc267060321"/>
      <w:bookmarkStart w:id="77" w:name="_Toc259692740"/>
      <w:bookmarkStart w:id="78" w:name="_Toc193160448"/>
      <w:bookmarkStart w:id="79" w:name="_Toc235438274"/>
      <w:bookmarkStart w:id="80" w:name="_Toc259520865"/>
      <w:bookmarkStart w:id="81" w:name="_Toc259692647"/>
      <w:bookmarkStart w:id="82" w:name="_Toc230071147"/>
      <w:bookmarkStart w:id="83" w:name="_Toc192996446"/>
      <w:bookmarkStart w:id="84" w:name="_Toc235438344"/>
      <w:bookmarkStart w:id="85" w:name="_Toc232302115"/>
      <w:bookmarkStart w:id="86" w:name="_Toc267059806"/>
      <w:bookmarkStart w:id="87" w:name="_Toc267059919"/>
      <w:bookmarkStart w:id="88" w:name="_Toc266870833"/>
      <w:bookmarkStart w:id="89" w:name="_Toc255975007"/>
      <w:bookmarkStart w:id="90" w:name="_Toc160880529"/>
      <w:bookmarkStart w:id="91" w:name="_Toc181436565"/>
      <w:bookmarkStart w:id="92" w:name="_Toc170798793"/>
      <w:bookmarkStart w:id="93" w:name="_Toc180302913"/>
      <w:bookmarkStart w:id="94" w:name="_Toc169332838"/>
      <w:bookmarkStart w:id="95" w:name="_Toc169332949"/>
      <w:bookmarkStart w:id="96" w:name="_Toc193165734"/>
      <w:bookmarkStart w:id="97" w:name="_Toc211917116"/>
      <w:bookmarkStart w:id="98" w:name="_Toc192996338"/>
      <w:bookmarkStart w:id="99" w:name="_Toc203355733"/>
      <w:bookmarkStart w:id="100" w:name="_Toc177985469"/>
      <w:bookmarkStart w:id="101" w:name="_Toc191802690"/>
      <w:bookmarkStart w:id="102" w:name="_Toc192663835"/>
      <w:bookmarkStart w:id="103" w:name="_Toc160880160"/>
      <w:bookmarkStart w:id="104" w:name="_Toc182805217"/>
      <w:bookmarkStart w:id="105" w:name="_Toc191803626"/>
      <w:bookmarkStart w:id="106" w:name="_Toc192663686"/>
      <w:bookmarkStart w:id="107" w:name="_Toc213755858"/>
      <w:bookmarkStart w:id="108" w:name="_Toc213208766"/>
      <w:bookmarkStart w:id="109" w:name="_Toc192664153"/>
      <w:bookmarkStart w:id="110" w:name="_Toc182372782"/>
      <w:bookmarkStart w:id="111" w:name="_Toc191783222"/>
      <w:bookmarkStart w:id="112" w:name="_Toc181436461"/>
      <w:bookmarkStart w:id="113" w:name="_Toc191789329"/>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致：广东白云学院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、公开询价货物一览表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61"/>
        <w:gridCol w:w="885"/>
        <w:gridCol w:w="2957"/>
        <w:gridCol w:w="737"/>
        <w:gridCol w:w="613"/>
        <w:gridCol w:w="857"/>
        <w:gridCol w:w="983"/>
        <w:gridCol w:w="1022"/>
        <w:gridCol w:w="1014"/>
      </w:tblGrid>
      <w:tr>
        <w:tblPrEx>
          <w:tblCellMar>
            <w:top w:w="0" w:type="dxa"/>
            <w:left w:w="108" w:type="dxa"/>
            <w:bottom w:w="0" w:type="dxa"/>
            <w:right w:w="108" w:type="dxa"/>
          </w:tblCellMar>
        </w:tblPrEx>
        <w:trPr>
          <w:trHeight w:val="492" w:hRule="atLeast"/>
        </w:trPr>
        <w:tc>
          <w:tcPr>
            <w:tcW w:w="3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45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  名称</w:t>
            </w:r>
          </w:p>
        </w:tc>
        <w:tc>
          <w:tcPr>
            <w:tcW w:w="15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sz w:val="20"/>
                <w:szCs w:val="20"/>
              </w:rPr>
              <w:t>是否提供样品</w:t>
            </w: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492" w:hRule="atLeast"/>
        </w:trPr>
        <w:tc>
          <w:tcPr>
            <w:tcW w:w="3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5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15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2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5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15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2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5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15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2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r>
        <w:tblPrEx>
          <w:tblCellMar>
            <w:top w:w="0" w:type="dxa"/>
            <w:left w:w="108" w:type="dxa"/>
            <w:bottom w:w="0" w:type="dxa"/>
            <w:right w:w="108" w:type="dxa"/>
          </w:tblCellMar>
        </w:tblPrEx>
        <w:trPr>
          <w:trHeight w:val="492" w:hRule="atLeast"/>
        </w:trPr>
        <w:tc>
          <w:tcPr>
            <w:tcW w:w="38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5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1504"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75"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312"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43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p>
        </w:tc>
        <w:tc>
          <w:tcPr>
            <w:tcW w:w="52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p>
        </w:tc>
        <w:tc>
          <w:tcPr>
            <w:tcW w:w="51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11917121"/>
      <w:bookmarkStart w:id="115" w:name="_Toc249325720"/>
      <w:bookmarkStart w:id="116" w:name="_Toc219800249"/>
      <w:bookmarkStart w:id="117" w:name="_Toc191802695"/>
      <w:bookmarkStart w:id="118" w:name="_Toc169332954"/>
      <w:bookmarkStart w:id="119" w:name="_Toc169332843"/>
      <w:bookmarkStart w:id="120" w:name="_Toc251613839"/>
      <w:bookmarkStart w:id="121" w:name="_Toc191789334"/>
      <w:bookmarkStart w:id="122" w:name="_Toc217891408"/>
      <w:bookmarkStart w:id="123" w:name="_Toc193160453"/>
      <w:bookmarkStart w:id="124" w:name="_Toc191783227"/>
      <w:bookmarkStart w:id="125" w:name="_Toc213756001"/>
      <w:bookmarkStart w:id="126" w:name="_Toc170798798"/>
      <w:bookmarkStart w:id="127" w:name="_Toc180302918"/>
      <w:bookmarkStart w:id="128" w:name="_Toc192996343"/>
      <w:bookmarkStart w:id="129" w:name="_Toc230071153"/>
      <w:bookmarkStart w:id="130" w:name="_Toc160880534"/>
      <w:bookmarkStart w:id="131" w:name="_Toc235438281"/>
      <w:bookmarkStart w:id="132" w:name="_Toc182805222"/>
      <w:bookmarkStart w:id="133" w:name="_Toc203355738"/>
      <w:bookmarkStart w:id="134" w:name="_Toc232302122"/>
      <w:bookmarkStart w:id="135" w:name="_Toc193165739"/>
      <w:bookmarkStart w:id="136" w:name="_Toc259692656"/>
      <w:bookmarkStart w:id="137" w:name="_Toc266870839"/>
      <w:bookmarkStart w:id="138" w:name="_Toc213208771"/>
      <w:bookmarkStart w:id="139" w:name="_Toc191803631"/>
      <w:bookmarkStart w:id="140" w:name="_Toc259692749"/>
      <w:bookmarkStart w:id="141" w:name="_Toc267059924"/>
      <w:bookmarkStart w:id="142" w:name="_Toc192663691"/>
      <w:bookmarkStart w:id="143" w:name="_Toc225669328"/>
      <w:bookmarkStart w:id="144" w:name="_Toc253066624"/>
      <w:bookmarkStart w:id="145" w:name="_Toc177985474"/>
      <w:bookmarkStart w:id="146" w:name="_Toc258401265"/>
      <w:bookmarkStart w:id="147" w:name="_Toc235438352"/>
      <w:bookmarkStart w:id="148" w:name="_Toc254790909"/>
      <w:bookmarkStart w:id="149" w:name="_Toc192996451"/>
      <w:bookmarkStart w:id="150" w:name="_Toc181436570"/>
      <w:bookmarkStart w:id="151" w:name="_Toc267060076"/>
      <w:bookmarkStart w:id="152" w:name="_Toc213755945"/>
      <w:bookmarkStart w:id="153" w:name="_Toc160880165"/>
      <w:bookmarkStart w:id="154" w:name="_Toc267060461"/>
      <w:bookmarkStart w:id="155" w:name="_Toc259520874"/>
      <w:bookmarkStart w:id="156" w:name="_Toc227058536"/>
      <w:bookmarkStart w:id="157" w:name="_Toc267060216"/>
      <w:bookmarkStart w:id="158" w:name="_Toc181436466"/>
      <w:bookmarkStart w:id="159" w:name="_Toc235437998"/>
      <w:bookmarkStart w:id="160" w:name="_Toc213755864"/>
      <w:bookmarkStart w:id="161" w:name="_Toc182372787"/>
      <w:bookmarkStart w:id="162" w:name="_Toc267059811"/>
      <w:bookmarkStart w:id="163" w:name="_Toc192664158"/>
      <w:bookmarkStart w:id="164" w:name="_Toc213756057"/>
      <w:bookmarkStart w:id="165" w:name="_Toc192663840"/>
      <w:bookmarkStart w:id="166" w:name="_Toc267059035"/>
      <w:bookmarkStart w:id="167" w:name="_Toc255975016"/>
      <w:bookmarkStart w:id="168" w:name="_Toc223146614"/>
      <w:bookmarkStart w:id="169" w:name="_Toc273178703"/>
      <w:bookmarkStart w:id="170" w:name="_Toc267059658"/>
      <w:bookmarkStart w:id="171" w:name="_Toc266868943"/>
      <w:bookmarkStart w:id="172" w:name="_Toc266870916"/>
      <w:bookmarkStart w:id="173" w:name="_Toc236021457"/>
      <w:bookmarkStart w:id="174" w:name="_Toc266868679"/>
      <w:bookmarkStart w:id="175" w:name="_Toc267059544"/>
      <w:bookmarkStart w:id="176" w:name="_Toc266870441"/>
      <w:bookmarkStart w:id="177" w:name="_Toc267059186"/>
      <w:bookmarkStart w:id="178" w:name="_Toc251586241"/>
      <w:bookmarkStart w:id="179" w:name="_Toc26706032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2413635</wp:posOffset>
          </wp:positionH>
          <wp:positionV relativeFrom="paragraph">
            <wp:posOffset>-295275</wp:posOffset>
          </wp:positionV>
          <wp:extent cx="1701800" cy="354965"/>
          <wp:effectExtent l="0" t="0" r="12700" b="6985"/>
          <wp:wrapSquare wrapText="bothSides"/>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2413635</wp:posOffset>
          </wp:positionH>
          <wp:positionV relativeFrom="paragraph">
            <wp:posOffset>-295275</wp:posOffset>
          </wp:positionV>
          <wp:extent cx="1701800" cy="354965"/>
          <wp:effectExtent l="0" t="0" r="12700" b="6985"/>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3FA"/>
    <w:rsid w:val="001A5B43"/>
    <w:rsid w:val="001B719E"/>
    <w:rsid w:val="001C6943"/>
    <w:rsid w:val="00235C32"/>
    <w:rsid w:val="00244E90"/>
    <w:rsid w:val="002657F7"/>
    <w:rsid w:val="002772BB"/>
    <w:rsid w:val="002A0474"/>
    <w:rsid w:val="002A633A"/>
    <w:rsid w:val="002C2C3D"/>
    <w:rsid w:val="002C4297"/>
    <w:rsid w:val="002F7649"/>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11393"/>
    <w:rsid w:val="00582530"/>
    <w:rsid w:val="00590957"/>
    <w:rsid w:val="005914DC"/>
    <w:rsid w:val="005A5A4D"/>
    <w:rsid w:val="005E5C34"/>
    <w:rsid w:val="005F125A"/>
    <w:rsid w:val="005F1FC8"/>
    <w:rsid w:val="0061755C"/>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37ABA"/>
    <w:rsid w:val="00E47041"/>
    <w:rsid w:val="00E77225"/>
    <w:rsid w:val="00E95973"/>
    <w:rsid w:val="00ED2437"/>
    <w:rsid w:val="00EE3803"/>
    <w:rsid w:val="00F0149B"/>
    <w:rsid w:val="00F21640"/>
    <w:rsid w:val="00F8646A"/>
    <w:rsid w:val="00F876DE"/>
    <w:rsid w:val="00FF1750"/>
    <w:rsid w:val="00FF655F"/>
    <w:rsid w:val="05890E49"/>
    <w:rsid w:val="070070BF"/>
    <w:rsid w:val="14FE0873"/>
    <w:rsid w:val="1E6859D2"/>
    <w:rsid w:val="48507EB7"/>
    <w:rsid w:val="50B106FE"/>
    <w:rsid w:val="53684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Char"/>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4"/>
    <w:link w:val="6"/>
    <w:semiHidden/>
    <w:qFormat/>
    <w:uiPriority w:val="9"/>
    <w:rPr>
      <w:rFonts w:asciiTheme="majorHAnsi" w:hAnsiTheme="majorHAnsi" w:eastAsiaTheme="majorEastAsia" w:cstheme="majorBidi"/>
      <w:b/>
      <w:bCs/>
    </w:rPr>
  </w:style>
  <w:style w:type="character" w:customStyle="1" w:styleId="33">
    <w:name w:val="标题 6 Char"/>
    <w:basedOn w:val="24"/>
    <w:link w:val="7"/>
    <w:semiHidden/>
    <w:qFormat/>
    <w:uiPriority w:val="9"/>
    <w:rPr>
      <w:rFonts w:asciiTheme="majorHAnsi" w:hAnsiTheme="majorHAnsi" w:eastAsiaTheme="majorEastAsia" w:cstheme="majorBidi"/>
      <w:b/>
      <w:bCs/>
      <w:i/>
      <w:iCs/>
    </w:rPr>
  </w:style>
  <w:style w:type="character" w:customStyle="1" w:styleId="34">
    <w:name w:val="标题 7 Char"/>
    <w:basedOn w:val="24"/>
    <w:link w:val="8"/>
    <w:semiHidden/>
    <w:qFormat/>
    <w:uiPriority w:val="9"/>
    <w:rPr>
      <w:i/>
      <w:iCs/>
    </w:rPr>
  </w:style>
  <w:style w:type="character" w:customStyle="1" w:styleId="35">
    <w:name w:val="标题 8 Char"/>
    <w:basedOn w:val="24"/>
    <w:link w:val="9"/>
    <w:semiHidden/>
    <w:qFormat/>
    <w:uiPriority w:val="9"/>
    <w:rPr>
      <w:b/>
      <w:bCs/>
    </w:rPr>
  </w:style>
  <w:style w:type="character" w:customStyle="1" w:styleId="36">
    <w:name w:val="标题 9 Char"/>
    <w:basedOn w:val="24"/>
    <w:link w:val="10"/>
    <w:semiHidden/>
    <w:qFormat/>
    <w:uiPriority w:val="9"/>
    <w:rPr>
      <w:i/>
      <w:iCs/>
    </w:rPr>
  </w:style>
  <w:style w:type="character" w:customStyle="1" w:styleId="37">
    <w:name w:val="标题 Char"/>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Char"/>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4"/>
    <w:link w:val="42"/>
    <w:qFormat/>
    <w:uiPriority w:val="30"/>
    <w:rPr>
      <w:rFonts w:asciiTheme="majorHAnsi" w:hAnsiTheme="majorHAnsi" w:eastAsiaTheme="majorEastAsia" w:cstheme="majorBidi"/>
      <w:sz w:val="26"/>
      <w:szCs w:val="26"/>
    </w:rPr>
  </w:style>
  <w:style w:type="character" w:customStyle="1" w:styleId="44">
    <w:name w:val="不明显强调1"/>
    <w:basedOn w:val="24"/>
    <w:qFormat/>
    <w:uiPriority w:val="19"/>
    <w:rPr>
      <w:i/>
      <w:iCs/>
      <w:color w:val="auto"/>
    </w:rPr>
  </w:style>
  <w:style w:type="character" w:customStyle="1" w:styleId="45">
    <w:name w:val="明显强调1"/>
    <w:basedOn w:val="24"/>
    <w:qFormat/>
    <w:uiPriority w:val="21"/>
    <w:rPr>
      <w:b/>
      <w:bCs/>
      <w:i/>
      <w:iCs/>
      <w:color w:val="auto"/>
    </w:rPr>
  </w:style>
  <w:style w:type="character" w:customStyle="1" w:styleId="46">
    <w:name w:val="不明显参考1"/>
    <w:basedOn w:val="24"/>
    <w:qFormat/>
    <w:uiPriority w:val="31"/>
    <w:rPr>
      <w:smallCaps/>
      <w:color w:val="auto"/>
      <w:u w:val="single" w:color="7E7E7E" w:themeColor="text1" w:themeTint="80"/>
    </w:rPr>
  </w:style>
  <w:style w:type="character" w:customStyle="1" w:styleId="47">
    <w:name w:val="明显参考1"/>
    <w:basedOn w:val="24"/>
    <w:qFormat/>
    <w:uiPriority w:val="32"/>
    <w:rPr>
      <w:b/>
      <w:bCs/>
      <w:smallCaps/>
      <w:color w:val="auto"/>
      <w:u w:val="single"/>
    </w:rPr>
  </w:style>
  <w:style w:type="character" w:customStyle="1" w:styleId="48">
    <w:name w:val="书籍标题1"/>
    <w:basedOn w:val="24"/>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4"/>
    <w:link w:val="39"/>
    <w:uiPriority w:val="1"/>
  </w:style>
  <w:style w:type="paragraph" w:customStyle="1" w:styleId="5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4"/>
    <w:link w:val="17"/>
    <w:qFormat/>
    <w:uiPriority w:val="99"/>
    <w:rPr>
      <w:sz w:val="18"/>
      <w:szCs w:val="18"/>
    </w:rPr>
  </w:style>
  <w:style w:type="character" w:customStyle="1" w:styleId="53">
    <w:name w:val="页脚 Char"/>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4"/>
    <w:link w:val="15"/>
    <w:semiHidden/>
    <w:qFormat/>
    <w:uiPriority w:val="99"/>
    <w:rPr>
      <w:rFonts w:hAnsi="Courier New" w:cs="Courier New" w:asciiTheme="minorEastAsia"/>
    </w:rPr>
  </w:style>
  <w:style w:type="character" w:customStyle="1" w:styleId="58">
    <w:name w:val="正文文本 Char"/>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C34D-1F89-4437-A59F-37EF4E3A09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682</Words>
  <Characters>3888</Characters>
  <Lines>32</Lines>
  <Paragraphs>9</Paragraphs>
  <TotalTime>61</TotalTime>
  <ScaleCrop>false</ScaleCrop>
  <LinksUpToDate>false</LinksUpToDate>
  <CharactersWithSpaces>4561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菓il雅琼</cp:lastModifiedBy>
  <dcterms:modified xsi:type="dcterms:W3CDTF">2022-07-10T15:12:08Z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EF6C05CBA8224D7B83C006EA0F0779F8</vt:lpwstr>
  </property>
</Properties>
</file>