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bookmarkStart w:id="1" w:name="_Toc212456146"/>
      <w:bookmarkStart w:id="2" w:name="_Toc223146565"/>
      <w:bookmarkStart w:id="3" w:name="_Toc160880487"/>
      <w:bookmarkStart w:id="4" w:name="_Toc212454753"/>
      <w:bookmarkStart w:id="5" w:name="_Toc251613780"/>
      <w:bookmarkStart w:id="6" w:name="_Toc253066567"/>
      <w:bookmarkStart w:id="7" w:name="_Toc259520819"/>
      <w:bookmarkStart w:id="8" w:name="_Toc169332904"/>
      <w:bookmarkStart w:id="9" w:name="_Toc169332794"/>
      <w:bookmarkStart w:id="10" w:name="_Toc212530253"/>
      <w:bookmarkStart w:id="11" w:name="_Toc219800200"/>
      <w:bookmarkStart w:id="12" w:name="_Toc235437942"/>
      <w:bookmarkStart w:id="13" w:name="_Toc211937196"/>
      <w:bookmarkStart w:id="14" w:name="_Toc251586187"/>
      <w:bookmarkStart w:id="15" w:name="_Toc225669277"/>
      <w:bookmarkStart w:id="16" w:name="_Toc235438227"/>
      <w:bookmarkStart w:id="17" w:name="_Toc236021402"/>
      <w:bookmarkStart w:id="18" w:name="_Toc212526081"/>
      <w:bookmarkStart w:id="19" w:name="_Toc217891359"/>
      <w:bookmarkStart w:id="20" w:name="_Toc207014580"/>
      <w:bookmarkStart w:id="21" w:name="_Toc216241307"/>
      <w:bookmarkStart w:id="22" w:name="_Toc249325665"/>
      <w:bookmarkStart w:id="23" w:name="_Toc254790852"/>
      <w:bookmarkStart w:id="24" w:name="_Toc177985424"/>
      <w:bookmarkStart w:id="25" w:name="_Toc255974963"/>
      <w:bookmarkStart w:id="26" w:name="_Toc258401210"/>
      <w:bookmarkStart w:id="27" w:name="_Toc235438297"/>
      <w:bookmarkStart w:id="28" w:name="_Toc170798743"/>
      <w:bookmarkStart w:id="29" w:name="_Toc227058483"/>
      <w:bookmarkStart w:id="30" w:name="_Toc266868624"/>
      <w:bookmarkStart w:id="31" w:name="_Toc266870861"/>
      <w:bookmarkStart w:id="32" w:name="_Toc267059519"/>
      <w:bookmarkStart w:id="33" w:name="_Toc267059633"/>
      <w:bookmarkStart w:id="34" w:name="_Toc267060162"/>
      <w:bookmarkStart w:id="35" w:name="_Toc267059010"/>
      <w:bookmarkStart w:id="36" w:name="_Toc267060407"/>
      <w:bookmarkStart w:id="37" w:name="_Toc267059786"/>
      <w:bookmarkStart w:id="38" w:name="_Toc259692693"/>
      <w:bookmarkStart w:id="39" w:name="_Toc267059899"/>
      <w:bookmarkStart w:id="40" w:name="_Toc266870386"/>
      <w:bookmarkStart w:id="41" w:name="_Toc273178686"/>
      <w:bookmarkStart w:id="42" w:name="_Toc267059161"/>
      <w:bookmarkStart w:id="43" w:name="_Toc266868924"/>
      <w:bookmarkStart w:id="44" w:name="_Toc267060022"/>
      <w:bookmarkStart w:id="45" w:name="_Toc259692600"/>
      <w:bookmarkStart w:id="475" w:name="_GoBack"/>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0" t="0" r="0" b="9525"/>
            <wp:wrapNone/>
            <wp:docPr id="15" name="图片 1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jx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14650" cy="676275"/>
                    </a:xfrm>
                    <a:prstGeom prst="rect">
                      <a:avLst/>
                    </a:prstGeom>
                    <a:noFill/>
                    <a:ln>
                      <a:noFill/>
                    </a:ln>
                  </pic:spPr>
                </pic:pic>
              </a:graphicData>
            </a:graphic>
          </wp:anchor>
        </w:drawing>
      </w:r>
      <w:bookmarkEnd w:id="0"/>
    </w:p>
    <w:bookmarkEnd w:id="475"/>
    <w:p>
      <w:pPr>
        <w:spacing w:line="1000" w:lineRule="exact"/>
        <w:jc w:val="center"/>
        <w:rPr>
          <w:rFonts w:ascii="仿宋" w:hAnsi="仿宋" w:eastAsia="仿宋"/>
          <w:b/>
          <w:sz w:val="40"/>
          <w:szCs w:val="32"/>
        </w:rPr>
      </w:pPr>
      <w:r>
        <w:rPr>
          <w:rFonts w:hint="eastAsia" w:ascii="仿宋" w:hAnsi="仿宋" w:eastAsia="仿宋"/>
          <w:b/>
          <w:sz w:val="40"/>
          <w:szCs w:val="32"/>
        </w:rPr>
        <w:t>江西科技学院十期项目桩基工程</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1000" w:lineRule="exact"/>
        <w:jc w:val="center"/>
        <w:rPr>
          <w:rFonts w:ascii="仿宋" w:hAnsi="仿宋" w:eastAsia="仿宋"/>
          <w:b/>
          <w:sz w:val="72"/>
          <w:szCs w:val="72"/>
        </w:rPr>
      </w:pPr>
    </w:p>
    <w:p>
      <w:pPr>
        <w:spacing w:line="1000" w:lineRule="exact"/>
        <w:jc w:val="center"/>
        <w:rPr>
          <w:rFonts w:ascii="仿宋" w:hAnsi="仿宋" w:eastAsia="仿宋"/>
          <w:b/>
          <w:sz w:val="72"/>
          <w:szCs w:val="72"/>
        </w:rPr>
      </w:pPr>
    </w:p>
    <w:p>
      <w:pPr>
        <w:spacing w:line="500" w:lineRule="exact"/>
        <w:ind w:firstLine="1277" w:firstLineChars="374"/>
        <w:rPr>
          <w:rFonts w:ascii="仿宋" w:hAnsi="仿宋" w:eastAsia="仿宋"/>
          <w:b/>
          <w:sz w:val="28"/>
          <w:szCs w:val="28"/>
        </w:rPr>
      </w:pPr>
      <w:bookmarkStart w:id="46" w:name="_Toc169332792"/>
      <w:bookmarkStart w:id="47" w:name="_Toc160880485"/>
      <w:bookmarkStart w:id="48" w:name="_Toc160880118"/>
      <w:r>
        <w:rPr>
          <w:rFonts w:hint="eastAsia" w:ascii="仿宋" w:hAnsi="仿宋" w:eastAsia="仿宋"/>
          <w:b/>
          <w:sz w:val="34"/>
          <w:szCs w:val="30"/>
        </w:rPr>
        <w:t>项目名称</w:t>
      </w:r>
      <w:bookmarkEnd w:id="46"/>
      <w:bookmarkEnd w:id="47"/>
      <w:bookmarkEnd w:id="48"/>
      <w:r>
        <w:rPr>
          <w:rFonts w:hint="eastAsia" w:ascii="仿宋" w:hAnsi="仿宋" w:eastAsia="仿宋"/>
          <w:b/>
          <w:sz w:val="34"/>
          <w:szCs w:val="30"/>
        </w:rPr>
        <w:t>：</w:t>
      </w:r>
      <w:r>
        <w:rPr>
          <w:rFonts w:hint="eastAsia" w:ascii="仿宋" w:hAnsi="仿宋" w:eastAsia="仿宋"/>
          <w:b/>
          <w:sz w:val="28"/>
          <w:szCs w:val="28"/>
        </w:rPr>
        <w:t>江西科技学院十期项目桩基工程</w:t>
      </w:r>
    </w:p>
    <w:p>
      <w:pPr>
        <w:rPr>
          <w:rFonts w:ascii="仿宋" w:hAnsi="仿宋" w:eastAsia="仿宋"/>
          <w:b/>
          <w:sz w:val="28"/>
          <w:szCs w:val="28"/>
        </w:rPr>
      </w:pPr>
      <w:r>
        <w:rPr>
          <w:rFonts w:ascii="仿宋" w:hAnsi="仿宋" w:eastAsia="仿宋"/>
          <w:b/>
          <w:sz w:val="28"/>
          <w:szCs w:val="28"/>
        </w:rPr>
        <w:br w:type="page"/>
      </w:r>
    </w:p>
    <w:p>
      <w:pPr>
        <w:spacing w:line="500" w:lineRule="exact"/>
        <w:ind w:firstLine="1126" w:firstLineChars="374"/>
        <w:rPr>
          <w:rFonts w:ascii="仿宋" w:hAnsi="仿宋" w:eastAsia="仿宋"/>
          <w:b/>
          <w:sz w:val="30"/>
          <w:szCs w:val="30"/>
        </w:rPr>
        <w:sectPr>
          <w:headerReference r:id="rId5" w:type="default"/>
          <w:footerReference r:id="rId6" w:type="default"/>
          <w:pgSz w:w="11906" w:h="16838"/>
          <w:pgMar w:top="1440" w:right="1416" w:bottom="1440" w:left="1134" w:header="851" w:footer="680" w:gutter="0"/>
          <w:cols w:space="720" w:num="1"/>
          <w:titlePg/>
          <w:docGrid w:type="lines" w:linePitch="312" w:charSpace="0"/>
        </w:sect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公开询价邀请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hint="eastAsia" w:ascii="仿宋" w:hAnsi="仿宋" w:eastAsia="仿宋"/>
          <w:b/>
          <w:color w:val="auto"/>
          <w:sz w:val="44"/>
          <w:szCs w:val="44"/>
        </w:rPr>
        <w:t>函</w:t>
      </w:r>
    </w:p>
    <w:p>
      <w:pPr>
        <w:spacing w:after="0" w:line="400" w:lineRule="exact"/>
        <w:ind w:firstLine="364" w:firstLineChars="152"/>
        <w:jc w:val="left"/>
        <w:rPr>
          <w:rFonts w:ascii="仿宋" w:hAnsi="仿宋" w:eastAsia="仿宋"/>
          <w:sz w:val="24"/>
          <w:szCs w:val="24"/>
        </w:rPr>
      </w:pPr>
      <w:bookmarkStart w:id="49" w:name="_Hlk10840310"/>
      <w:r>
        <w:rPr>
          <w:rFonts w:hint="eastAsia" w:ascii="仿宋" w:hAnsi="仿宋" w:eastAsia="仿宋"/>
          <w:sz w:val="24"/>
          <w:szCs w:val="24"/>
        </w:rPr>
        <w:t>按照公开、公平、公正的原则，经学校研究决定，将江西科技学院十期项目桩基工程公开询价信息公布，欢迎国内合格的供应商参与,校内教职工均可推荐符合条件的供应商来参与，以利于做好信息透明、机会均等、程序规范、标准统一的要求。</w:t>
      </w:r>
    </w:p>
    <w:p>
      <w:pPr>
        <w:spacing w:after="0" w:line="400" w:lineRule="exact"/>
        <w:ind w:firstLine="364" w:firstLineChars="152"/>
        <w:jc w:val="left"/>
        <w:rPr>
          <w:rFonts w:ascii="仿宋" w:hAnsi="仿宋" w:eastAsia="仿宋"/>
          <w:sz w:val="24"/>
          <w:szCs w:val="24"/>
        </w:rPr>
      </w:pPr>
      <w:r>
        <w:rPr>
          <w:rFonts w:hint="eastAsia" w:ascii="仿宋" w:hAnsi="仿宋" w:eastAsia="仿宋"/>
          <w:sz w:val="24"/>
          <w:szCs w:val="24"/>
        </w:rPr>
        <w:t>一、项目说明</w:t>
      </w:r>
    </w:p>
    <w:p>
      <w:pPr>
        <w:widowControl w:val="0"/>
        <w:numPr>
          <w:ilvl w:val="1"/>
          <w:numId w:val="1"/>
        </w:numPr>
        <w:spacing w:after="0" w:line="400" w:lineRule="exact"/>
        <w:rPr>
          <w:rFonts w:ascii="仿宋" w:hAnsi="仿宋" w:eastAsia="仿宋"/>
          <w:sz w:val="24"/>
          <w:szCs w:val="24"/>
        </w:rPr>
      </w:pPr>
      <w:r>
        <w:rPr>
          <w:rFonts w:hint="eastAsia" w:ascii="仿宋" w:hAnsi="仿宋" w:eastAsia="仿宋"/>
          <w:sz w:val="24"/>
          <w:szCs w:val="24"/>
        </w:rPr>
        <w:t>项目编号：</w:t>
      </w:r>
    </w:p>
    <w:p>
      <w:pPr>
        <w:widowControl w:val="0"/>
        <w:tabs>
          <w:tab w:val="left" w:pos="839"/>
        </w:tabs>
        <w:spacing w:after="0" w:line="400" w:lineRule="exact"/>
        <w:ind w:left="839"/>
        <w:rPr>
          <w:rFonts w:ascii="仿宋" w:hAnsi="仿宋" w:eastAsia="仿宋"/>
          <w:sz w:val="24"/>
          <w:szCs w:val="24"/>
        </w:rPr>
      </w:pPr>
      <w:r>
        <w:rPr>
          <w:rFonts w:hint="eastAsia" w:ascii="仿宋" w:hAnsi="仿宋" w:eastAsia="仿宋"/>
          <w:sz w:val="24"/>
          <w:szCs w:val="24"/>
        </w:rPr>
        <w:t>项目名称：江西科技学院十期项目桩基工程</w:t>
      </w:r>
    </w:p>
    <w:p>
      <w:pPr>
        <w:widowControl w:val="0"/>
        <w:numPr>
          <w:ilvl w:val="1"/>
          <w:numId w:val="1"/>
        </w:numPr>
        <w:spacing w:after="0" w:line="400" w:lineRule="exact"/>
        <w:rPr>
          <w:rFonts w:ascii="仿宋" w:hAnsi="仿宋" w:eastAsia="仿宋"/>
          <w:sz w:val="24"/>
          <w:szCs w:val="24"/>
        </w:rPr>
      </w:pPr>
      <w:r>
        <w:rPr>
          <w:rFonts w:hint="eastAsia" w:ascii="仿宋" w:hAnsi="仿宋" w:eastAsia="仿宋"/>
          <w:sz w:val="24"/>
          <w:szCs w:val="24"/>
        </w:rPr>
        <w:t>数量及主要技术要求:详见《公开询价清单一览表》。</w:t>
      </w:r>
    </w:p>
    <w:p>
      <w:pPr>
        <w:widowControl w:val="0"/>
        <w:numPr>
          <w:ilvl w:val="1"/>
          <w:numId w:val="1"/>
        </w:numPr>
        <w:spacing w:after="0" w:line="400" w:lineRule="exact"/>
        <w:rPr>
          <w:rFonts w:ascii="仿宋" w:hAnsi="仿宋" w:eastAsia="仿宋"/>
          <w:sz w:val="24"/>
          <w:szCs w:val="24"/>
        </w:rPr>
      </w:pPr>
      <w:r>
        <w:rPr>
          <w:rFonts w:hint="eastAsia" w:ascii="仿宋" w:hAnsi="仿宋" w:eastAsia="仿宋"/>
          <w:sz w:val="24"/>
          <w:szCs w:val="24"/>
        </w:rPr>
        <w:t>参与人资格标准：</w:t>
      </w:r>
    </w:p>
    <w:p>
      <w:pPr>
        <w:widowControl w:val="0"/>
        <w:spacing w:after="0" w:line="400" w:lineRule="exact"/>
        <w:ind w:left="811"/>
        <w:rPr>
          <w:rFonts w:ascii="仿宋" w:hAnsi="仿宋" w:eastAsia="仿宋"/>
          <w:sz w:val="24"/>
          <w:szCs w:val="24"/>
        </w:rPr>
      </w:pPr>
      <w:r>
        <w:rPr>
          <w:rFonts w:hint="eastAsia" w:ascii="仿宋" w:hAnsi="仿宋" w:eastAsia="仿宋"/>
          <w:sz w:val="24"/>
          <w:szCs w:val="24"/>
        </w:rPr>
        <w:t>本项目采用资格预审制，发布磋商公告后，各潜在参与人在满足发包人资格要求并提供以下相关证明资料方可购买竞争性磋商文件。</w:t>
      </w:r>
    </w:p>
    <w:p>
      <w:pPr>
        <w:widowControl w:val="0"/>
        <w:numPr>
          <w:ilvl w:val="0"/>
          <w:numId w:val="2"/>
        </w:numPr>
        <w:tabs>
          <w:tab w:val="left" w:pos="1050"/>
          <w:tab w:val="clear" w:pos="1469"/>
        </w:tabs>
        <w:spacing w:after="0" w:line="400" w:lineRule="exact"/>
        <w:rPr>
          <w:rFonts w:ascii="仿宋" w:hAnsi="仿宋" w:eastAsia="仿宋"/>
          <w:sz w:val="24"/>
          <w:szCs w:val="24"/>
        </w:rPr>
      </w:pPr>
      <w:r>
        <w:rPr>
          <w:rFonts w:hint="eastAsia" w:ascii="仿宋" w:hAnsi="仿宋" w:eastAsia="仿宋"/>
          <w:sz w:val="24"/>
          <w:szCs w:val="24"/>
        </w:rPr>
        <w:t>取得营业执照并具有独立法人，具备一般纳税人资格。</w:t>
      </w:r>
    </w:p>
    <w:p>
      <w:pPr>
        <w:widowControl w:val="0"/>
        <w:numPr>
          <w:ilvl w:val="0"/>
          <w:numId w:val="2"/>
        </w:numPr>
        <w:tabs>
          <w:tab w:val="left" w:pos="1134"/>
          <w:tab w:val="clear" w:pos="1469"/>
        </w:tabs>
        <w:spacing w:after="0" w:line="400" w:lineRule="exact"/>
        <w:rPr>
          <w:rFonts w:ascii="仿宋" w:hAnsi="仿宋" w:eastAsia="仿宋"/>
          <w:sz w:val="24"/>
          <w:szCs w:val="24"/>
        </w:rPr>
      </w:pPr>
      <w:r>
        <w:rPr>
          <w:rFonts w:hint="eastAsia" w:ascii="仿宋" w:hAnsi="仿宋" w:eastAsia="仿宋"/>
          <w:sz w:val="24"/>
          <w:szCs w:val="24"/>
        </w:rPr>
        <w:t>资质等级：具有地基基础工程专业承包贰级及以上资质并年检，外省单位须办理入驻备案手续并年检。</w:t>
      </w:r>
      <w:r>
        <w:rPr>
          <w:rFonts w:ascii="Calibri" w:hAnsi="Calibri" w:eastAsia="仿宋" w:cs="Calibri"/>
          <w:sz w:val="24"/>
          <w:szCs w:val="24"/>
        </w:rPr>
        <w:t> </w:t>
      </w:r>
    </w:p>
    <w:p>
      <w:pPr>
        <w:widowControl w:val="0"/>
        <w:numPr>
          <w:ilvl w:val="0"/>
          <w:numId w:val="2"/>
        </w:numPr>
        <w:tabs>
          <w:tab w:val="left" w:pos="1134"/>
          <w:tab w:val="clear" w:pos="1469"/>
        </w:tabs>
        <w:spacing w:after="0" w:line="400" w:lineRule="exact"/>
        <w:rPr>
          <w:rFonts w:ascii="仿宋" w:hAnsi="仿宋" w:eastAsia="仿宋"/>
          <w:sz w:val="24"/>
          <w:szCs w:val="24"/>
        </w:rPr>
      </w:pPr>
      <w:r>
        <w:rPr>
          <w:rFonts w:hint="eastAsia" w:ascii="仿宋" w:hAnsi="仿宋" w:eastAsia="仿宋"/>
          <w:sz w:val="24"/>
          <w:szCs w:val="24"/>
        </w:rPr>
        <w:t>业绩要求：近三年具有与本工程规模相类似的工程项目业绩两个及以上。</w:t>
      </w:r>
    </w:p>
    <w:p>
      <w:pPr>
        <w:widowControl w:val="0"/>
        <w:numPr>
          <w:ilvl w:val="0"/>
          <w:numId w:val="2"/>
        </w:numPr>
        <w:tabs>
          <w:tab w:val="left" w:pos="1134"/>
          <w:tab w:val="clear" w:pos="1469"/>
        </w:tabs>
        <w:spacing w:after="0" w:line="400" w:lineRule="exact"/>
        <w:rPr>
          <w:rFonts w:ascii="仿宋" w:hAnsi="仿宋" w:eastAsia="仿宋"/>
          <w:sz w:val="24"/>
          <w:szCs w:val="24"/>
        </w:rPr>
      </w:pPr>
      <w:r>
        <w:rPr>
          <w:rFonts w:hint="eastAsia" w:ascii="仿宋" w:hAnsi="仿宋" w:eastAsia="仿宋"/>
          <w:sz w:val="24"/>
          <w:szCs w:val="24"/>
        </w:rPr>
        <w:t>依法取得安全生产许可证并年检。</w:t>
      </w:r>
    </w:p>
    <w:p>
      <w:pPr>
        <w:widowControl w:val="0"/>
        <w:numPr>
          <w:ilvl w:val="0"/>
          <w:numId w:val="2"/>
        </w:numPr>
        <w:tabs>
          <w:tab w:val="left" w:pos="1134"/>
          <w:tab w:val="clear" w:pos="1469"/>
        </w:tabs>
        <w:spacing w:after="0" w:line="400" w:lineRule="exact"/>
        <w:rPr>
          <w:rFonts w:ascii="仿宋" w:hAnsi="仿宋" w:eastAsia="仿宋"/>
          <w:sz w:val="24"/>
          <w:szCs w:val="24"/>
        </w:rPr>
      </w:pPr>
      <w:r>
        <w:rPr>
          <w:rFonts w:hint="eastAsia" w:ascii="仿宋" w:hAnsi="仿宋" w:eastAsia="仿宋"/>
          <w:sz w:val="24"/>
          <w:szCs w:val="24"/>
        </w:rPr>
        <w:t>拟任项目经理需具备贰级建造师执业证书(临时证书无效）并取得安全生产考核证书。</w:t>
      </w:r>
    </w:p>
    <w:p>
      <w:pPr>
        <w:widowControl w:val="0"/>
        <w:numPr>
          <w:ilvl w:val="0"/>
          <w:numId w:val="2"/>
        </w:numPr>
        <w:tabs>
          <w:tab w:val="left" w:pos="1134"/>
          <w:tab w:val="clear" w:pos="1469"/>
        </w:tabs>
        <w:spacing w:after="0" w:line="400" w:lineRule="exact"/>
        <w:rPr>
          <w:rFonts w:ascii="仿宋" w:hAnsi="仿宋" w:eastAsia="仿宋"/>
          <w:sz w:val="24"/>
          <w:szCs w:val="24"/>
        </w:rPr>
      </w:pPr>
      <w:r>
        <w:rPr>
          <w:rFonts w:hint="eastAsia" w:ascii="仿宋" w:hAnsi="仿宋" w:eastAsia="仿宋"/>
          <w:sz w:val="24"/>
          <w:szCs w:val="24"/>
        </w:rPr>
        <w:t>拟任技术负责人：具有中级工程师或以上职称。</w:t>
      </w:r>
    </w:p>
    <w:p>
      <w:pPr>
        <w:widowControl w:val="0"/>
        <w:numPr>
          <w:ilvl w:val="0"/>
          <w:numId w:val="2"/>
        </w:numPr>
        <w:tabs>
          <w:tab w:val="left" w:pos="1134"/>
          <w:tab w:val="clear" w:pos="1469"/>
        </w:tabs>
        <w:spacing w:after="0" w:line="400" w:lineRule="exact"/>
        <w:rPr>
          <w:rFonts w:ascii="仿宋" w:hAnsi="仿宋" w:eastAsia="仿宋"/>
          <w:sz w:val="24"/>
          <w:szCs w:val="24"/>
        </w:rPr>
      </w:pPr>
      <w:r>
        <w:rPr>
          <w:rFonts w:hint="eastAsia" w:ascii="仿宋" w:hAnsi="仿宋" w:eastAsia="仿宋"/>
          <w:sz w:val="24"/>
          <w:szCs w:val="24"/>
        </w:rPr>
        <w:t>具有良好的银行资信和商业信誉，良好的财务情况，能满足项目正常施工运转。未被建设主管部门或税务机关予以进行处罚或列入黑名单。</w:t>
      </w:r>
    </w:p>
    <w:p>
      <w:pPr>
        <w:widowControl w:val="0"/>
        <w:numPr>
          <w:ilvl w:val="1"/>
          <w:numId w:val="3"/>
        </w:numPr>
        <w:spacing w:after="0" w:line="4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报价响应文件递交方式：密封报价，按规定时间送达或邮寄。</w:t>
      </w:r>
    </w:p>
    <w:p>
      <w:pPr>
        <w:widowControl w:val="0"/>
        <w:tabs>
          <w:tab w:val="left" w:pos="839"/>
        </w:tabs>
        <w:spacing w:after="0" w:line="400" w:lineRule="exact"/>
        <w:ind w:left="839"/>
        <w:rPr>
          <w:rFonts w:ascii="仿宋" w:hAnsi="仿宋" w:eastAsia="仿宋"/>
          <w:sz w:val="24"/>
          <w:szCs w:val="24"/>
        </w:rPr>
      </w:pP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w:t>
      </w:r>
      <w:r>
        <w:rPr>
          <w:rFonts w:hint="eastAsia" w:ascii="仿宋" w:hAnsi="仿宋" w:eastAsia="仿宋"/>
          <w:sz w:val="24"/>
          <w:szCs w:val="24"/>
        </w:rPr>
        <w:t>响应文件递交截止时间：2022年9月8日下午17:00前。</w:t>
      </w:r>
    </w:p>
    <w:p>
      <w:pPr>
        <w:pStyle w:val="55"/>
        <w:numPr>
          <w:ilvl w:val="1"/>
          <w:numId w:val="3"/>
        </w:numPr>
        <w:spacing w:after="0" w:line="400" w:lineRule="exact"/>
        <w:ind w:firstLineChars="0"/>
        <w:rPr>
          <w:rFonts w:ascii="仿宋" w:hAnsi="仿宋" w:eastAsia="仿宋"/>
          <w:sz w:val="24"/>
          <w:szCs w:val="24"/>
        </w:rPr>
      </w:pPr>
      <w:r>
        <w:rPr>
          <w:rFonts w:hint="eastAsia" w:ascii="仿宋" w:hAnsi="仿宋" w:eastAsia="仿宋"/>
          <w:sz w:val="24"/>
          <w:szCs w:val="24"/>
        </w:rPr>
        <w:t>报价响应文件递交地点：江西科技学院后勤中心3楼总务处。</w:t>
      </w:r>
    </w:p>
    <w:p>
      <w:pPr>
        <w:pStyle w:val="55"/>
        <w:spacing w:after="0" w:line="400" w:lineRule="exact"/>
        <w:ind w:left="839" w:firstLine="0" w:firstLineChars="0"/>
        <w:rPr>
          <w:rFonts w:ascii="仿宋" w:hAnsi="仿宋" w:eastAsia="仿宋"/>
          <w:sz w:val="24"/>
          <w:szCs w:val="24"/>
        </w:rPr>
      </w:pPr>
      <w:r>
        <w:rPr>
          <w:rFonts w:hint="eastAsia" w:ascii="仿宋" w:hAnsi="仿宋" w:eastAsia="仿宋"/>
          <w:sz w:val="24"/>
          <w:szCs w:val="24"/>
        </w:rPr>
        <w:t>联系人：万小丽，电话：0791-8813887</w:t>
      </w:r>
      <w:r>
        <w:rPr>
          <w:rFonts w:ascii="仿宋" w:hAnsi="仿宋" w:eastAsia="仿宋"/>
          <w:sz w:val="24"/>
          <w:szCs w:val="24"/>
        </w:rPr>
        <w:t>1</w:t>
      </w:r>
    </w:p>
    <w:p>
      <w:pPr>
        <w:widowControl w:val="0"/>
        <w:tabs>
          <w:tab w:val="left" w:pos="839"/>
        </w:tabs>
        <w:spacing w:after="0" w:line="400" w:lineRule="exact"/>
        <w:ind w:left="839"/>
        <w:rPr>
          <w:rFonts w:ascii="仿宋" w:hAnsi="仿宋" w:eastAsia="仿宋"/>
          <w:sz w:val="24"/>
          <w:szCs w:val="24"/>
        </w:rPr>
      </w:pPr>
      <w:r>
        <w:rPr>
          <w:rFonts w:hint="eastAsia" w:ascii="仿宋" w:hAnsi="仿宋" w:eastAsia="仿宋"/>
          <w:sz w:val="24"/>
          <w:szCs w:val="24"/>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tabs>
          <w:tab w:val="left" w:pos="839"/>
        </w:tabs>
        <w:spacing w:after="0" w:line="400" w:lineRule="exact"/>
        <w:ind w:left="839"/>
        <w:rPr>
          <w:rFonts w:ascii="仿宋" w:hAnsi="仿宋" w:eastAsia="仿宋"/>
          <w:sz w:val="24"/>
          <w:szCs w:val="24"/>
        </w:rPr>
      </w:pPr>
      <w:r>
        <w:rPr>
          <w:rFonts w:hint="eastAsia" w:ascii="仿宋" w:hAnsi="仿宋" w:eastAsia="仿宋"/>
          <w:sz w:val="24"/>
          <w:szCs w:val="24"/>
        </w:rPr>
        <w:t>踏勘地点：江西科技学院北校区</w:t>
      </w:r>
    </w:p>
    <w:p>
      <w:pPr>
        <w:pStyle w:val="55"/>
        <w:spacing w:after="0" w:line="400" w:lineRule="exact"/>
        <w:ind w:left="839" w:firstLine="0" w:firstLineChars="0"/>
        <w:rPr>
          <w:rFonts w:ascii="仿宋" w:hAnsi="仿宋" w:eastAsia="仿宋"/>
          <w:sz w:val="24"/>
          <w:szCs w:val="24"/>
        </w:rPr>
      </w:pPr>
      <w:r>
        <w:rPr>
          <w:rFonts w:hint="eastAsia" w:ascii="仿宋" w:hAnsi="仿宋" w:eastAsia="仿宋"/>
          <w:sz w:val="24"/>
          <w:szCs w:val="24"/>
        </w:rPr>
        <w:t>探勘联系人：卜建辉，电话：18679150560</w:t>
      </w:r>
    </w:p>
    <w:p>
      <w:pPr>
        <w:widowControl w:val="0"/>
        <w:numPr>
          <w:ilvl w:val="1"/>
          <w:numId w:val="3"/>
        </w:numPr>
        <w:spacing w:after="0" w:line="400" w:lineRule="exact"/>
        <w:rPr>
          <w:rFonts w:ascii="仿宋" w:hAnsi="仿宋" w:eastAsia="仿宋"/>
          <w:sz w:val="24"/>
          <w:szCs w:val="24"/>
        </w:rPr>
      </w:pP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，请在报价响应文件递交截止之日前，将问题以书面形式（有效签署的原件并加盖公章）提交至学校业务对接人，联系人：万小丽，电话：0791-8813887</w:t>
      </w:r>
      <w:r>
        <w:rPr>
          <w:rFonts w:ascii="仿宋" w:hAnsi="仿宋" w:eastAsia="仿宋"/>
          <w:sz w:val="24"/>
          <w:szCs w:val="24"/>
        </w:rPr>
        <w:t>1</w:t>
      </w:r>
      <w:r>
        <w:rPr>
          <w:rFonts w:hint="eastAsia" w:ascii="仿宋" w:hAnsi="仿宋" w:eastAsia="仿宋"/>
          <w:sz w:val="24"/>
          <w:szCs w:val="24"/>
        </w:rPr>
        <w:t>。采购人不对超时提交及未加盖公章的质疑文件进行回复。</w:t>
      </w:r>
    </w:p>
    <w:p>
      <w:pPr>
        <w:widowControl w:val="0"/>
        <w:numPr>
          <w:ilvl w:val="1"/>
          <w:numId w:val="3"/>
        </w:numPr>
        <w:spacing w:after="0" w:line="400" w:lineRule="exact"/>
        <w:rPr>
          <w:rFonts w:ascii="仿宋" w:hAnsi="仿宋" w:eastAsia="仿宋"/>
          <w:sz w:val="24"/>
          <w:szCs w:val="24"/>
        </w:rPr>
      </w:pPr>
      <w:bookmarkStart w:id="50" w:name="_Hlk97917519"/>
      <w:r>
        <w:rPr>
          <w:rFonts w:hint="eastAsia" w:ascii="仿宋" w:hAnsi="仿宋" w:eastAsia="仿宋"/>
          <w:sz w:val="24"/>
          <w:szCs w:val="24"/>
        </w:rPr>
        <w:t>本项目最终成交结果会在中教集团后勤贤知平台“中标信息公示”板块公示，网址：</w:t>
      </w:r>
      <w:r>
        <w:fldChar w:fldCharType="begin"/>
      </w:r>
      <w:r>
        <w:instrText xml:space="preserve"> HYPERLINK "http://www.ceghqxz.com" </w:instrText>
      </w:r>
      <w:r>
        <w:fldChar w:fldCharType="separate"/>
      </w:r>
      <w:r>
        <w:rPr>
          <w:rStyle w:val="28"/>
          <w:rFonts w:hint="eastAsia" w:ascii="仿宋" w:hAnsi="仿宋" w:eastAsia="仿宋"/>
          <w:color w:val="auto"/>
          <w:sz w:val="24"/>
          <w:szCs w:val="24"/>
        </w:rPr>
        <w:t>www.ceghqxz.com</w:t>
      </w:r>
      <w:r>
        <w:rPr>
          <w:rStyle w:val="28"/>
          <w:rFonts w:hint="eastAsia" w:ascii="仿宋" w:hAnsi="仿宋" w:eastAsia="仿宋"/>
          <w:color w:val="auto"/>
          <w:sz w:val="24"/>
          <w:szCs w:val="24"/>
        </w:rPr>
        <w:fldChar w:fldCharType="end"/>
      </w:r>
      <w:r>
        <w:rPr>
          <w:rFonts w:hint="eastAsia" w:ascii="仿宋" w:hAnsi="仿宋" w:eastAsia="仿宋"/>
          <w:sz w:val="24"/>
          <w:szCs w:val="24"/>
        </w:rPr>
        <w:t>。参加本项目的参与人如对</w:t>
      </w:r>
      <w:r>
        <w:rPr>
          <w:rFonts w:hint="eastAsia" w:ascii="仿宋" w:hAnsi="仿宋" w:eastAsia="仿宋"/>
          <w:b/>
          <w:bCs/>
          <w:sz w:val="24"/>
          <w:szCs w:val="24"/>
        </w:rPr>
        <w:t>采购过程和成交结果有异议的，</w:t>
      </w:r>
      <w:bookmarkEnd w:id="50"/>
      <w:r>
        <w:rPr>
          <w:rFonts w:hint="eastAsia" w:ascii="仿宋" w:hAnsi="仿宋" w:eastAsia="仿宋"/>
          <w:sz w:val="24"/>
          <w:szCs w:val="24"/>
        </w:rPr>
        <w:t>请以书面形式（有效签署的原件并加盖公章），并附有相关的证据材料，提交至集团内控部。</w:t>
      </w:r>
    </w:p>
    <w:p>
      <w:pPr>
        <w:widowControl w:val="0"/>
        <w:tabs>
          <w:tab w:val="left" w:pos="839"/>
        </w:tabs>
        <w:spacing w:after="0" w:line="400" w:lineRule="exact"/>
        <w:ind w:left="839"/>
        <w:rPr>
          <w:rFonts w:ascii="仿宋" w:hAnsi="仿宋" w:eastAsia="仿宋"/>
          <w:sz w:val="24"/>
          <w:szCs w:val="24"/>
        </w:rPr>
      </w:pPr>
      <w:r>
        <w:rPr>
          <w:rFonts w:hint="eastAsia" w:ascii="仿宋" w:hAnsi="仿宋" w:eastAsia="仿宋"/>
          <w:sz w:val="24"/>
          <w:szCs w:val="24"/>
        </w:rPr>
        <w:t>投诉受理部门：中教集团内控部，投诉电话： 0791-88106510 /0791-88102608</w:t>
      </w:r>
    </w:p>
    <w:p>
      <w:pPr>
        <w:widowControl w:val="0"/>
        <w:tabs>
          <w:tab w:val="left" w:pos="839"/>
        </w:tabs>
        <w:spacing w:after="0" w:line="400" w:lineRule="exact"/>
        <w:ind w:left="420"/>
        <w:rPr>
          <w:rFonts w:ascii="仿宋" w:hAnsi="仿宋" w:eastAsia="仿宋"/>
          <w:b/>
          <w:bCs/>
          <w:sz w:val="24"/>
          <w:szCs w:val="24"/>
        </w:rPr>
      </w:pPr>
      <w:r>
        <w:rPr>
          <w:rFonts w:hint="eastAsia" w:ascii="仿宋" w:hAnsi="仿宋" w:eastAsia="仿宋"/>
          <w:sz w:val="24"/>
          <w:szCs w:val="24"/>
        </w:rPr>
        <w:t>二、参与人须知</w:t>
      </w:r>
    </w:p>
    <w:p>
      <w:pPr>
        <w:widowControl w:val="0"/>
        <w:numPr>
          <w:ilvl w:val="1"/>
          <w:numId w:val="4"/>
        </w:numPr>
        <w:spacing w:after="0" w:line="4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4"/>
        </w:numPr>
        <w:spacing w:after="0" w:line="4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4"/>
        </w:numPr>
        <w:spacing w:after="0" w:line="4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4"/>
        </w:numPr>
        <w:spacing w:after="0" w:line="4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4"/>
        </w:numPr>
        <w:spacing w:after="0" w:line="400" w:lineRule="exact"/>
        <w:rPr>
          <w:rFonts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spacing w:after="0" w:line="400" w:lineRule="exact"/>
        <w:ind w:firstLine="364" w:firstLineChars="152"/>
        <w:jc w:val="left"/>
        <w:rPr>
          <w:rFonts w:ascii="仿宋" w:hAnsi="仿宋" w:eastAsia="仿宋"/>
          <w:sz w:val="24"/>
          <w:szCs w:val="24"/>
        </w:rPr>
      </w:pPr>
      <w:r>
        <w:rPr>
          <w:rFonts w:hint="eastAsia" w:ascii="仿宋" w:hAnsi="仿宋" w:eastAsia="仿宋"/>
          <w:sz w:val="24"/>
          <w:szCs w:val="24"/>
        </w:rPr>
        <w:t>三、售后服务要求</w:t>
      </w:r>
    </w:p>
    <w:p>
      <w:pPr>
        <w:pStyle w:val="55"/>
        <w:widowControl w:val="0"/>
        <w:numPr>
          <w:ilvl w:val="3"/>
          <w:numId w:val="5"/>
        </w:numPr>
        <w:spacing w:after="0" w:line="4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免费保修期:终身质保</w:t>
      </w:r>
    </w:p>
    <w:p>
      <w:pPr>
        <w:pStyle w:val="55"/>
        <w:widowControl w:val="0"/>
        <w:numPr>
          <w:ilvl w:val="0"/>
          <w:numId w:val="5"/>
        </w:numPr>
        <w:spacing w:after="0" w:line="4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5"/>
        <w:widowControl w:val="0"/>
        <w:numPr>
          <w:ilvl w:val="0"/>
          <w:numId w:val="5"/>
        </w:numPr>
        <w:spacing w:after="0" w:line="4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5"/>
        <w:widowControl w:val="0"/>
        <w:numPr>
          <w:ilvl w:val="0"/>
          <w:numId w:val="5"/>
        </w:numPr>
        <w:spacing w:after="0" w:line="4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5"/>
        <w:widowControl w:val="0"/>
        <w:numPr>
          <w:ilvl w:val="0"/>
          <w:numId w:val="5"/>
        </w:numPr>
        <w:spacing w:after="0" w:line="4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5"/>
        <w:widowControl w:val="0"/>
        <w:numPr>
          <w:ilvl w:val="0"/>
          <w:numId w:val="5"/>
        </w:numPr>
        <w:spacing w:after="0" w:line="4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5"/>
        <w:widowControl w:val="0"/>
        <w:numPr>
          <w:ilvl w:val="0"/>
          <w:numId w:val="5"/>
        </w:numPr>
        <w:spacing w:after="0" w:line="4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4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pStyle w:val="55"/>
        <w:numPr>
          <w:ilvl w:val="0"/>
          <w:numId w:val="6"/>
        </w:numPr>
        <w:spacing w:after="0" w:line="400" w:lineRule="exact"/>
        <w:ind w:left="851" w:hanging="425" w:firstLineChars="0"/>
        <w:jc w:val="left"/>
        <w:rPr>
          <w:rFonts w:ascii="仿宋" w:hAnsi="仿宋" w:eastAsia="仿宋"/>
          <w:sz w:val="24"/>
          <w:szCs w:val="24"/>
        </w:rPr>
      </w:pP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5"/>
        <w:numPr>
          <w:ilvl w:val="0"/>
          <w:numId w:val="6"/>
        </w:numPr>
        <w:spacing w:after="0" w:line="4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5"/>
        <w:numPr>
          <w:ilvl w:val="0"/>
          <w:numId w:val="6"/>
        </w:numPr>
        <w:spacing w:after="0" w:line="4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5"/>
        <w:numPr>
          <w:ilvl w:val="0"/>
          <w:numId w:val="6"/>
        </w:numPr>
        <w:spacing w:after="0" w:line="400" w:lineRule="exact"/>
        <w:ind w:left="851" w:hanging="425" w:firstLineChars="0"/>
        <w:jc w:val="left"/>
        <w:rPr>
          <w:rFonts w:ascii="仿宋" w:hAnsi="仿宋" w:eastAsia="仿宋"/>
          <w:b/>
          <w:bCs/>
          <w:sz w:val="24"/>
          <w:szCs w:val="24"/>
        </w:rPr>
      </w:pPr>
      <w:r>
        <w:rPr>
          <w:rFonts w:hint="eastAsia" w:ascii="仿宋" w:hAnsi="仿宋" w:eastAsia="仿宋"/>
          <w:b/>
          <w:bCs/>
          <w:sz w:val="24"/>
          <w:szCs w:val="24"/>
        </w:rPr>
        <w:t>本项目如发现恶意低价中标，发包人有权取消参与人参与资格，本文将所有内容最终解释权归发包人所有。</w:t>
      </w:r>
    </w:p>
    <w:p>
      <w:pPr>
        <w:pStyle w:val="55"/>
        <w:spacing w:after="0" w:line="400" w:lineRule="exact"/>
        <w:ind w:left="851" w:firstLine="0" w:firstLineChars="0"/>
        <w:jc w:val="left"/>
        <w:rPr>
          <w:rFonts w:ascii="仿宋" w:hAnsi="仿宋" w:eastAsia="仿宋"/>
          <w:sz w:val="24"/>
          <w:szCs w:val="24"/>
        </w:rPr>
      </w:pPr>
    </w:p>
    <w:p>
      <w:pPr>
        <w:pStyle w:val="55"/>
        <w:spacing w:after="0" w:line="400" w:lineRule="exact"/>
        <w:ind w:left="7513" w:firstLine="141" w:firstLineChars="59"/>
        <w:jc w:val="left"/>
        <w:rPr>
          <w:rFonts w:ascii="仿宋" w:hAnsi="仿宋" w:eastAsia="仿宋"/>
          <w:sz w:val="24"/>
          <w:szCs w:val="24"/>
        </w:rPr>
      </w:pPr>
      <w:r>
        <w:rPr>
          <w:rFonts w:hint="eastAsia" w:ascii="仿宋" w:hAnsi="仿宋" w:eastAsia="仿宋"/>
          <w:sz w:val="24"/>
          <w:szCs w:val="24"/>
        </w:rPr>
        <w:t>江西科技学院</w:t>
      </w:r>
    </w:p>
    <w:p>
      <w:pPr>
        <w:pStyle w:val="55"/>
        <w:spacing w:after="0" w:line="400" w:lineRule="exact"/>
        <w:ind w:left="7371" w:firstLine="0" w:firstLineChars="0"/>
        <w:jc w:val="left"/>
        <w:rPr>
          <w:rFonts w:ascii="仿宋" w:hAnsi="仿宋" w:eastAsia="仿宋"/>
          <w:sz w:val="24"/>
          <w:szCs w:val="24"/>
        </w:rPr>
      </w:pPr>
      <w:r>
        <w:rPr>
          <w:rFonts w:ascii="仿宋" w:hAnsi="仿宋" w:eastAsia="仿宋"/>
          <w:sz w:val="24"/>
          <w:szCs w:val="24"/>
        </w:rPr>
        <w:t>2022</w:t>
      </w:r>
      <w:r>
        <w:rPr>
          <w:rFonts w:hint="eastAsia" w:ascii="仿宋" w:hAnsi="仿宋" w:eastAsia="仿宋"/>
          <w:sz w:val="24"/>
          <w:szCs w:val="24"/>
        </w:rPr>
        <w:t>年</w:t>
      </w:r>
      <w:r>
        <w:rPr>
          <w:rFonts w:ascii="仿宋" w:hAnsi="仿宋" w:eastAsia="仿宋"/>
          <w:sz w:val="24"/>
          <w:szCs w:val="24"/>
        </w:rPr>
        <w:t>09</w:t>
      </w:r>
      <w:r>
        <w:rPr>
          <w:rFonts w:hint="eastAsia" w:ascii="仿宋" w:hAnsi="仿宋" w:eastAsia="仿宋"/>
          <w:sz w:val="24"/>
          <w:szCs w:val="24"/>
        </w:rPr>
        <w:t>月</w:t>
      </w:r>
      <w:r>
        <w:rPr>
          <w:rFonts w:ascii="仿宋" w:hAnsi="仿宋" w:eastAsia="仿宋"/>
          <w:sz w:val="24"/>
          <w:szCs w:val="24"/>
        </w:rPr>
        <w:t>05</w:t>
      </w:r>
      <w:r>
        <w:rPr>
          <w:rFonts w:hint="eastAsia" w:ascii="仿宋" w:hAnsi="仿宋" w:eastAsia="仿宋"/>
          <w:sz w:val="24"/>
          <w:szCs w:val="24"/>
        </w:rPr>
        <w:t>日</w:t>
      </w:r>
    </w:p>
    <w:p>
      <w:pPr>
        <w:spacing w:line="400" w:lineRule="exact"/>
        <w:rPr>
          <w:rFonts w:ascii="仿宋" w:hAnsi="仿宋" w:eastAsia="仿宋"/>
          <w:sz w:val="24"/>
          <w:szCs w:val="24"/>
        </w:rPr>
      </w:pPr>
      <w:r>
        <w:rPr>
          <w:rFonts w:ascii="仿宋" w:hAnsi="仿宋" w:eastAsia="仿宋"/>
          <w:sz w:val="24"/>
          <w:szCs w:val="24"/>
        </w:rPr>
        <w:br w:type="page"/>
      </w:r>
    </w:p>
    <w:p>
      <w:pPr>
        <w:spacing w:line="440" w:lineRule="exact"/>
        <w:jc w:val="center"/>
        <w:outlineLvl w:val="1"/>
        <w:rPr>
          <w:rFonts w:ascii="仿宋" w:hAnsi="仿宋" w:eastAsia="仿宋"/>
          <w:b/>
          <w:sz w:val="28"/>
          <w:szCs w:val="28"/>
        </w:rPr>
      </w:pPr>
      <w:bookmarkStart w:id="51" w:name="_Toc267060410"/>
      <w:bookmarkStart w:id="52" w:name="_Toc259692696"/>
      <w:bookmarkStart w:id="53" w:name="_Toc267060165"/>
      <w:bookmarkStart w:id="54" w:name="_Toc251586191"/>
      <w:bookmarkStart w:id="55" w:name="_Toc254790855"/>
      <w:bookmarkStart w:id="56" w:name="_Toc223146568"/>
      <w:bookmarkStart w:id="57" w:name="_Toc235438304"/>
      <w:bookmarkStart w:id="58" w:name="_Toc160880121"/>
      <w:bookmarkStart w:id="59" w:name="_Toc236021409"/>
      <w:bookmarkStart w:id="60" w:name="_Toc216241312"/>
      <w:bookmarkStart w:id="61" w:name="_Toc212530257"/>
      <w:bookmarkStart w:id="62" w:name="_Toc170798753"/>
      <w:bookmarkStart w:id="63" w:name="_Toc255974966"/>
      <w:bookmarkStart w:id="64" w:name="_Toc267059013"/>
      <w:bookmarkStart w:id="65" w:name="_Toc267060025"/>
      <w:bookmarkStart w:id="66" w:name="_Toc267059164"/>
      <w:bookmarkStart w:id="67" w:name="_Toc217891362"/>
      <w:bookmarkStart w:id="68" w:name="_Toc251613783"/>
      <w:bookmarkStart w:id="69" w:name="_Toc273178688"/>
      <w:bookmarkStart w:id="70" w:name="_Toc235438234"/>
      <w:bookmarkStart w:id="71" w:name="_Toc266868927"/>
      <w:bookmarkStart w:id="72" w:name="_Toc266870864"/>
      <w:bookmarkStart w:id="73" w:name="_Toc212526085"/>
      <w:bookmarkStart w:id="74" w:name="_Toc169332911"/>
      <w:bookmarkStart w:id="75" w:name="_Toc266868627"/>
      <w:bookmarkStart w:id="76" w:name="_Toc235437947"/>
      <w:bookmarkStart w:id="77" w:name="_Toc253066572"/>
      <w:bookmarkStart w:id="78" w:name="_Toc267059789"/>
      <w:bookmarkStart w:id="79" w:name="_Toc225669282"/>
      <w:bookmarkStart w:id="80" w:name="_Toc227058488"/>
      <w:bookmarkStart w:id="81" w:name="_Toc267059522"/>
      <w:bookmarkStart w:id="82" w:name="_Toc259692603"/>
      <w:bookmarkStart w:id="83" w:name="_Toc258401213"/>
      <w:bookmarkStart w:id="84" w:name="_Toc177985429"/>
      <w:bookmarkStart w:id="85" w:name="_Toc249325671"/>
      <w:bookmarkStart w:id="86" w:name="_Toc219800203"/>
      <w:bookmarkStart w:id="87" w:name="_Toc212454756"/>
      <w:bookmarkStart w:id="88" w:name="_Toc267060307"/>
      <w:bookmarkStart w:id="89" w:name="_Toc169332801"/>
      <w:bookmarkStart w:id="90" w:name="_Toc266870819"/>
      <w:bookmarkStart w:id="91" w:name="_Toc160880490"/>
      <w:bookmarkStart w:id="92" w:name="_Toc259520822"/>
      <w:bookmarkStart w:id="93" w:name="_Toc266870389"/>
      <w:bookmarkStart w:id="94" w:name="_Toc267059636"/>
      <w:bookmarkStart w:id="95" w:name="_Toc212456149"/>
      <w:bookmarkStart w:id="96" w:name="_Toc267059902"/>
      <w:bookmarkStart w:id="97" w:name="_Toc207014585"/>
      <w:bookmarkStart w:id="98" w:name="_Toc8314"/>
      <w:bookmarkStart w:id="99" w:name="_Toc211937200"/>
      <w:bookmarkStart w:id="100" w:name="_Hlk76225875"/>
      <w:r>
        <w:rPr>
          <w:rFonts w:hint="eastAsia" w:ascii="仿宋" w:hAnsi="仿宋" w:eastAsia="仿宋"/>
          <w:b/>
          <w:sz w:val="28"/>
          <w:szCs w:val="28"/>
        </w:rPr>
        <w:t>参与人须知前附表</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bookmarkEnd w:id="100"/>
    <w:p>
      <w:pPr>
        <w:spacing w:line="400" w:lineRule="exact"/>
        <w:ind w:firstLine="527"/>
        <w:rPr>
          <w:rFonts w:ascii="仿宋" w:hAnsi="仿宋" w:eastAsia="仿宋"/>
          <w:spacing w:val="4"/>
          <w:sz w:val="32"/>
          <w:szCs w:val="32"/>
        </w:rPr>
      </w:pPr>
      <w:r>
        <w:rPr>
          <w:rFonts w:hint="eastAsia" w:ascii="仿宋" w:hAnsi="仿宋" w:eastAsia="仿宋"/>
          <w:sz w:val="24"/>
          <w:szCs w:val="24"/>
        </w:rPr>
        <w:t>本须知前附表的条款是与《参与人须知》中的条款是一致的。如果有矛盾，应以本须知前附表为准。</w:t>
      </w:r>
    </w:p>
    <w:tbl>
      <w:tblPr>
        <w:tblStyle w:val="24"/>
        <w:tblW w:w="99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761"/>
        <w:gridCol w:w="64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735" w:type="dxa"/>
            <w:vAlign w:val="center"/>
          </w:tcPr>
          <w:p>
            <w:pPr>
              <w:autoSpaceDN w:val="0"/>
              <w:jc w:val="center"/>
              <w:rPr>
                <w:rFonts w:ascii="仿宋" w:hAnsi="仿宋" w:eastAsia="仿宋" w:cs="仿宋"/>
                <w:b/>
                <w:bCs/>
                <w:spacing w:val="4"/>
                <w:sz w:val="24"/>
                <w:szCs w:val="24"/>
              </w:rPr>
            </w:pPr>
            <w:bookmarkStart w:id="101" w:name="_Toc63258507"/>
            <w:bookmarkStart w:id="102" w:name="_Toc3250"/>
            <w:bookmarkStart w:id="103" w:name="_Toc63258634"/>
            <w:bookmarkStart w:id="104" w:name="_Toc63258268"/>
            <w:r>
              <w:rPr>
                <w:rFonts w:hint="eastAsia" w:ascii="仿宋" w:hAnsi="仿宋" w:eastAsia="仿宋" w:cs="仿宋"/>
                <w:b/>
                <w:bCs/>
                <w:spacing w:val="4"/>
                <w:sz w:val="24"/>
                <w:szCs w:val="24"/>
              </w:rPr>
              <w:t>项号</w:t>
            </w:r>
            <w:bookmarkEnd w:id="101"/>
            <w:bookmarkEnd w:id="102"/>
            <w:bookmarkEnd w:id="103"/>
            <w:bookmarkEnd w:id="104"/>
          </w:p>
        </w:tc>
        <w:tc>
          <w:tcPr>
            <w:tcW w:w="2761" w:type="dxa"/>
            <w:vAlign w:val="center"/>
          </w:tcPr>
          <w:p>
            <w:pPr>
              <w:autoSpaceDN w:val="0"/>
              <w:jc w:val="center"/>
              <w:rPr>
                <w:rFonts w:ascii="仿宋" w:hAnsi="仿宋" w:eastAsia="仿宋" w:cs="仿宋"/>
                <w:b/>
                <w:bCs/>
                <w:spacing w:val="4"/>
                <w:sz w:val="24"/>
                <w:szCs w:val="24"/>
              </w:rPr>
            </w:pPr>
            <w:bookmarkStart w:id="105" w:name="_Toc63258508"/>
            <w:bookmarkStart w:id="106" w:name="_Toc63258635"/>
            <w:bookmarkStart w:id="107" w:name="_Toc24451"/>
            <w:bookmarkStart w:id="108" w:name="_Toc63258269"/>
            <w:r>
              <w:rPr>
                <w:rFonts w:hint="eastAsia" w:ascii="仿宋" w:hAnsi="仿宋" w:eastAsia="仿宋" w:cs="仿宋"/>
                <w:b/>
                <w:bCs/>
                <w:spacing w:val="4"/>
                <w:sz w:val="24"/>
                <w:szCs w:val="24"/>
              </w:rPr>
              <w:t>内  容</w:t>
            </w:r>
            <w:bookmarkEnd w:id="105"/>
            <w:bookmarkEnd w:id="106"/>
            <w:bookmarkEnd w:id="107"/>
            <w:bookmarkEnd w:id="108"/>
          </w:p>
        </w:tc>
        <w:tc>
          <w:tcPr>
            <w:tcW w:w="6427" w:type="dxa"/>
            <w:vAlign w:val="center"/>
          </w:tcPr>
          <w:p>
            <w:pPr>
              <w:autoSpaceDN w:val="0"/>
              <w:ind w:firstLine="2240" w:firstLineChars="900"/>
              <w:rPr>
                <w:rFonts w:ascii="仿宋" w:hAnsi="仿宋" w:eastAsia="仿宋" w:cs="仿宋"/>
                <w:b/>
                <w:bCs/>
                <w:spacing w:val="4"/>
                <w:sz w:val="24"/>
                <w:szCs w:val="24"/>
              </w:rPr>
            </w:pPr>
            <w:bookmarkStart w:id="109" w:name="_Toc63258509"/>
            <w:bookmarkStart w:id="110" w:name="_Toc63258636"/>
            <w:bookmarkStart w:id="111" w:name="_Toc63258270"/>
            <w:bookmarkStart w:id="112" w:name="_Toc32384"/>
            <w:r>
              <w:rPr>
                <w:rFonts w:hint="eastAsia" w:ascii="仿宋" w:hAnsi="仿宋" w:eastAsia="仿宋" w:cs="仿宋"/>
                <w:b/>
                <w:bCs/>
                <w:spacing w:val="4"/>
                <w:sz w:val="24"/>
                <w:szCs w:val="24"/>
              </w:rPr>
              <w:t>说明及要求</w:t>
            </w:r>
            <w:bookmarkEnd w:id="109"/>
            <w:bookmarkEnd w:id="110"/>
            <w:bookmarkEnd w:id="111"/>
            <w:bookmarkEnd w:id="112"/>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735" w:type="dxa"/>
            <w:vAlign w:val="center"/>
          </w:tcPr>
          <w:p>
            <w:pPr>
              <w:autoSpaceDN w:val="0"/>
              <w:jc w:val="center"/>
              <w:rPr>
                <w:rFonts w:ascii="仿宋" w:hAnsi="仿宋" w:eastAsia="仿宋" w:cs="仿宋"/>
                <w:bCs/>
                <w:spacing w:val="4"/>
                <w:sz w:val="24"/>
                <w:szCs w:val="24"/>
              </w:rPr>
            </w:pPr>
            <w:bookmarkStart w:id="113" w:name="_Toc63258510"/>
            <w:bookmarkStart w:id="114" w:name="_Toc63258271"/>
            <w:bookmarkStart w:id="115" w:name="_Toc18988"/>
            <w:bookmarkStart w:id="116" w:name="_Toc63258637"/>
            <w:r>
              <w:rPr>
                <w:rFonts w:hint="eastAsia" w:ascii="仿宋" w:hAnsi="仿宋" w:eastAsia="仿宋" w:cs="仿宋"/>
                <w:bCs/>
                <w:spacing w:val="4"/>
                <w:sz w:val="24"/>
                <w:szCs w:val="24"/>
              </w:rPr>
              <w:t>1</w:t>
            </w:r>
            <w:bookmarkEnd w:id="113"/>
            <w:bookmarkEnd w:id="114"/>
            <w:bookmarkEnd w:id="115"/>
            <w:bookmarkEnd w:id="116"/>
          </w:p>
        </w:tc>
        <w:tc>
          <w:tcPr>
            <w:tcW w:w="2761" w:type="dxa"/>
            <w:vAlign w:val="center"/>
          </w:tcPr>
          <w:p>
            <w:pPr>
              <w:autoSpaceDN w:val="0"/>
              <w:jc w:val="center"/>
              <w:rPr>
                <w:rFonts w:ascii="仿宋" w:hAnsi="仿宋" w:eastAsia="仿宋" w:cs="仿宋"/>
                <w:bCs/>
                <w:spacing w:val="4"/>
                <w:sz w:val="24"/>
                <w:szCs w:val="24"/>
              </w:rPr>
            </w:pPr>
            <w:bookmarkStart w:id="117" w:name="_Toc63258272"/>
            <w:bookmarkStart w:id="118" w:name="_Toc24686"/>
            <w:bookmarkStart w:id="119" w:name="_Toc63258638"/>
            <w:bookmarkStart w:id="120" w:name="_Toc63258511"/>
            <w:r>
              <w:rPr>
                <w:rFonts w:hint="eastAsia" w:ascii="仿宋" w:hAnsi="仿宋" w:eastAsia="仿宋" w:cs="仿宋"/>
                <w:bCs/>
                <w:spacing w:val="4"/>
                <w:sz w:val="24"/>
                <w:szCs w:val="24"/>
              </w:rPr>
              <w:t>工程名称</w:t>
            </w:r>
            <w:bookmarkEnd w:id="117"/>
            <w:bookmarkEnd w:id="118"/>
            <w:bookmarkEnd w:id="119"/>
            <w:bookmarkEnd w:id="120"/>
          </w:p>
        </w:tc>
        <w:tc>
          <w:tcPr>
            <w:tcW w:w="6427" w:type="dxa"/>
            <w:vAlign w:val="center"/>
          </w:tcPr>
          <w:p>
            <w:pPr>
              <w:autoSpaceDN w:val="0"/>
              <w:jc w:val="left"/>
              <w:rPr>
                <w:rFonts w:ascii="仿宋" w:hAnsi="仿宋" w:eastAsia="仿宋" w:cs="仿宋"/>
                <w:bCs/>
                <w:spacing w:val="4"/>
                <w:sz w:val="24"/>
                <w:szCs w:val="24"/>
              </w:rPr>
            </w:pPr>
            <w:r>
              <w:rPr>
                <w:rFonts w:hint="eastAsia" w:ascii="仿宋" w:hAnsi="仿宋" w:eastAsia="仿宋"/>
                <w:sz w:val="24"/>
                <w:szCs w:val="24"/>
              </w:rPr>
              <w:t>江西科技学院十期项目桩基工程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exact"/>
          <w:jc w:val="center"/>
        </w:trPr>
        <w:tc>
          <w:tcPr>
            <w:tcW w:w="735" w:type="dxa"/>
            <w:vAlign w:val="center"/>
          </w:tcPr>
          <w:p>
            <w:pPr>
              <w:autoSpaceDN w:val="0"/>
              <w:jc w:val="center"/>
              <w:rPr>
                <w:rFonts w:ascii="仿宋" w:hAnsi="仿宋" w:eastAsia="仿宋" w:cs="仿宋"/>
                <w:bCs/>
                <w:spacing w:val="4"/>
                <w:sz w:val="24"/>
                <w:szCs w:val="24"/>
              </w:rPr>
            </w:pPr>
            <w:bookmarkStart w:id="121" w:name="_Toc63258639"/>
            <w:bookmarkStart w:id="122" w:name="_Toc63258273"/>
            <w:bookmarkStart w:id="123" w:name="_Toc63258512"/>
            <w:bookmarkStart w:id="124" w:name="_Toc6213"/>
            <w:r>
              <w:rPr>
                <w:rFonts w:hint="eastAsia" w:ascii="仿宋" w:hAnsi="仿宋" w:eastAsia="仿宋" w:cs="仿宋"/>
                <w:bCs/>
                <w:spacing w:val="4"/>
                <w:sz w:val="24"/>
                <w:szCs w:val="24"/>
              </w:rPr>
              <w:t>2</w:t>
            </w:r>
            <w:bookmarkEnd w:id="121"/>
            <w:bookmarkEnd w:id="122"/>
            <w:bookmarkEnd w:id="123"/>
            <w:bookmarkEnd w:id="124"/>
          </w:p>
        </w:tc>
        <w:tc>
          <w:tcPr>
            <w:tcW w:w="2761" w:type="dxa"/>
            <w:vAlign w:val="center"/>
          </w:tcPr>
          <w:p>
            <w:pPr>
              <w:autoSpaceDN w:val="0"/>
              <w:jc w:val="center"/>
              <w:rPr>
                <w:rFonts w:ascii="仿宋" w:hAnsi="仿宋" w:eastAsia="仿宋" w:cs="仿宋"/>
                <w:bCs/>
                <w:spacing w:val="4"/>
                <w:sz w:val="24"/>
                <w:szCs w:val="24"/>
              </w:rPr>
            </w:pPr>
            <w:bookmarkStart w:id="125" w:name="_Toc63258640"/>
            <w:bookmarkStart w:id="126" w:name="_Toc63258274"/>
            <w:bookmarkStart w:id="127" w:name="_Toc63258513"/>
            <w:bookmarkStart w:id="128" w:name="_Toc3484"/>
            <w:r>
              <w:rPr>
                <w:rFonts w:hint="eastAsia" w:ascii="仿宋" w:hAnsi="仿宋" w:eastAsia="仿宋" w:cs="仿宋"/>
                <w:bCs/>
                <w:spacing w:val="4"/>
                <w:sz w:val="24"/>
                <w:szCs w:val="24"/>
              </w:rPr>
              <w:t>工程建设地点</w:t>
            </w:r>
            <w:bookmarkEnd w:id="125"/>
            <w:bookmarkEnd w:id="126"/>
            <w:bookmarkEnd w:id="127"/>
            <w:bookmarkEnd w:id="128"/>
          </w:p>
        </w:tc>
        <w:tc>
          <w:tcPr>
            <w:tcW w:w="6427" w:type="dxa"/>
            <w:vAlign w:val="center"/>
          </w:tcPr>
          <w:p>
            <w:pPr>
              <w:autoSpaceDN w:val="0"/>
              <w:jc w:val="left"/>
              <w:rPr>
                <w:rFonts w:ascii="仿宋" w:hAnsi="仿宋" w:eastAsia="仿宋" w:cs="仿宋"/>
                <w:bCs/>
                <w:spacing w:val="4"/>
                <w:sz w:val="24"/>
                <w:szCs w:val="24"/>
              </w:rPr>
            </w:pPr>
            <w:r>
              <w:rPr>
                <w:rFonts w:hint="eastAsia" w:ascii="仿宋" w:hAnsi="仿宋" w:eastAsia="仿宋" w:cs="仿宋"/>
                <w:spacing w:val="4"/>
                <w:sz w:val="24"/>
                <w:szCs w:val="24"/>
              </w:rPr>
              <w:t>江西科技学院北校区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35" w:type="dxa"/>
            <w:tcBorders>
              <w:bottom w:val="single" w:color="auto" w:sz="4" w:space="0"/>
            </w:tcBorders>
            <w:vAlign w:val="center"/>
          </w:tcPr>
          <w:p>
            <w:pPr>
              <w:autoSpaceDN w:val="0"/>
              <w:jc w:val="center"/>
              <w:rPr>
                <w:rFonts w:ascii="仿宋" w:hAnsi="仿宋" w:eastAsia="仿宋" w:cs="仿宋"/>
                <w:bCs/>
                <w:spacing w:val="4"/>
                <w:sz w:val="24"/>
                <w:szCs w:val="24"/>
              </w:rPr>
            </w:pPr>
            <w:bookmarkStart w:id="129" w:name="_Toc63258515"/>
            <w:bookmarkStart w:id="130" w:name="_Toc63258276"/>
            <w:bookmarkStart w:id="131" w:name="_Toc28448"/>
            <w:bookmarkStart w:id="132" w:name="_Toc63258642"/>
            <w:r>
              <w:rPr>
                <w:rFonts w:hint="eastAsia" w:ascii="仿宋" w:hAnsi="仿宋" w:eastAsia="仿宋" w:cs="仿宋"/>
                <w:bCs/>
                <w:spacing w:val="4"/>
                <w:sz w:val="24"/>
                <w:szCs w:val="24"/>
              </w:rPr>
              <w:t>3</w:t>
            </w:r>
            <w:bookmarkEnd w:id="129"/>
            <w:bookmarkEnd w:id="130"/>
            <w:bookmarkEnd w:id="131"/>
            <w:bookmarkEnd w:id="132"/>
          </w:p>
        </w:tc>
        <w:tc>
          <w:tcPr>
            <w:tcW w:w="2761" w:type="dxa"/>
            <w:tcBorders>
              <w:bottom w:val="single" w:color="auto" w:sz="4" w:space="0"/>
            </w:tcBorders>
            <w:vAlign w:val="center"/>
          </w:tcPr>
          <w:p>
            <w:pPr>
              <w:autoSpaceDN w:val="0"/>
              <w:jc w:val="center"/>
              <w:rPr>
                <w:rFonts w:ascii="仿宋" w:hAnsi="仿宋" w:eastAsia="仿宋" w:cs="仿宋"/>
                <w:bCs/>
                <w:spacing w:val="4"/>
                <w:sz w:val="24"/>
                <w:szCs w:val="24"/>
              </w:rPr>
            </w:pPr>
            <w:bookmarkStart w:id="133" w:name="_Toc25978"/>
            <w:bookmarkStart w:id="134" w:name="_Toc63258643"/>
            <w:bookmarkStart w:id="135" w:name="_Toc63258277"/>
            <w:bookmarkStart w:id="136" w:name="_Toc63258516"/>
            <w:r>
              <w:rPr>
                <w:rFonts w:hint="eastAsia" w:ascii="仿宋" w:hAnsi="仿宋" w:eastAsia="仿宋" w:cs="仿宋"/>
                <w:bCs/>
                <w:spacing w:val="4"/>
                <w:sz w:val="24"/>
                <w:szCs w:val="24"/>
              </w:rPr>
              <w:t>工程建设规模</w:t>
            </w:r>
            <w:bookmarkEnd w:id="133"/>
            <w:bookmarkEnd w:id="134"/>
            <w:bookmarkEnd w:id="135"/>
            <w:bookmarkEnd w:id="136"/>
          </w:p>
        </w:tc>
        <w:tc>
          <w:tcPr>
            <w:tcW w:w="6427" w:type="dxa"/>
            <w:vAlign w:val="center"/>
          </w:tcPr>
          <w:p>
            <w:pPr>
              <w:autoSpaceDN w:val="0"/>
              <w:rPr>
                <w:rFonts w:ascii="仿宋" w:hAnsi="仿宋" w:eastAsia="仿宋" w:cs="仿宋"/>
                <w:spacing w:val="4"/>
                <w:sz w:val="24"/>
                <w:szCs w:val="24"/>
              </w:rPr>
            </w:pPr>
            <w:r>
              <w:rPr>
                <w:rFonts w:hint="eastAsia" w:ascii="仿宋" w:hAnsi="仿宋" w:eastAsia="仿宋" w:cs="仿宋"/>
                <w:spacing w:val="4"/>
                <w:sz w:val="24"/>
                <w:szCs w:val="24"/>
              </w:rPr>
              <w:t>桩基数量约692根，桩径为Ф600-700（具体以现场实际为准）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735" w:type="dxa"/>
            <w:tcBorders>
              <w:top w:val="single" w:color="auto" w:sz="4" w:space="0"/>
            </w:tcBorders>
            <w:vAlign w:val="center"/>
          </w:tcPr>
          <w:p>
            <w:pPr>
              <w:autoSpaceDN w:val="0"/>
              <w:jc w:val="center"/>
              <w:rPr>
                <w:rFonts w:ascii="仿宋" w:hAnsi="仿宋" w:eastAsia="仿宋" w:cs="仿宋"/>
                <w:bCs/>
                <w:spacing w:val="4"/>
                <w:sz w:val="24"/>
                <w:szCs w:val="24"/>
              </w:rPr>
            </w:pPr>
            <w:bookmarkStart w:id="137" w:name="_Toc63258279"/>
            <w:bookmarkStart w:id="138" w:name="_Toc63258645"/>
            <w:bookmarkStart w:id="139" w:name="_Toc27643"/>
            <w:bookmarkStart w:id="140" w:name="_Toc63258518"/>
            <w:bookmarkStart w:id="141" w:name="_Toc462405567"/>
            <w:r>
              <w:rPr>
                <w:rFonts w:hint="eastAsia" w:ascii="仿宋" w:hAnsi="仿宋" w:eastAsia="仿宋" w:cs="仿宋"/>
                <w:bCs/>
                <w:spacing w:val="4"/>
                <w:sz w:val="24"/>
                <w:szCs w:val="24"/>
              </w:rPr>
              <w:t>4</w:t>
            </w:r>
            <w:bookmarkEnd w:id="137"/>
            <w:bookmarkEnd w:id="138"/>
            <w:bookmarkEnd w:id="139"/>
            <w:bookmarkEnd w:id="140"/>
            <w:bookmarkEnd w:id="141"/>
          </w:p>
        </w:tc>
        <w:tc>
          <w:tcPr>
            <w:tcW w:w="2761" w:type="dxa"/>
            <w:tcBorders>
              <w:top w:val="single" w:color="auto" w:sz="4" w:space="0"/>
            </w:tcBorders>
            <w:vAlign w:val="center"/>
          </w:tcPr>
          <w:p>
            <w:pPr>
              <w:autoSpaceDN w:val="0"/>
              <w:jc w:val="center"/>
              <w:rPr>
                <w:rFonts w:ascii="仿宋" w:hAnsi="仿宋" w:eastAsia="仿宋" w:cs="仿宋"/>
                <w:bCs/>
                <w:spacing w:val="4"/>
                <w:sz w:val="24"/>
                <w:szCs w:val="24"/>
              </w:rPr>
            </w:pPr>
            <w:bookmarkStart w:id="142" w:name="_Toc462405568"/>
            <w:bookmarkStart w:id="143" w:name="_Toc63258519"/>
            <w:bookmarkStart w:id="144" w:name="_Toc63258646"/>
            <w:bookmarkStart w:id="145" w:name="_Toc31896"/>
            <w:bookmarkStart w:id="146" w:name="_Toc63258280"/>
            <w:r>
              <w:rPr>
                <w:rFonts w:hint="eastAsia" w:ascii="仿宋" w:hAnsi="仿宋" w:eastAsia="仿宋" w:cs="仿宋"/>
                <w:bCs/>
                <w:spacing w:val="4"/>
                <w:sz w:val="24"/>
                <w:szCs w:val="24"/>
              </w:rPr>
              <w:t>工程形式</w:t>
            </w:r>
            <w:bookmarkEnd w:id="142"/>
            <w:bookmarkEnd w:id="143"/>
            <w:bookmarkEnd w:id="144"/>
            <w:bookmarkEnd w:id="145"/>
            <w:bookmarkEnd w:id="146"/>
          </w:p>
        </w:tc>
        <w:tc>
          <w:tcPr>
            <w:tcW w:w="6427" w:type="dxa"/>
            <w:vAlign w:val="center"/>
          </w:tcPr>
          <w:p>
            <w:pPr>
              <w:autoSpaceDN w:val="0"/>
              <w:rPr>
                <w:rFonts w:ascii="仿宋" w:hAnsi="仿宋" w:eastAsia="仿宋" w:cs="仿宋"/>
                <w:spacing w:val="4"/>
                <w:sz w:val="24"/>
                <w:szCs w:val="24"/>
              </w:rPr>
            </w:pPr>
            <w:r>
              <w:rPr>
                <w:rFonts w:hint="eastAsia" w:ascii="仿宋" w:hAnsi="仿宋" w:eastAsia="仿宋" w:cs="仿宋"/>
                <w:spacing w:val="4"/>
                <w:sz w:val="24"/>
                <w:szCs w:val="24"/>
              </w:rPr>
              <w:t>反循环灌注桩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735" w:type="dxa"/>
            <w:vAlign w:val="center"/>
          </w:tcPr>
          <w:p>
            <w:pPr>
              <w:autoSpaceDN w:val="0"/>
              <w:jc w:val="center"/>
              <w:rPr>
                <w:rFonts w:ascii="仿宋" w:hAnsi="仿宋" w:eastAsia="仿宋" w:cs="仿宋"/>
                <w:bCs/>
                <w:spacing w:val="4"/>
                <w:sz w:val="24"/>
                <w:szCs w:val="24"/>
              </w:rPr>
            </w:pPr>
            <w:bookmarkStart w:id="147" w:name="_Toc11007"/>
            <w:bookmarkStart w:id="148" w:name="_Toc63258521"/>
            <w:bookmarkStart w:id="149" w:name="_Toc63258282"/>
            <w:bookmarkStart w:id="150" w:name="_Toc63258648"/>
            <w:bookmarkStart w:id="151" w:name="_Toc462405570"/>
            <w:r>
              <w:rPr>
                <w:rFonts w:hint="eastAsia" w:ascii="仿宋" w:hAnsi="仿宋" w:eastAsia="仿宋" w:cs="仿宋"/>
                <w:bCs/>
                <w:spacing w:val="4"/>
                <w:sz w:val="24"/>
                <w:szCs w:val="24"/>
              </w:rPr>
              <w:t>5</w:t>
            </w:r>
            <w:bookmarkEnd w:id="147"/>
            <w:bookmarkEnd w:id="148"/>
            <w:bookmarkEnd w:id="149"/>
            <w:bookmarkEnd w:id="150"/>
            <w:bookmarkEnd w:id="151"/>
          </w:p>
        </w:tc>
        <w:tc>
          <w:tcPr>
            <w:tcW w:w="2761" w:type="dxa"/>
            <w:vAlign w:val="center"/>
          </w:tcPr>
          <w:p>
            <w:pPr>
              <w:autoSpaceDN w:val="0"/>
              <w:jc w:val="center"/>
              <w:rPr>
                <w:rFonts w:ascii="仿宋" w:hAnsi="仿宋" w:eastAsia="仿宋" w:cs="仿宋"/>
                <w:bCs/>
                <w:spacing w:val="4"/>
                <w:sz w:val="24"/>
                <w:szCs w:val="24"/>
              </w:rPr>
            </w:pPr>
            <w:bookmarkStart w:id="152" w:name="_Toc63258522"/>
            <w:bookmarkStart w:id="153" w:name="_Toc63258649"/>
            <w:bookmarkStart w:id="154" w:name="_Toc25511"/>
            <w:bookmarkStart w:id="155" w:name="_Toc63258283"/>
            <w:bookmarkStart w:id="156" w:name="_Toc462405571"/>
            <w:r>
              <w:rPr>
                <w:rFonts w:hint="eastAsia" w:ascii="仿宋" w:hAnsi="仿宋" w:eastAsia="仿宋" w:cs="仿宋"/>
                <w:bCs/>
                <w:spacing w:val="4"/>
                <w:sz w:val="24"/>
                <w:szCs w:val="24"/>
              </w:rPr>
              <w:t>承包方式</w:t>
            </w:r>
            <w:bookmarkEnd w:id="152"/>
            <w:bookmarkEnd w:id="153"/>
            <w:bookmarkEnd w:id="154"/>
            <w:bookmarkEnd w:id="155"/>
            <w:bookmarkEnd w:id="156"/>
          </w:p>
        </w:tc>
        <w:tc>
          <w:tcPr>
            <w:tcW w:w="6427" w:type="dxa"/>
            <w:vAlign w:val="center"/>
          </w:tcPr>
          <w:p>
            <w:pPr>
              <w:autoSpaceDN w:val="0"/>
              <w:rPr>
                <w:rFonts w:ascii="仿宋" w:hAnsi="仿宋" w:eastAsia="仿宋" w:cs="仿宋"/>
                <w:spacing w:val="4"/>
                <w:sz w:val="24"/>
                <w:szCs w:val="24"/>
              </w:rPr>
            </w:pPr>
            <w:bookmarkStart w:id="157" w:name="_Toc63258523"/>
            <w:bookmarkStart w:id="158" w:name="_Toc16600"/>
            <w:bookmarkStart w:id="159" w:name="_Toc63258650"/>
            <w:bookmarkStart w:id="160" w:name="_Toc63258284"/>
            <w:r>
              <w:rPr>
                <w:rFonts w:hint="eastAsia" w:ascii="仿宋" w:hAnsi="仿宋" w:eastAsia="仿宋" w:cs="仿宋"/>
                <w:spacing w:val="4"/>
                <w:sz w:val="24"/>
                <w:szCs w:val="24"/>
              </w:rPr>
              <w:t>包工、包料</w:t>
            </w:r>
            <w:bookmarkEnd w:id="157"/>
            <w:bookmarkEnd w:id="158"/>
            <w:bookmarkEnd w:id="159"/>
            <w:bookmarkEnd w:id="160"/>
            <w:r>
              <w:rPr>
                <w:rFonts w:hint="eastAsia" w:ascii="仿宋" w:hAnsi="仿宋" w:eastAsia="仿宋" w:cs="仿宋"/>
                <w:spacing w:val="4"/>
                <w:sz w:val="24"/>
                <w:szCs w:val="24"/>
              </w:rPr>
              <w:t>交钥匙工程。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47" w:hRule="exact"/>
          <w:jc w:val="center"/>
        </w:trPr>
        <w:tc>
          <w:tcPr>
            <w:tcW w:w="735" w:type="dxa"/>
            <w:vAlign w:val="center"/>
          </w:tcPr>
          <w:p>
            <w:pPr>
              <w:autoSpaceDN w:val="0"/>
              <w:jc w:val="center"/>
              <w:rPr>
                <w:rFonts w:ascii="仿宋" w:hAnsi="仿宋" w:eastAsia="仿宋" w:cs="仿宋"/>
                <w:bCs/>
                <w:spacing w:val="4"/>
                <w:sz w:val="24"/>
                <w:szCs w:val="24"/>
              </w:rPr>
            </w:pPr>
            <w:bookmarkStart w:id="161" w:name="_Toc63258285"/>
            <w:bookmarkStart w:id="162" w:name="_Toc462405573"/>
            <w:bookmarkStart w:id="163" w:name="_Toc63258651"/>
            <w:bookmarkStart w:id="164" w:name="_Toc63258524"/>
            <w:bookmarkStart w:id="165" w:name="_Toc21306"/>
            <w:r>
              <w:rPr>
                <w:rFonts w:hint="eastAsia" w:ascii="仿宋" w:hAnsi="仿宋" w:eastAsia="仿宋" w:cs="仿宋"/>
                <w:bCs/>
                <w:spacing w:val="4"/>
                <w:sz w:val="24"/>
                <w:szCs w:val="24"/>
              </w:rPr>
              <w:t>6</w:t>
            </w:r>
            <w:bookmarkEnd w:id="161"/>
            <w:bookmarkEnd w:id="162"/>
            <w:bookmarkEnd w:id="163"/>
            <w:bookmarkEnd w:id="164"/>
            <w:bookmarkEnd w:id="165"/>
          </w:p>
        </w:tc>
        <w:tc>
          <w:tcPr>
            <w:tcW w:w="2761" w:type="dxa"/>
            <w:vAlign w:val="center"/>
          </w:tcPr>
          <w:p>
            <w:pPr>
              <w:autoSpaceDN w:val="0"/>
              <w:jc w:val="center"/>
              <w:rPr>
                <w:rFonts w:ascii="仿宋" w:hAnsi="仿宋" w:eastAsia="仿宋" w:cs="仿宋"/>
                <w:bCs/>
                <w:spacing w:val="4"/>
                <w:sz w:val="24"/>
                <w:szCs w:val="24"/>
              </w:rPr>
            </w:pPr>
            <w:bookmarkStart w:id="166" w:name="_Toc8165"/>
            <w:bookmarkStart w:id="167" w:name="_Toc462405574"/>
            <w:bookmarkStart w:id="168" w:name="_Toc63258652"/>
            <w:bookmarkStart w:id="169" w:name="_Toc63258525"/>
            <w:bookmarkStart w:id="170" w:name="_Toc63258286"/>
            <w:r>
              <w:rPr>
                <w:rFonts w:hint="eastAsia" w:ascii="仿宋" w:hAnsi="仿宋" w:eastAsia="仿宋" w:cs="仿宋"/>
                <w:bCs/>
                <w:spacing w:val="4"/>
                <w:sz w:val="24"/>
                <w:szCs w:val="24"/>
              </w:rPr>
              <w:t>工期要求</w:t>
            </w:r>
            <w:bookmarkEnd w:id="166"/>
            <w:bookmarkEnd w:id="167"/>
            <w:bookmarkEnd w:id="168"/>
            <w:bookmarkEnd w:id="169"/>
            <w:bookmarkEnd w:id="170"/>
          </w:p>
        </w:tc>
        <w:tc>
          <w:tcPr>
            <w:tcW w:w="6427" w:type="dxa"/>
            <w:vAlign w:val="center"/>
          </w:tcPr>
          <w:p>
            <w:pPr>
              <w:autoSpaceDN w:val="0"/>
              <w:spacing w:after="0" w:line="240" w:lineRule="auto"/>
              <w:rPr>
                <w:rFonts w:ascii="仿宋" w:hAnsi="仿宋" w:eastAsia="仿宋" w:cs="仿宋"/>
                <w:spacing w:val="4"/>
                <w:sz w:val="24"/>
                <w:szCs w:val="24"/>
              </w:rPr>
            </w:pPr>
            <w:bookmarkStart w:id="171" w:name="_Toc63258526"/>
            <w:bookmarkStart w:id="172" w:name="_Toc63258287"/>
            <w:bookmarkStart w:id="173" w:name="_Toc26975"/>
            <w:bookmarkStart w:id="174" w:name="_Toc462405575"/>
            <w:bookmarkStart w:id="175" w:name="_Toc63258653"/>
            <w:r>
              <w:rPr>
                <w:rFonts w:hint="eastAsia" w:ascii="仿宋" w:hAnsi="仿宋" w:eastAsia="仿宋" w:cs="仿宋"/>
                <w:spacing w:val="4"/>
                <w:sz w:val="24"/>
                <w:szCs w:val="24"/>
              </w:rPr>
              <w:t>计划开工日期：</w:t>
            </w:r>
            <w:bookmarkEnd w:id="171"/>
            <w:bookmarkEnd w:id="172"/>
            <w:bookmarkEnd w:id="173"/>
            <w:bookmarkEnd w:id="174"/>
            <w:bookmarkEnd w:id="175"/>
            <w:r>
              <w:rPr>
                <w:rFonts w:hint="eastAsia" w:ascii="仿宋" w:hAnsi="仿宋" w:eastAsia="仿宋" w:cs="仿宋"/>
                <w:spacing w:val="4"/>
                <w:sz w:val="24"/>
                <w:szCs w:val="24"/>
              </w:rPr>
              <w:t>2022年9月10日</w:t>
            </w:r>
          </w:p>
          <w:p>
            <w:pPr>
              <w:autoSpaceDN w:val="0"/>
              <w:spacing w:after="0" w:line="240" w:lineRule="auto"/>
              <w:rPr>
                <w:rFonts w:ascii="仿宋" w:hAnsi="仿宋" w:eastAsia="仿宋" w:cs="仿宋"/>
                <w:spacing w:val="4"/>
                <w:sz w:val="24"/>
                <w:szCs w:val="24"/>
              </w:rPr>
            </w:pPr>
            <w:bookmarkStart w:id="176" w:name="_Toc3506"/>
            <w:bookmarkStart w:id="177" w:name="_Toc63258288"/>
            <w:bookmarkStart w:id="178" w:name="_Toc462405576"/>
            <w:bookmarkStart w:id="179" w:name="_Toc63258654"/>
            <w:bookmarkStart w:id="180" w:name="_Toc63258527"/>
            <w:r>
              <w:rPr>
                <w:rFonts w:hint="eastAsia" w:ascii="仿宋" w:hAnsi="仿宋" w:eastAsia="仿宋" w:cs="仿宋"/>
                <w:spacing w:val="4"/>
                <w:sz w:val="24"/>
                <w:szCs w:val="24"/>
              </w:rPr>
              <w:t>计划竣工日期：</w:t>
            </w:r>
            <w:bookmarkEnd w:id="176"/>
            <w:bookmarkEnd w:id="177"/>
            <w:bookmarkEnd w:id="178"/>
            <w:bookmarkEnd w:id="179"/>
            <w:bookmarkEnd w:id="180"/>
            <w:r>
              <w:rPr>
                <w:rFonts w:hint="eastAsia" w:ascii="仿宋" w:hAnsi="仿宋" w:eastAsia="仿宋" w:cs="仿宋"/>
                <w:spacing w:val="4"/>
                <w:sz w:val="24"/>
                <w:szCs w:val="24"/>
              </w:rPr>
              <w:t>2022年9月30日</w:t>
            </w:r>
          </w:p>
          <w:p>
            <w:pPr>
              <w:autoSpaceDN w:val="0"/>
              <w:spacing w:after="0" w:line="240" w:lineRule="auto"/>
              <w:rPr>
                <w:rFonts w:ascii="仿宋" w:hAnsi="仿宋" w:eastAsia="仿宋" w:cs="仿宋"/>
                <w:spacing w:val="4"/>
                <w:sz w:val="24"/>
                <w:szCs w:val="24"/>
              </w:rPr>
            </w:pPr>
            <w:bookmarkStart w:id="181" w:name="_Toc63258528"/>
            <w:bookmarkStart w:id="182" w:name="_Toc63258289"/>
            <w:bookmarkStart w:id="183" w:name="_Toc63258655"/>
            <w:bookmarkStart w:id="184" w:name="_Toc462405577"/>
            <w:bookmarkStart w:id="185" w:name="_Toc12515"/>
            <w:r>
              <w:rPr>
                <w:rFonts w:hint="eastAsia" w:ascii="仿宋" w:hAnsi="仿宋" w:eastAsia="仿宋" w:cs="仿宋"/>
                <w:spacing w:val="4"/>
                <w:sz w:val="24"/>
                <w:szCs w:val="24"/>
              </w:rPr>
              <w:t>总   工   期：</w:t>
            </w:r>
            <w:bookmarkEnd w:id="181"/>
            <w:bookmarkEnd w:id="182"/>
            <w:bookmarkEnd w:id="183"/>
            <w:bookmarkEnd w:id="184"/>
            <w:bookmarkEnd w:id="185"/>
            <w:r>
              <w:rPr>
                <w:rFonts w:hint="eastAsia" w:ascii="仿宋" w:hAnsi="仿宋" w:eastAsia="仿宋" w:cs="仿宋"/>
                <w:spacing w:val="4"/>
                <w:sz w:val="24"/>
                <w:szCs w:val="24"/>
              </w:rPr>
              <w:t>20个日历日</w:t>
            </w:r>
          </w:p>
          <w:p>
            <w:pPr>
              <w:autoSpaceDN w:val="0"/>
              <w:spacing w:after="0" w:line="240" w:lineRule="auto"/>
              <w:rPr>
                <w:rFonts w:ascii="仿宋" w:hAnsi="仿宋" w:eastAsia="仿宋" w:cs="仿宋"/>
                <w:spacing w:val="4"/>
                <w:sz w:val="24"/>
                <w:szCs w:val="24"/>
              </w:rPr>
            </w:pPr>
            <w:bookmarkStart w:id="186" w:name="_Toc462405578"/>
            <w:bookmarkStart w:id="187" w:name="_Toc63258290"/>
            <w:bookmarkStart w:id="188" w:name="_Toc8066"/>
            <w:bookmarkStart w:id="189" w:name="_Toc63258529"/>
            <w:bookmarkStart w:id="190" w:name="_Toc63258656"/>
            <w:r>
              <w:rPr>
                <w:rFonts w:hint="eastAsia" w:ascii="仿宋" w:hAnsi="仿宋" w:eastAsia="仿宋" w:cs="仿宋"/>
                <w:spacing w:val="4"/>
                <w:sz w:val="24"/>
                <w:szCs w:val="24"/>
              </w:rPr>
              <w:t>本工程具体开工日期以发包人发出的开工令（或通知）为准</w:t>
            </w:r>
            <w:bookmarkEnd w:id="186"/>
            <w:r>
              <w:rPr>
                <w:rFonts w:hint="eastAsia" w:ascii="仿宋" w:hAnsi="仿宋" w:eastAsia="仿宋" w:cs="仿宋"/>
                <w:spacing w:val="4"/>
                <w:sz w:val="24"/>
                <w:szCs w:val="24"/>
              </w:rPr>
              <w:t>。</w:t>
            </w:r>
            <w:bookmarkEnd w:id="187"/>
            <w:bookmarkEnd w:id="188"/>
            <w:bookmarkEnd w:id="189"/>
            <w:bookmarkEnd w:id="19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735" w:type="dxa"/>
            <w:vAlign w:val="center"/>
          </w:tcPr>
          <w:p>
            <w:pPr>
              <w:autoSpaceDN w:val="0"/>
              <w:jc w:val="center"/>
              <w:rPr>
                <w:rFonts w:ascii="仿宋" w:hAnsi="仿宋" w:eastAsia="仿宋" w:cs="仿宋"/>
                <w:bCs/>
                <w:spacing w:val="4"/>
                <w:sz w:val="24"/>
                <w:szCs w:val="24"/>
              </w:rPr>
            </w:pPr>
            <w:bookmarkStart w:id="191" w:name="_Toc63258657"/>
            <w:bookmarkStart w:id="192" w:name="_Toc462405579"/>
            <w:bookmarkStart w:id="193" w:name="_Toc63258530"/>
            <w:bookmarkStart w:id="194" w:name="_Toc28930"/>
            <w:bookmarkStart w:id="195" w:name="_Toc63258291"/>
            <w:r>
              <w:rPr>
                <w:rFonts w:hint="eastAsia" w:ascii="仿宋" w:hAnsi="仿宋" w:eastAsia="仿宋" w:cs="仿宋"/>
                <w:bCs/>
                <w:spacing w:val="4"/>
                <w:sz w:val="24"/>
                <w:szCs w:val="24"/>
              </w:rPr>
              <w:t>7</w:t>
            </w:r>
            <w:bookmarkEnd w:id="191"/>
            <w:bookmarkEnd w:id="192"/>
            <w:bookmarkEnd w:id="193"/>
            <w:bookmarkEnd w:id="194"/>
            <w:bookmarkEnd w:id="195"/>
          </w:p>
        </w:tc>
        <w:tc>
          <w:tcPr>
            <w:tcW w:w="2761" w:type="dxa"/>
            <w:vAlign w:val="center"/>
          </w:tcPr>
          <w:p>
            <w:pPr>
              <w:autoSpaceDN w:val="0"/>
              <w:jc w:val="center"/>
              <w:rPr>
                <w:rFonts w:ascii="仿宋" w:hAnsi="仿宋" w:eastAsia="仿宋" w:cs="仿宋"/>
                <w:bCs/>
                <w:spacing w:val="4"/>
                <w:sz w:val="24"/>
                <w:szCs w:val="24"/>
              </w:rPr>
            </w:pPr>
            <w:bookmarkStart w:id="196" w:name="_Toc462405580"/>
            <w:bookmarkStart w:id="197" w:name="_Toc63258292"/>
            <w:bookmarkStart w:id="198" w:name="_Toc29337"/>
            <w:bookmarkStart w:id="199" w:name="_Toc63258531"/>
            <w:bookmarkStart w:id="200" w:name="_Toc63258658"/>
            <w:r>
              <w:rPr>
                <w:rFonts w:hint="eastAsia" w:ascii="仿宋" w:hAnsi="仿宋" w:eastAsia="仿宋" w:cs="仿宋"/>
                <w:bCs/>
                <w:spacing w:val="4"/>
                <w:sz w:val="24"/>
                <w:szCs w:val="24"/>
              </w:rPr>
              <w:t>磋商内容及范围</w:t>
            </w:r>
            <w:bookmarkEnd w:id="196"/>
            <w:bookmarkEnd w:id="197"/>
            <w:bookmarkEnd w:id="198"/>
            <w:bookmarkEnd w:id="199"/>
            <w:bookmarkEnd w:id="200"/>
          </w:p>
        </w:tc>
        <w:tc>
          <w:tcPr>
            <w:tcW w:w="6427" w:type="dxa"/>
            <w:vAlign w:val="center"/>
          </w:tcPr>
          <w:p>
            <w:pPr>
              <w:autoSpaceDN w:val="0"/>
              <w:spacing w:after="0" w:line="240" w:lineRule="auto"/>
              <w:rPr>
                <w:rFonts w:ascii="仿宋" w:hAnsi="仿宋" w:eastAsia="仿宋" w:cs="仿宋"/>
                <w:spacing w:val="4"/>
                <w:sz w:val="24"/>
                <w:szCs w:val="24"/>
              </w:rPr>
            </w:pPr>
            <w:r>
              <w:rPr>
                <w:rFonts w:hint="eastAsia" w:ascii="仿宋" w:hAnsi="仿宋" w:eastAsia="仿宋" w:cs="仿宋"/>
                <w:spacing w:val="4"/>
                <w:sz w:val="24"/>
                <w:szCs w:val="24"/>
              </w:rPr>
              <w:t>详见附件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27" w:hRule="exact"/>
          <w:jc w:val="center"/>
        </w:trPr>
        <w:tc>
          <w:tcPr>
            <w:tcW w:w="735" w:type="dxa"/>
            <w:vAlign w:val="center"/>
          </w:tcPr>
          <w:p>
            <w:pPr>
              <w:autoSpaceDN w:val="0"/>
              <w:jc w:val="center"/>
              <w:rPr>
                <w:rFonts w:ascii="仿宋" w:hAnsi="仿宋" w:eastAsia="仿宋" w:cs="仿宋"/>
                <w:bCs/>
                <w:spacing w:val="4"/>
                <w:sz w:val="24"/>
                <w:szCs w:val="24"/>
              </w:rPr>
            </w:pPr>
            <w:bookmarkStart w:id="201" w:name="_Toc63258660"/>
            <w:bookmarkStart w:id="202" w:name="_Toc462405582"/>
            <w:bookmarkStart w:id="203" w:name="_Toc63258294"/>
            <w:bookmarkStart w:id="204" w:name="_Toc31732"/>
            <w:bookmarkStart w:id="205" w:name="_Toc63258533"/>
            <w:r>
              <w:rPr>
                <w:rFonts w:hint="eastAsia" w:ascii="仿宋" w:hAnsi="仿宋" w:eastAsia="仿宋" w:cs="仿宋"/>
                <w:bCs/>
                <w:spacing w:val="4"/>
                <w:sz w:val="24"/>
                <w:szCs w:val="24"/>
              </w:rPr>
              <w:t>8</w:t>
            </w:r>
            <w:bookmarkEnd w:id="201"/>
            <w:bookmarkEnd w:id="202"/>
            <w:bookmarkEnd w:id="203"/>
            <w:bookmarkEnd w:id="204"/>
            <w:bookmarkEnd w:id="205"/>
          </w:p>
        </w:tc>
        <w:tc>
          <w:tcPr>
            <w:tcW w:w="2761" w:type="dxa"/>
            <w:vAlign w:val="center"/>
          </w:tcPr>
          <w:p>
            <w:pPr>
              <w:autoSpaceDN w:val="0"/>
              <w:jc w:val="center"/>
              <w:rPr>
                <w:rFonts w:ascii="仿宋" w:hAnsi="仿宋" w:eastAsia="仿宋" w:cs="仿宋"/>
                <w:bCs/>
                <w:spacing w:val="4"/>
                <w:sz w:val="24"/>
                <w:szCs w:val="24"/>
              </w:rPr>
            </w:pPr>
            <w:bookmarkStart w:id="206" w:name="_Toc63258295"/>
            <w:bookmarkStart w:id="207" w:name="_Toc63258661"/>
            <w:bookmarkStart w:id="208" w:name="_Toc462405583"/>
            <w:bookmarkStart w:id="209" w:name="_Toc31113"/>
            <w:bookmarkStart w:id="210" w:name="_Toc63258534"/>
            <w:r>
              <w:rPr>
                <w:rFonts w:hint="eastAsia" w:ascii="仿宋" w:hAnsi="仿宋" w:eastAsia="仿宋" w:cs="仿宋"/>
                <w:bCs/>
                <w:spacing w:val="4"/>
                <w:sz w:val="24"/>
                <w:szCs w:val="24"/>
              </w:rPr>
              <w:t>质量标准</w:t>
            </w:r>
            <w:bookmarkEnd w:id="206"/>
            <w:bookmarkEnd w:id="207"/>
            <w:bookmarkEnd w:id="208"/>
            <w:bookmarkEnd w:id="209"/>
            <w:bookmarkEnd w:id="210"/>
          </w:p>
        </w:tc>
        <w:tc>
          <w:tcPr>
            <w:tcW w:w="6427" w:type="dxa"/>
            <w:vAlign w:val="center"/>
          </w:tcPr>
          <w:p>
            <w:pPr>
              <w:autoSpaceDN w:val="0"/>
              <w:rPr>
                <w:rFonts w:ascii="仿宋" w:hAnsi="仿宋" w:eastAsia="仿宋" w:cs="仿宋"/>
                <w:spacing w:val="4"/>
                <w:sz w:val="24"/>
                <w:szCs w:val="24"/>
              </w:rPr>
            </w:pPr>
            <w:r>
              <w:rPr>
                <w:rFonts w:hint="eastAsia" w:ascii="仿宋" w:hAnsi="仿宋" w:eastAsia="仿宋" w:cs="仿宋"/>
                <w:sz w:val="24"/>
                <w:szCs w:val="24"/>
              </w:rPr>
              <w:t>达到国家施工验收规范合格或以上标准。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1" w:hRule="exact"/>
          <w:jc w:val="center"/>
        </w:trPr>
        <w:tc>
          <w:tcPr>
            <w:tcW w:w="735" w:type="dxa"/>
            <w:vAlign w:val="center"/>
          </w:tcPr>
          <w:p>
            <w:pPr>
              <w:autoSpaceDN w:val="0"/>
              <w:jc w:val="center"/>
              <w:rPr>
                <w:rFonts w:ascii="仿宋" w:hAnsi="仿宋" w:eastAsia="仿宋" w:cs="仿宋"/>
                <w:bCs/>
                <w:spacing w:val="4"/>
                <w:sz w:val="24"/>
                <w:szCs w:val="24"/>
              </w:rPr>
            </w:pPr>
            <w:r>
              <w:rPr>
                <w:rFonts w:hint="eastAsia" w:ascii="仿宋" w:hAnsi="仿宋" w:eastAsia="仿宋" w:cs="仿宋"/>
                <w:bCs/>
                <w:spacing w:val="4"/>
                <w:sz w:val="24"/>
                <w:szCs w:val="24"/>
              </w:rPr>
              <w:t>9</w:t>
            </w:r>
          </w:p>
        </w:tc>
        <w:tc>
          <w:tcPr>
            <w:tcW w:w="2761" w:type="dxa"/>
            <w:vAlign w:val="center"/>
          </w:tcPr>
          <w:p>
            <w:pPr>
              <w:autoSpaceDN w:val="0"/>
              <w:jc w:val="center"/>
              <w:rPr>
                <w:rFonts w:ascii="仿宋" w:hAnsi="仿宋" w:eastAsia="仿宋" w:cs="仿宋"/>
                <w:bCs/>
                <w:spacing w:val="4"/>
                <w:sz w:val="24"/>
                <w:szCs w:val="24"/>
              </w:rPr>
            </w:pPr>
            <w:r>
              <w:rPr>
                <w:rFonts w:hint="eastAsia" w:ascii="仿宋" w:hAnsi="仿宋" w:eastAsia="仿宋" w:cs="仿宋"/>
                <w:bCs/>
                <w:spacing w:val="4"/>
                <w:sz w:val="24"/>
                <w:szCs w:val="24"/>
              </w:rPr>
              <w:t>参与人资质等级要求</w:t>
            </w:r>
          </w:p>
        </w:tc>
        <w:tc>
          <w:tcPr>
            <w:tcW w:w="6427" w:type="dxa"/>
            <w:vAlign w:val="center"/>
          </w:tcPr>
          <w:p>
            <w:pPr>
              <w:pStyle w:val="13"/>
              <w:rPr>
                <w:rFonts w:ascii="仿宋" w:hAnsi="仿宋" w:eastAsia="仿宋" w:cs="仿宋"/>
                <w:spacing w:val="4"/>
                <w:sz w:val="24"/>
                <w:szCs w:val="24"/>
              </w:rPr>
            </w:pPr>
            <w:r>
              <w:rPr>
                <w:rFonts w:hint="eastAsia" w:ascii="仿宋" w:hAnsi="仿宋" w:eastAsia="仿宋" w:cs="仿宋"/>
                <w:spacing w:val="4"/>
                <w:sz w:val="24"/>
                <w:szCs w:val="24"/>
              </w:rPr>
              <w:t>详情见公开询价邀请函中</w:t>
            </w:r>
            <w:r>
              <w:rPr>
                <w:rFonts w:hint="eastAsia" w:ascii="仿宋" w:hAnsi="仿宋" w:eastAsia="仿宋"/>
                <w:sz w:val="24"/>
                <w:szCs w:val="24"/>
              </w:rPr>
              <w:t>参与人资格标准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1" w:hRule="exact"/>
          <w:jc w:val="center"/>
        </w:trPr>
        <w:tc>
          <w:tcPr>
            <w:tcW w:w="735" w:type="dxa"/>
            <w:vAlign w:val="center"/>
          </w:tcPr>
          <w:p>
            <w:pPr>
              <w:autoSpaceDN w:val="0"/>
              <w:jc w:val="center"/>
              <w:rPr>
                <w:rFonts w:ascii="仿宋" w:hAnsi="仿宋" w:eastAsia="仿宋" w:cs="仿宋"/>
                <w:bCs/>
                <w:spacing w:val="4"/>
                <w:sz w:val="24"/>
                <w:szCs w:val="24"/>
              </w:rPr>
            </w:pPr>
            <w:r>
              <w:rPr>
                <w:rFonts w:hint="eastAsia" w:ascii="仿宋" w:hAnsi="仿宋" w:eastAsia="仿宋" w:cs="仿宋"/>
                <w:bCs/>
                <w:spacing w:val="4"/>
                <w:sz w:val="24"/>
                <w:szCs w:val="24"/>
              </w:rPr>
              <w:t>10</w:t>
            </w:r>
          </w:p>
        </w:tc>
        <w:tc>
          <w:tcPr>
            <w:tcW w:w="2761" w:type="dxa"/>
            <w:vAlign w:val="center"/>
          </w:tcPr>
          <w:p>
            <w:pPr>
              <w:autoSpaceDN w:val="0"/>
              <w:jc w:val="center"/>
              <w:rPr>
                <w:rFonts w:ascii="仿宋" w:hAnsi="仿宋" w:eastAsia="仿宋" w:cs="仿宋"/>
                <w:bCs/>
                <w:spacing w:val="4"/>
                <w:sz w:val="24"/>
                <w:szCs w:val="24"/>
              </w:rPr>
            </w:pPr>
            <w:bookmarkStart w:id="211" w:name="_Toc63258537"/>
            <w:bookmarkStart w:id="212" w:name="_Toc63258664"/>
            <w:bookmarkStart w:id="213" w:name="_Toc63258298"/>
            <w:bookmarkStart w:id="214" w:name="_Toc12973"/>
            <w:r>
              <w:rPr>
                <w:rFonts w:hint="eastAsia" w:ascii="仿宋" w:hAnsi="仿宋" w:eastAsia="仿宋" w:cs="仿宋"/>
                <w:bCs/>
                <w:spacing w:val="4"/>
                <w:sz w:val="24"/>
                <w:szCs w:val="24"/>
              </w:rPr>
              <w:t>注册建造师资格要求</w:t>
            </w:r>
            <w:bookmarkEnd w:id="211"/>
            <w:bookmarkEnd w:id="212"/>
            <w:bookmarkEnd w:id="213"/>
            <w:bookmarkEnd w:id="214"/>
          </w:p>
        </w:tc>
        <w:tc>
          <w:tcPr>
            <w:tcW w:w="6427" w:type="dxa"/>
            <w:vAlign w:val="center"/>
          </w:tcPr>
          <w:p>
            <w:pPr>
              <w:autoSpaceDN w:val="0"/>
              <w:rPr>
                <w:rFonts w:ascii="仿宋" w:hAnsi="仿宋" w:eastAsia="仿宋" w:cs="仿宋"/>
                <w:spacing w:val="4"/>
                <w:sz w:val="24"/>
                <w:szCs w:val="24"/>
              </w:rPr>
            </w:pPr>
            <w:bookmarkStart w:id="215" w:name="_Toc63258538"/>
            <w:bookmarkStart w:id="216" w:name="_Toc63258665"/>
            <w:bookmarkStart w:id="217" w:name="_Toc10474"/>
            <w:bookmarkStart w:id="218" w:name="_Toc63258299"/>
            <w:r>
              <w:rPr>
                <w:rFonts w:hint="eastAsia" w:ascii="仿宋" w:hAnsi="仿宋" w:eastAsia="仿宋" w:cs="仿宋"/>
                <w:spacing w:val="4"/>
                <w:sz w:val="24"/>
                <w:szCs w:val="24"/>
              </w:rPr>
              <w:t>专业：建筑工程</w:t>
            </w:r>
            <w:bookmarkEnd w:id="215"/>
            <w:bookmarkEnd w:id="216"/>
            <w:bookmarkEnd w:id="217"/>
            <w:bookmarkEnd w:id="218"/>
          </w:p>
          <w:p>
            <w:pPr>
              <w:autoSpaceDN w:val="0"/>
              <w:rPr>
                <w:rFonts w:ascii="仿宋" w:hAnsi="仿宋" w:eastAsia="仿宋" w:cs="仿宋"/>
                <w:spacing w:val="4"/>
                <w:sz w:val="24"/>
                <w:szCs w:val="24"/>
              </w:rPr>
            </w:pPr>
            <w:bookmarkStart w:id="219" w:name="_Toc63258666"/>
            <w:bookmarkStart w:id="220" w:name="_Toc63258300"/>
            <w:bookmarkStart w:id="221" w:name="_Toc8488"/>
            <w:bookmarkStart w:id="222" w:name="_Toc63258539"/>
            <w:r>
              <w:rPr>
                <w:rFonts w:hint="eastAsia" w:ascii="仿宋" w:hAnsi="仿宋" w:eastAsia="仿宋" w:cs="仿宋"/>
                <w:spacing w:val="4"/>
                <w:sz w:val="24"/>
                <w:szCs w:val="24"/>
              </w:rPr>
              <w:t>等级：贰级注册建造师【临时建造师无效】</w:t>
            </w:r>
            <w:bookmarkEnd w:id="219"/>
            <w:bookmarkEnd w:id="220"/>
            <w:bookmarkEnd w:id="221"/>
            <w:bookmarkEnd w:id="222"/>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11" w:hRule="exact"/>
          <w:jc w:val="center"/>
        </w:trPr>
        <w:tc>
          <w:tcPr>
            <w:tcW w:w="735" w:type="dxa"/>
            <w:vAlign w:val="center"/>
          </w:tcPr>
          <w:p>
            <w:pPr>
              <w:autoSpaceDN w:val="0"/>
              <w:jc w:val="center"/>
              <w:rPr>
                <w:rFonts w:ascii="仿宋" w:hAnsi="仿宋" w:eastAsia="仿宋" w:cs="仿宋"/>
                <w:bCs/>
                <w:spacing w:val="4"/>
                <w:sz w:val="24"/>
                <w:szCs w:val="24"/>
              </w:rPr>
            </w:pPr>
            <w:r>
              <w:rPr>
                <w:rFonts w:hint="eastAsia" w:ascii="仿宋" w:hAnsi="仿宋" w:eastAsia="仿宋" w:cs="仿宋"/>
                <w:bCs/>
                <w:spacing w:val="4"/>
                <w:sz w:val="24"/>
                <w:szCs w:val="24"/>
              </w:rPr>
              <w:t>11</w:t>
            </w:r>
          </w:p>
        </w:tc>
        <w:tc>
          <w:tcPr>
            <w:tcW w:w="2761" w:type="dxa"/>
            <w:vAlign w:val="center"/>
          </w:tcPr>
          <w:p>
            <w:pPr>
              <w:autoSpaceDN w:val="0"/>
              <w:rPr>
                <w:rFonts w:ascii="仿宋" w:hAnsi="仿宋" w:eastAsia="仿宋" w:cs="仿宋"/>
                <w:bCs/>
                <w:spacing w:val="4"/>
                <w:sz w:val="24"/>
                <w:szCs w:val="24"/>
              </w:rPr>
            </w:pPr>
            <w:bookmarkStart w:id="223" w:name="_Toc11116"/>
            <w:bookmarkStart w:id="224" w:name="_Toc63258541"/>
            <w:bookmarkStart w:id="225" w:name="_Toc63258668"/>
            <w:bookmarkStart w:id="226" w:name="_Toc63258302"/>
            <w:r>
              <w:rPr>
                <w:rFonts w:hint="eastAsia" w:ascii="仿宋" w:hAnsi="仿宋" w:eastAsia="仿宋" w:cs="仿宋"/>
                <w:bCs/>
                <w:spacing w:val="4"/>
                <w:sz w:val="24"/>
                <w:szCs w:val="24"/>
              </w:rPr>
              <w:t>参与人应</w:t>
            </w:r>
            <w:bookmarkEnd w:id="223"/>
            <w:bookmarkEnd w:id="224"/>
            <w:bookmarkEnd w:id="225"/>
            <w:bookmarkEnd w:id="226"/>
            <w:bookmarkStart w:id="227" w:name="_Toc63258542"/>
            <w:bookmarkStart w:id="228" w:name="_Toc63258669"/>
            <w:bookmarkStart w:id="229" w:name="_Toc63258303"/>
            <w:bookmarkStart w:id="230" w:name="_Toc24379"/>
            <w:r>
              <w:rPr>
                <w:rFonts w:hint="eastAsia" w:ascii="仿宋" w:hAnsi="仿宋" w:eastAsia="仿宋" w:cs="仿宋"/>
                <w:bCs/>
                <w:spacing w:val="4"/>
                <w:sz w:val="24"/>
                <w:szCs w:val="24"/>
              </w:rPr>
              <w:t>当提交的资格文</w:t>
            </w:r>
            <w:bookmarkEnd w:id="227"/>
            <w:bookmarkEnd w:id="228"/>
            <w:bookmarkEnd w:id="229"/>
            <w:bookmarkEnd w:id="230"/>
            <w:bookmarkStart w:id="231" w:name="_Toc63258304"/>
            <w:bookmarkStart w:id="232" w:name="_Toc63258543"/>
            <w:bookmarkStart w:id="233" w:name="_Toc63258670"/>
            <w:bookmarkStart w:id="234" w:name="_Toc14281"/>
            <w:r>
              <w:rPr>
                <w:rFonts w:hint="eastAsia" w:ascii="仿宋" w:hAnsi="仿宋" w:eastAsia="仿宋" w:cs="仿宋"/>
                <w:bCs/>
                <w:spacing w:val="4"/>
                <w:sz w:val="24"/>
                <w:szCs w:val="24"/>
              </w:rPr>
              <w:t>件</w:t>
            </w:r>
            <w:bookmarkEnd w:id="231"/>
            <w:bookmarkEnd w:id="232"/>
            <w:bookmarkEnd w:id="233"/>
            <w:bookmarkEnd w:id="234"/>
            <w:bookmarkStart w:id="235" w:name="_Toc63258305"/>
            <w:bookmarkStart w:id="236" w:name="_Toc63258671"/>
            <w:bookmarkStart w:id="237" w:name="_Toc63258544"/>
            <w:bookmarkStart w:id="238" w:name="_Toc4250"/>
            <w:r>
              <w:rPr>
                <w:rFonts w:hint="eastAsia" w:ascii="仿宋" w:hAnsi="仿宋" w:eastAsia="仿宋" w:cs="仿宋"/>
                <w:bCs/>
                <w:spacing w:val="4"/>
                <w:sz w:val="24"/>
                <w:szCs w:val="24"/>
              </w:rPr>
              <w:t>（参与人的建筑</w:t>
            </w:r>
            <w:bookmarkEnd w:id="235"/>
            <w:bookmarkEnd w:id="236"/>
            <w:bookmarkEnd w:id="237"/>
            <w:bookmarkEnd w:id="238"/>
            <w:bookmarkStart w:id="239" w:name="_Toc63258672"/>
            <w:bookmarkStart w:id="240" w:name="_Toc63258545"/>
            <w:bookmarkStart w:id="241" w:name="_Toc25451"/>
            <w:bookmarkStart w:id="242" w:name="_Toc63258306"/>
            <w:r>
              <w:rPr>
                <w:rFonts w:hint="eastAsia" w:ascii="仿宋" w:hAnsi="仿宋" w:eastAsia="仿宋" w:cs="仿宋"/>
                <w:bCs/>
                <w:spacing w:val="4"/>
                <w:sz w:val="24"/>
                <w:szCs w:val="24"/>
              </w:rPr>
              <w:t>业企业资质证书</w:t>
            </w:r>
            <w:bookmarkEnd w:id="239"/>
            <w:bookmarkEnd w:id="240"/>
            <w:bookmarkEnd w:id="241"/>
            <w:bookmarkEnd w:id="242"/>
            <w:bookmarkStart w:id="243" w:name="_Toc1307"/>
            <w:bookmarkStart w:id="244" w:name="_Toc63258546"/>
            <w:bookmarkStart w:id="245" w:name="_Toc63258673"/>
            <w:bookmarkStart w:id="246" w:name="_Toc63258307"/>
            <w:r>
              <w:rPr>
                <w:rFonts w:hint="eastAsia" w:ascii="仿宋" w:hAnsi="仿宋" w:eastAsia="仿宋" w:cs="仿宋"/>
                <w:bCs/>
                <w:spacing w:val="4"/>
                <w:sz w:val="24"/>
                <w:szCs w:val="24"/>
              </w:rPr>
              <w:t>为复印件，企业资</w:t>
            </w:r>
            <w:bookmarkEnd w:id="243"/>
            <w:bookmarkEnd w:id="244"/>
            <w:bookmarkEnd w:id="245"/>
            <w:bookmarkEnd w:id="246"/>
            <w:bookmarkStart w:id="247" w:name="_Toc63258547"/>
            <w:bookmarkStart w:id="248" w:name="_Toc31694"/>
            <w:bookmarkStart w:id="249" w:name="_Toc63258674"/>
            <w:bookmarkStart w:id="250" w:name="_Toc63258308"/>
            <w:r>
              <w:rPr>
                <w:rFonts w:hint="eastAsia" w:ascii="仿宋" w:hAnsi="仿宋" w:eastAsia="仿宋" w:cs="仿宋"/>
                <w:bCs/>
                <w:spacing w:val="4"/>
                <w:sz w:val="24"/>
                <w:szCs w:val="24"/>
              </w:rPr>
              <w:t>质情况可通过扫</w:t>
            </w:r>
            <w:bookmarkEnd w:id="247"/>
            <w:bookmarkEnd w:id="248"/>
            <w:bookmarkEnd w:id="249"/>
            <w:bookmarkEnd w:id="250"/>
            <w:bookmarkStart w:id="251" w:name="_Toc63258309"/>
            <w:bookmarkStart w:id="252" w:name="_Toc63258548"/>
            <w:bookmarkStart w:id="253" w:name="_Toc63258675"/>
            <w:bookmarkStart w:id="254" w:name="_Toc17887"/>
            <w:r>
              <w:rPr>
                <w:rFonts w:hint="eastAsia" w:ascii="仿宋" w:hAnsi="仿宋" w:eastAsia="仿宋" w:cs="仿宋"/>
                <w:bCs/>
                <w:spacing w:val="4"/>
                <w:sz w:val="24"/>
                <w:szCs w:val="24"/>
              </w:rPr>
              <w:t>描建筑业企业资</w:t>
            </w:r>
            <w:bookmarkEnd w:id="251"/>
            <w:bookmarkEnd w:id="252"/>
            <w:bookmarkEnd w:id="253"/>
            <w:bookmarkEnd w:id="254"/>
            <w:bookmarkStart w:id="255" w:name="_Toc63258676"/>
            <w:bookmarkStart w:id="256" w:name="_Toc63258310"/>
            <w:bookmarkStart w:id="257" w:name="_Toc22746"/>
            <w:bookmarkStart w:id="258" w:name="_Toc63258549"/>
            <w:r>
              <w:rPr>
                <w:rFonts w:hint="eastAsia" w:ascii="仿宋" w:hAnsi="仿宋" w:eastAsia="仿宋" w:cs="仿宋"/>
                <w:bCs/>
                <w:spacing w:val="4"/>
                <w:sz w:val="24"/>
                <w:szCs w:val="24"/>
              </w:rPr>
              <w:t>质证书复印件的</w:t>
            </w:r>
            <w:bookmarkEnd w:id="255"/>
            <w:bookmarkEnd w:id="256"/>
            <w:bookmarkEnd w:id="257"/>
            <w:bookmarkEnd w:id="258"/>
            <w:bookmarkStart w:id="259" w:name="_Toc63258677"/>
            <w:bookmarkStart w:id="260" w:name="_Toc63258550"/>
            <w:bookmarkStart w:id="261" w:name="_Toc6478"/>
            <w:bookmarkStart w:id="262" w:name="_Toc63258311"/>
            <w:r>
              <w:rPr>
                <w:rFonts w:hint="eastAsia" w:ascii="仿宋" w:hAnsi="仿宋" w:eastAsia="仿宋" w:cs="仿宋"/>
                <w:bCs/>
                <w:spacing w:val="4"/>
                <w:sz w:val="24"/>
                <w:szCs w:val="24"/>
              </w:rPr>
              <w:t>二维码查询）</w:t>
            </w:r>
            <w:bookmarkEnd w:id="259"/>
            <w:bookmarkEnd w:id="260"/>
            <w:bookmarkEnd w:id="261"/>
            <w:bookmarkEnd w:id="262"/>
          </w:p>
        </w:tc>
        <w:tc>
          <w:tcPr>
            <w:tcW w:w="6427" w:type="dxa"/>
            <w:vAlign w:val="center"/>
          </w:tcPr>
          <w:p>
            <w:pPr>
              <w:autoSpaceDN w:val="0"/>
              <w:spacing w:after="0" w:line="240" w:lineRule="auto"/>
              <w:rPr>
                <w:rFonts w:ascii="仿宋" w:hAnsi="仿宋" w:eastAsia="仿宋" w:cs="仿宋"/>
                <w:spacing w:val="4"/>
                <w:sz w:val="24"/>
                <w:szCs w:val="24"/>
              </w:rPr>
            </w:pPr>
            <w:bookmarkStart w:id="263" w:name="_Toc63258678"/>
            <w:bookmarkStart w:id="264" w:name="_Toc63258312"/>
            <w:bookmarkStart w:id="265" w:name="_Toc17654"/>
            <w:bookmarkStart w:id="266" w:name="_Toc63258551"/>
            <w:r>
              <w:rPr>
                <w:rFonts w:hint="eastAsia" w:ascii="仿宋" w:hAnsi="仿宋" w:eastAsia="仿宋" w:cs="仿宋"/>
                <w:spacing w:val="4"/>
                <w:sz w:val="24"/>
                <w:szCs w:val="24"/>
              </w:rPr>
              <w:sym w:font="Wingdings 2" w:char="F052"/>
            </w:r>
            <w:r>
              <w:rPr>
                <w:rFonts w:ascii="仿宋" w:hAnsi="仿宋" w:eastAsia="仿宋" w:cs="仿宋"/>
                <w:spacing w:val="4"/>
                <w:sz w:val="24"/>
                <w:szCs w:val="24"/>
              </w:rPr>
              <w:t xml:space="preserve"> </w:t>
            </w:r>
            <w:r>
              <w:rPr>
                <w:rFonts w:hint="eastAsia" w:ascii="仿宋" w:hAnsi="仿宋" w:eastAsia="仿宋" w:cs="仿宋"/>
                <w:spacing w:val="4"/>
                <w:sz w:val="24"/>
                <w:szCs w:val="24"/>
              </w:rPr>
              <w:t>法定代表人证书和本人身份证或者法定代表人授权委托书和本人身份证；</w:t>
            </w:r>
            <w:bookmarkEnd w:id="263"/>
            <w:bookmarkEnd w:id="264"/>
            <w:bookmarkEnd w:id="265"/>
            <w:bookmarkEnd w:id="266"/>
          </w:p>
          <w:p>
            <w:pPr>
              <w:autoSpaceDN w:val="0"/>
              <w:spacing w:after="0" w:line="240" w:lineRule="auto"/>
              <w:rPr>
                <w:rFonts w:ascii="仿宋" w:hAnsi="仿宋" w:eastAsia="仿宋" w:cs="仿宋"/>
                <w:spacing w:val="4"/>
                <w:sz w:val="24"/>
                <w:szCs w:val="24"/>
              </w:rPr>
            </w:pPr>
            <w:bookmarkStart w:id="267" w:name="_Toc63258552"/>
            <w:bookmarkStart w:id="268" w:name="_Toc63258679"/>
            <w:bookmarkStart w:id="269" w:name="_Toc12134"/>
            <w:bookmarkStart w:id="270" w:name="_Toc63258313"/>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 xml:space="preserve"> 企业营业执照；</w:t>
            </w:r>
            <w:bookmarkEnd w:id="267"/>
            <w:bookmarkEnd w:id="268"/>
            <w:bookmarkEnd w:id="269"/>
            <w:bookmarkEnd w:id="270"/>
          </w:p>
          <w:p>
            <w:pPr>
              <w:autoSpaceDN w:val="0"/>
              <w:spacing w:after="0" w:line="240" w:lineRule="auto"/>
              <w:rPr>
                <w:rFonts w:ascii="仿宋" w:hAnsi="仿宋" w:eastAsia="仿宋" w:cs="仿宋"/>
                <w:spacing w:val="4"/>
                <w:sz w:val="24"/>
                <w:szCs w:val="24"/>
              </w:rPr>
            </w:pPr>
            <w:bookmarkStart w:id="271" w:name="_Toc63258553"/>
            <w:bookmarkStart w:id="272" w:name="_Toc63258680"/>
            <w:bookmarkStart w:id="273" w:name="_Toc63258314"/>
            <w:bookmarkStart w:id="274" w:name="_Toc19085"/>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 xml:space="preserve"> 企业资质证书复印件；</w:t>
            </w:r>
            <w:bookmarkEnd w:id="271"/>
            <w:bookmarkEnd w:id="272"/>
            <w:bookmarkEnd w:id="273"/>
            <w:bookmarkEnd w:id="274"/>
          </w:p>
          <w:p>
            <w:pPr>
              <w:autoSpaceDN w:val="0"/>
              <w:spacing w:after="0" w:line="240" w:lineRule="auto"/>
              <w:rPr>
                <w:rFonts w:ascii="仿宋" w:hAnsi="仿宋" w:eastAsia="仿宋" w:cs="仿宋"/>
                <w:spacing w:val="4"/>
                <w:sz w:val="24"/>
                <w:szCs w:val="24"/>
              </w:rPr>
            </w:pPr>
            <w:bookmarkStart w:id="275" w:name="_Toc63258554"/>
            <w:bookmarkStart w:id="276" w:name="_Toc63258315"/>
            <w:bookmarkStart w:id="277" w:name="_Toc63258681"/>
            <w:bookmarkStart w:id="278" w:name="_Toc16807"/>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 xml:space="preserve"> 在有效期内的安全生产许可证；</w:t>
            </w:r>
            <w:bookmarkEnd w:id="275"/>
            <w:bookmarkEnd w:id="276"/>
            <w:bookmarkEnd w:id="277"/>
            <w:bookmarkEnd w:id="278"/>
          </w:p>
          <w:p>
            <w:pPr>
              <w:autoSpaceDN w:val="0"/>
              <w:spacing w:after="0" w:line="240" w:lineRule="auto"/>
              <w:rPr>
                <w:rFonts w:ascii="仿宋" w:hAnsi="仿宋" w:eastAsia="仿宋" w:cs="仿宋"/>
                <w:spacing w:val="4"/>
                <w:sz w:val="24"/>
                <w:szCs w:val="24"/>
              </w:rPr>
            </w:pPr>
            <w:bookmarkStart w:id="279" w:name="_Toc63258682"/>
            <w:bookmarkStart w:id="280" w:name="_Toc63258316"/>
            <w:bookmarkStart w:id="281" w:name="_Toc63258555"/>
            <w:bookmarkStart w:id="282" w:name="_Toc15064"/>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 xml:space="preserve"> 外省、市施工企业进项目所在地投标备案通知；</w:t>
            </w:r>
            <w:bookmarkEnd w:id="279"/>
            <w:bookmarkEnd w:id="280"/>
            <w:bookmarkEnd w:id="281"/>
            <w:bookmarkEnd w:id="282"/>
          </w:p>
          <w:p>
            <w:pPr>
              <w:autoSpaceDN w:val="0"/>
              <w:spacing w:after="0" w:line="240" w:lineRule="auto"/>
              <w:rPr>
                <w:rFonts w:ascii="仿宋" w:hAnsi="仿宋" w:eastAsia="仿宋" w:cs="仿宋"/>
                <w:spacing w:val="4"/>
                <w:sz w:val="24"/>
                <w:szCs w:val="24"/>
              </w:rPr>
            </w:pPr>
            <w:bookmarkStart w:id="283" w:name="_Toc19255"/>
            <w:bookmarkStart w:id="284" w:name="_Toc63258683"/>
            <w:bookmarkStart w:id="285" w:name="_Toc63258556"/>
            <w:bookmarkStart w:id="286" w:name="_Toc63258317"/>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 xml:space="preserve"> 拟派建造师注册证书；</w:t>
            </w:r>
            <w:bookmarkEnd w:id="283"/>
            <w:bookmarkEnd w:id="284"/>
            <w:bookmarkEnd w:id="285"/>
            <w:bookmarkEnd w:id="286"/>
          </w:p>
          <w:p>
            <w:pPr>
              <w:autoSpaceDN w:val="0"/>
              <w:spacing w:after="0" w:line="240" w:lineRule="auto"/>
              <w:rPr>
                <w:rFonts w:ascii="仿宋" w:hAnsi="仿宋" w:eastAsia="仿宋" w:cs="仿宋"/>
                <w:spacing w:val="4"/>
                <w:sz w:val="24"/>
                <w:szCs w:val="24"/>
              </w:rPr>
            </w:pPr>
            <w:bookmarkStart w:id="287" w:name="_Toc8178"/>
            <w:bookmarkStart w:id="288" w:name="_Toc63258684"/>
            <w:bookmarkStart w:id="289" w:name="_Toc63258557"/>
            <w:bookmarkStart w:id="290" w:name="_Toc63258318"/>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 xml:space="preserve"> 拟派技术负责人职称证书；</w:t>
            </w:r>
            <w:bookmarkEnd w:id="287"/>
            <w:bookmarkEnd w:id="288"/>
            <w:bookmarkEnd w:id="289"/>
            <w:bookmarkEnd w:id="290"/>
          </w:p>
          <w:p>
            <w:pPr>
              <w:autoSpaceDN w:val="0"/>
              <w:spacing w:after="0" w:line="240" w:lineRule="auto"/>
              <w:rPr>
                <w:rFonts w:ascii="仿宋" w:hAnsi="仿宋" w:eastAsia="仿宋" w:cs="仿宋"/>
                <w:spacing w:val="4"/>
                <w:sz w:val="24"/>
                <w:szCs w:val="24"/>
              </w:rPr>
            </w:pPr>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 xml:space="preserve"> 近三年不少于两个相类似工程业绩证明；</w:t>
            </w:r>
          </w:p>
          <w:p>
            <w:pPr>
              <w:autoSpaceDN w:val="0"/>
              <w:spacing w:after="0" w:line="240" w:lineRule="auto"/>
              <w:rPr>
                <w:rFonts w:ascii="仿宋" w:hAnsi="仿宋" w:eastAsia="仿宋" w:cs="仿宋"/>
                <w:spacing w:val="4"/>
                <w:sz w:val="24"/>
                <w:szCs w:val="24"/>
              </w:rPr>
            </w:pPr>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 xml:space="preserve"> 企业财务审计报告；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7" w:hRule="exact"/>
          <w:jc w:val="center"/>
        </w:trPr>
        <w:tc>
          <w:tcPr>
            <w:tcW w:w="735" w:type="dxa"/>
            <w:vAlign w:val="center"/>
          </w:tcPr>
          <w:p>
            <w:pPr>
              <w:autoSpaceDN w:val="0"/>
              <w:jc w:val="center"/>
              <w:rPr>
                <w:rFonts w:ascii="仿宋" w:hAnsi="仿宋" w:eastAsia="仿宋" w:cs="仿宋"/>
                <w:bCs/>
                <w:spacing w:val="4"/>
                <w:sz w:val="24"/>
                <w:szCs w:val="24"/>
              </w:rPr>
            </w:pPr>
            <w:bookmarkStart w:id="291" w:name="_Toc63258690"/>
            <w:bookmarkStart w:id="292" w:name="_Toc462405588"/>
            <w:bookmarkStart w:id="293" w:name="_Toc63258324"/>
            <w:bookmarkStart w:id="294" w:name="_Toc63258563"/>
            <w:bookmarkStart w:id="295" w:name="_Toc9750"/>
            <w:r>
              <w:rPr>
                <w:rFonts w:hint="eastAsia" w:ascii="仿宋" w:hAnsi="仿宋" w:eastAsia="仿宋" w:cs="仿宋"/>
                <w:bCs/>
                <w:spacing w:val="4"/>
                <w:sz w:val="24"/>
                <w:szCs w:val="24"/>
              </w:rPr>
              <w:t>1</w:t>
            </w:r>
            <w:bookmarkEnd w:id="291"/>
            <w:bookmarkEnd w:id="292"/>
            <w:bookmarkEnd w:id="293"/>
            <w:bookmarkEnd w:id="294"/>
            <w:bookmarkEnd w:id="295"/>
            <w:r>
              <w:rPr>
                <w:rFonts w:hint="eastAsia" w:ascii="仿宋" w:hAnsi="仿宋" w:eastAsia="仿宋" w:cs="仿宋"/>
                <w:bCs/>
                <w:spacing w:val="4"/>
                <w:sz w:val="24"/>
                <w:szCs w:val="24"/>
              </w:rPr>
              <w:t>2</w:t>
            </w:r>
          </w:p>
        </w:tc>
        <w:tc>
          <w:tcPr>
            <w:tcW w:w="2761" w:type="dxa"/>
            <w:vAlign w:val="center"/>
          </w:tcPr>
          <w:p>
            <w:pPr>
              <w:autoSpaceDN w:val="0"/>
              <w:jc w:val="center"/>
              <w:rPr>
                <w:rFonts w:ascii="仿宋" w:hAnsi="仿宋" w:eastAsia="仿宋" w:cs="仿宋"/>
                <w:bCs/>
                <w:spacing w:val="4"/>
                <w:sz w:val="24"/>
                <w:szCs w:val="24"/>
              </w:rPr>
            </w:pPr>
            <w:bookmarkStart w:id="296" w:name="_Toc462405589"/>
            <w:bookmarkStart w:id="297" w:name="_Toc22039"/>
            <w:bookmarkStart w:id="298" w:name="_Toc63258325"/>
            <w:bookmarkStart w:id="299" w:name="_Toc63258691"/>
            <w:bookmarkStart w:id="300" w:name="_Toc63258564"/>
            <w:r>
              <w:rPr>
                <w:rFonts w:hint="eastAsia" w:ascii="仿宋" w:hAnsi="仿宋" w:eastAsia="仿宋" w:cs="仿宋"/>
                <w:bCs/>
                <w:spacing w:val="4"/>
                <w:sz w:val="24"/>
                <w:szCs w:val="24"/>
              </w:rPr>
              <w:t>磋商方式</w:t>
            </w:r>
            <w:bookmarkEnd w:id="296"/>
            <w:bookmarkEnd w:id="297"/>
            <w:bookmarkEnd w:id="298"/>
            <w:bookmarkEnd w:id="299"/>
            <w:bookmarkEnd w:id="300"/>
          </w:p>
        </w:tc>
        <w:tc>
          <w:tcPr>
            <w:tcW w:w="6427" w:type="dxa"/>
            <w:tcBorders>
              <w:top w:val="single" w:color="auto" w:sz="4" w:space="0"/>
            </w:tcBorders>
            <w:vAlign w:val="center"/>
          </w:tcPr>
          <w:p>
            <w:pPr>
              <w:autoSpaceDN w:val="0"/>
              <w:rPr>
                <w:rFonts w:ascii="仿宋" w:hAnsi="仿宋" w:eastAsia="仿宋" w:cs="仿宋"/>
                <w:spacing w:val="4"/>
                <w:sz w:val="24"/>
                <w:szCs w:val="24"/>
              </w:rPr>
            </w:pPr>
            <w:bookmarkStart w:id="301" w:name="_Toc63258326"/>
            <w:bookmarkStart w:id="302" w:name="_Toc63258565"/>
            <w:bookmarkStart w:id="303" w:name="_Toc18439"/>
            <w:bookmarkStart w:id="304" w:name="_Toc63258692"/>
            <w:r>
              <w:rPr>
                <w:rFonts w:hint="eastAsia" w:ascii="仿宋" w:hAnsi="仿宋" w:eastAsia="仿宋" w:cs="仿宋"/>
                <w:spacing w:val="4"/>
                <w:sz w:val="24"/>
                <w:szCs w:val="24"/>
              </w:rPr>
              <w:t>公开询价。</w:t>
            </w:r>
            <w:bookmarkEnd w:id="301"/>
            <w:bookmarkEnd w:id="302"/>
            <w:bookmarkEnd w:id="303"/>
            <w:bookmarkEnd w:id="304"/>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82" w:hRule="exact"/>
          <w:jc w:val="center"/>
        </w:trPr>
        <w:tc>
          <w:tcPr>
            <w:tcW w:w="735" w:type="dxa"/>
            <w:vAlign w:val="center"/>
          </w:tcPr>
          <w:p>
            <w:pPr>
              <w:autoSpaceDN w:val="0"/>
              <w:jc w:val="center"/>
              <w:rPr>
                <w:rFonts w:ascii="仿宋" w:hAnsi="仿宋" w:eastAsia="仿宋" w:cs="仿宋"/>
                <w:bCs/>
                <w:spacing w:val="4"/>
                <w:sz w:val="24"/>
                <w:szCs w:val="24"/>
              </w:rPr>
            </w:pPr>
            <w:r>
              <w:rPr>
                <w:rFonts w:hint="eastAsia" w:ascii="仿宋" w:hAnsi="仿宋" w:eastAsia="仿宋" w:cs="仿宋"/>
                <w:bCs/>
                <w:spacing w:val="4"/>
                <w:sz w:val="24"/>
                <w:szCs w:val="24"/>
              </w:rPr>
              <w:t>13</w:t>
            </w:r>
          </w:p>
        </w:tc>
        <w:tc>
          <w:tcPr>
            <w:tcW w:w="2761" w:type="dxa"/>
            <w:vAlign w:val="center"/>
          </w:tcPr>
          <w:p>
            <w:pPr>
              <w:autoSpaceDN w:val="0"/>
              <w:jc w:val="center"/>
              <w:rPr>
                <w:rFonts w:ascii="仿宋" w:hAnsi="仿宋" w:eastAsia="仿宋" w:cs="仿宋"/>
                <w:bCs/>
                <w:spacing w:val="4"/>
                <w:sz w:val="24"/>
                <w:szCs w:val="24"/>
              </w:rPr>
            </w:pPr>
            <w:r>
              <w:rPr>
                <w:rFonts w:hint="eastAsia" w:ascii="仿宋" w:hAnsi="仿宋" w:eastAsia="仿宋" w:cs="仿宋"/>
                <w:sz w:val="24"/>
                <w:szCs w:val="24"/>
              </w:rPr>
              <w:t>磋商报价原则</w:t>
            </w:r>
          </w:p>
        </w:tc>
        <w:tc>
          <w:tcPr>
            <w:tcW w:w="6427" w:type="dxa"/>
            <w:vAlign w:val="center"/>
          </w:tcPr>
          <w:p>
            <w:pPr>
              <w:pStyle w:val="13"/>
              <w:spacing w:after="0"/>
              <w:rPr>
                <w:rFonts w:ascii="仿宋" w:hAnsi="仿宋" w:eastAsia="仿宋" w:cs="仿宋"/>
                <w:sz w:val="24"/>
                <w:szCs w:val="24"/>
              </w:rPr>
            </w:pPr>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工程量清单计价，</w:t>
            </w:r>
            <w:r>
              <w:rPr>
                <w:rFonts w:hint="eastAsia" w:ascii="仿宋" w:hAnsi="仿宋" w:eastAsia="仿宋" w:cs="仿宋"/>
                <w:sz w:val="24"/>
                <w:szCs w:val="24"/>
              </w:rPr>
              <w:t>综合单价包干。</w:t>
            </w:r>
          </w:p>
          <w:p>
            <w:pPr>
              <w:pStyle w:val="13"/>
              <w:spacing w:after="0"/>
              <w:rPr>
                <w:rFonts w:ascii="仿宋" w:hAnsi="仿宋" w:eastAsia="仿宋" w:cs="仿宋"/>
                <w:spacing w:val="4"/>
                <w:sz w:val="24"/>
                <w:szCs w:val="24"/>
              </w:rPr>
            </w:pPr>
            <w:r>
              <w:rPr>
                <w:rFonts w:hint="eastAsia" w:ascii="仿宋" w:hAnsi="仿宋" w:eastAsia="仿宋" w:cs="仿宋"/>
                <w:spacing w:val="4"/>
                <w:sz w:val="24"/>
                <w:szCs w:val="24"/>
              </w:rPr>
              <w:sym w:font="Wingdings 2" w:char="00A3"/>
            </w:r>
            <w:r>
              <w:rPr>
                <w:rFonts w:hint="eastAsia" w:ascii="仿宋" w:hAnsi="仿宋" w:eastAsia="仿宋" w:cs="仿宋"/>
                <w:spacing w:val="4"/>
                <w:sz w:val="24"/>
                <w:szCs w:val="24"/>
              </w:rPr>
              <w:t>工程量清单计价，总价包干。</w:t>
            </w:r>
          </w:p>
          <w:p>
            <w:pPr>
              <w:pStyle w:val="13"/>
              <w:spacing w:after="0"/>
              <w:rPr>
                <w:rFonts w:ascii="仿宋" w:hAnsi="仿宋" w:eastAsia="仿宋" w:cs="仿宋"/>
                <w:sz w:val="24"/>
                <w:szCs w:val="24"/>
              </w:rPr>
            </w:pPr>
            <w:r>
              <w:rPr>
                <w:rFonts w:hint="eastAsia" w:ascii="仿宋" w:hAnsi="仿宋" w:eastAsia="仿宋" w:cs="仿宋"/>
                <w:spacing w:val="4"/>
                <w:sz w:val="24"/>
                <w:szCs w:val="24"/>
              </w:rPr>
              <w:sym w:font="Wingdings 2" w:char="00A3"/>
            </w:r>
            <w:r>
              <w:rPr>
                <w:rFonts w:hint="eastAsia" w:ascii="仿宋" w:hAnsi="仿宋" w:eastAsia="仿宋" w:cs="仿宋"/>
                <w:spacing w:val="4"/>
                <w:sz w:val="24"/>
                <w:szCs w:val="24"/>
              </w:rPr>
              <w:t>工料单价（定额）计价，费率下浮。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1" w:hRule="exact"/>
          <w:jc w:val="center"/>
        </w:trPr>
        <w:tc>
          <w:tcPr>
            <w:tcW w:w="735" w:type="dxa"/>
            <w:vAlign w:val="center"/>
          </w:tcPr>
          <w:p>
            <w:pPr>
              <w:autoSpaceDN w:val="0"/>
              <w:jc w:val="center"/>
              <w:rPr>
                <w:rFonts w:ascii="仿宋" w:hAnsi="仿宋" w:eastAsia="仿宋" w:cs="仿宋"/>
                <w:bCs/>
                <w:spacing w:val="4"/>
                <w:sz w:val="24"/>
                <w:szCs w:val="24"/>
              </w:rPr>
            </w:pPr>
            <w:r>
              <w:rPr>
                <w:rFonts w:hint="eastAsia" w:ascii="仿宋" w:hAnsi="仿宋" w:eastAsia="仿宋" w:cs="仿宋"/>
                <w:bCs/>
                <w:spacing w:val="4"/>
                <w:sz w:val="24"/>
                <w:szCs w:val="24"/>
              </w:rPr>
              <w:t>14</w:t>
            </w:r>
          </w:p>
        </w:tc>
        <w:tc>
          <w:tcPr>
            <w:tcW w:w="2761" w:type="dxa"/>
            <w:vAlign w:val="center"/>
          </w:tcPr>
          <w:p>
            <w:pPr>
              <w:autoSpaceDN w:val="0"/>
              <w:jc w:val="center"/>
              <w:rPr>
                <w:rFonts w:ascii="仿宋" w:hAnsi="仿宋" w:eastAsia="仿宋" w:cs="仿宋"/>
                <w:bCs/>
                <w:spacing w:val="4"/>
                <w:sz w:val="24"/>
                <w:szCs w:val="24"/>
              </w:rPr>
            </w:pPr>
            <w:bookmarkStart w:id="305" w:name="_Toc63258707"/>
            <w:bookmarkStart w:id="306" w:name="_Toc27368"/>
            <w:bookmarkStart w:id="307" w:name="_Toc63258341"/>
            <w:bookmarkStart w:id="308" w:name="_Toc63258580"/>
            <w:r>
              <w:rPr>
                <w:rFonts w:hint="eastAsia" w:ascii="仿宋" w:hAnsi="仿宋" w:eastAsia="仿宋" w:cs="仿宋"/>
                <w:bCs/>
                <w:spacing w:val="4"/>
                <w:sz w:val="24"/>
                <w:szCs w:val="24"/>
              </w:rPr>
              <w:t>踏勘时间</w:t>
            </w:r>
            <w:bookmarkEnd w:id="305"/>
            <w:bookmarkEnd w:id="306"/>
            <w:bookmarkEnd w:id="307"/>
            <w:bookmarkEnd w:id="308"/>
          </w:p>
        </w:tc>
        <w:tc>
          <w:tcPr>
            <w:tcW w:w="6427" w:type="dxa"/>
            <w:vAlign w:val="center"/>
          </w:tcPr>
          <w:p>
            <w:pPr>
              <w:autoSpaceDN w:val="0"/>
              <w:rPr>
                <w:rFonts w:ascii="仿宋" w:hAnsi="仿宋" w:eastAsia="仿宋" w:cs="仿宋"/>
                <w:spacing w:val="4"/>
                <w:sz w:val="24"/>
                <w:szCs w:val="24"/>
              </w:rPr>
            </w:pPr>
            <w:r>
              <w:rPr>
                <w:rFonts w:hint="eastAsia" w:ascii="仿宋" w:hAnsi="仿宋" w:eastAsia="仿宋" w:cs="仿宋"/>
                <w:spacing w:val="4"/>
                <w:sz w:val="24"/>
                <w:szCs w:val="24"/>
              </w:rPr>
              <w:t>详情见公开询价邀请函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2" w:hRule="exact"/>
          <w:jc w:val="center"/>
        </w:trPr>
        <w:tc>
          <w:tcPr>
            <w:tcW w:w="735" w:type="dxa"/>
            <w:vAlign w:val="center"/>
          </w:tcPr>
          <w:p>
            <w:pPr>
              <w:autoSpaceDN w:val="0"/>
              <w:jc w:val="center"/>
              <w:rPr>
                <w:rFonts w:ascii="仿宋" w:hAnsi="仿宋" w:eastAsia="仿宋" w:cs="仿宋"/>
                <w:bCs/>
                <w:spacing w:val="4"/>
                <w:sz w:val="24"/>
                <w:szCs w:val="24"/>
              </w:rPr>
            </w:pPr>
            <w:r>
              <w:rPr>
                <w:rFonts w:hint="eastAsia" w:ascii="仿宋" w:hAnsi="仿宋" w:eastAsia="仿宋" w:cs="仿宋"/>
                <w:bCs/>
                <w:spacing w:val="4"/>
                <w:sz w:val="24"/>
                <w:szCs w:val="24"/>
              </w:rPr>
              <w:t>15</w:t>
            </w:r>
          </w:p>
        </w:tc>
        <w:tc>
          <w:tcPr>
            <w:tcW w:w="2761" w:type="dxa"/>
            <w:vAlign w:val="center"/>
          </w:tcPr>
          <w:p>
            <w:pPr>
              <w:autoSpaceDN w:val="0"/>
              <w:jc w:val="center"/>
              <w:rPr>
                <w:rFonts w:ascii="仿宋" w:hAnsi="仿宋" w:eastAsia="仿宋" w:cs="仿宋"/>
                <w:bCs/>
                <w:spacing w:val="4"/>
                <w:sz w:val="24"/>
                <w:szCs w:val="24"/>
              </w:rPr>
            </w:pPr>
            <w:bookmarkStart w:id="309" w:name="_Toc63258710"/>
            <w:bookmarkStart w:id="310" w:name="_Toc25052"/>
            <w:bookmarkStart w:id="311" w:name="_Toc63258344"/>
            <w:bookmarkStart w:id="312" w:name="_Toc63258583"/>
            <w:r>
              <w:rPr>
                <w:rFonts w:hint="eastAsia" w:ascii="仿宋" w:hAnsi="仿宋" w:eastAsia="仿宋" w:cs="仿宋"/>
                <w:bCs/>
                <w:spacing w:val="4"/>
                <w:sz w:val="24"/>
                <w:szCs w:val="24"/>
              </w:rPr>
              <w:t>磋商有效期</w:t>
            </w:r>
            <w:bookmarkEnd w:id="309"/>
            <w:bookmarkEnd w:id="310"/>
            <w:bookmarkEnd w:id="311"/>
            <w:bookmarkEnd w:id="312"/>
          </w:p>
        </w:tc>
        <w:tc>
          <w:tcPr>
            <w:tcW w:w="6427" w:type="dxa"/>
            <w:vAlign w:val="center"/>
          </w:tcPr>
          <w:p>
            <w:pPr>
              <w:autoSpaceDN w:val="0"/>
              <w:rPr>
                <w:rFonts w:ascii="仿宋" w:hAnsi="仿宋" w:eastAsia="仿宋" w:cs="仿宋"/>
                <w:spacing w:val="4"/>
                <w:sz w:val="24"/>
                <w:szCs w:val="24"/>
              </w:rPr>
            </w:pPr>
            <w:bookmarkStart w:id="313" w:name="_Toc22508"/>
            <w:bookmarkStart w:id="314" w:name="_Toc63258711"/>
            <w:bookmarkStart w:id="315" w:name="_Toc63258584"/>
            <w:bookmarkStart w:id="316" w:name="_Toc63258345"/>
            <w:r>
              <w:rPr>
                <w:rFonts w:hint="eastAsia" w:ascii="仿宋" w:hAnsi="仿宋" w:eastAsia="仿宋" w:cs="仿宋"/>
                <w:spacing w:val="4"/>
                <w:sz w:val="24"/>
                <w:szCs w:val="24"/>
              </w:rPr>
              <w:t>90日历天（自公开询价截止之日起）。</w:t>
            </w:r>
            <w:bookmarkEnd w:id="313"/>
            <w:bookmarkEnd w:id="314"/>
            <w:bookmarkEnd w:id="315"/>
            <w:bookmarkEnd w:id="316"/>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9" w:hRule="exact"/>
          <w:jc w:val="center"/>
        </w:trPr>
        <w:tc>
          <w:tcPr>
            <w:tcW w:w="735"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16</w:t>
            </w:r>
          </w:p>
        </w:tc>
        <w:tc>
          <w:tcPr>
            <w:tcW w:w="2761" w:type="dxa"/>
            <w:vAlign w:val="center"/>
          </w:tcPr>
          <w:p>
            <w:pPr>
              <w:autoSpaceDN w:val="0"/>
              <w:jc w:val="center"/>
              <w:rPr>
                <w:rFonts w:ascii="仿宋" w:hAnsi="仿宋" w:eastAsia="仿宋" w:cs="仿宋"/>
                <w:bCs/>
                <w:spacing w:val="4"/>
                <w:sz w:val="24"/>
                <w:szCs w:val="24"/>
              </w:rPr>
            </w:pPr>
            <w:bookmarkStart w:id="317" w:name="_Toc1236"/>
            <w:bookmarkStart w:id="318" w:name="_Toc63258723"/>
            <w:bookmarkStart w:id="319" w:name="_Toc63258357"/>
            <w:bookmarkStart w:id="320" w:name="_Toc63258596"/>
            <w:r>
              <w:rPr>
                <w:rFonts w:hint="eastAsia" w:ascii="仿宋" w:hAnsi="仿宋" w:eastAsia="仿宋" w:cs="仿宋"/>
                <w:bCs/>
                <w:spacing w:val="4"/>
                <w:sz w:val="24"/>
                <w:szCs w:val="24"/>
              </w:rPr>
              <w:t>磋商文件的疑问和异议</w:t>
            </w:r>
            <w:bookmarkEnd w:id="317"/>
            <w:bookmarkEnd w:id="318"/>
            <w:bookmarkEnd w:id="319"/>
            <w:bookmarkEnd w:id="320"/>
          </w:p>
        </w:tc>
        <w:tc>
          <w:tcPr>
            <w:tcW w:w="6427" w:type="dxa"/>
            <w:vAlign w:val="center"/>
          </w:tcPr>
          <w:p>
            <w:pPr>
              <w:autoSpaceDN w:val="0"/>
              <w:spacing w:after="0" w:line="240" w:lineRule="auto"/>
              <w:rPr>
                <w:rFonts w:ascii="仿宋" w:hAnsi="仿宋" w:eastAsia="仿宋"/>
                <w:sz w:val="24"/>
                <w:szCs w:val="24"/>
              </w:rPr>
            </w:pPr>
            <w:r>
              <w:rPr>
                <w:rFonts w:hint="eastAsia" w:ascii="仿宋" w:hAnsi="仿宋" w:eastAsia="仿宋"/>
                <w:sz w:val="24"/>
                <w:szCs w:val="24"/>
              </w:rPr>
              <w:t>参加本项目的参与人如对竞争性磋商文件内容提出质疑的，请在响应文件递交截止之日前四天将问题以书面形式（有效签署的原件并加盖公章）提交，发包人不对超时提交及未加盖公章的质疑文件进行回复。</w:t>
            </w:r>
          </w:p>
          <w:p>
            <w:pPr>
              <w:autoSpaceDN w:val="0"/>
              <w:spacing w:after="0" w:line="240" w:lineRule="auto"/>
              <w:rPr>
                <w:rFonts w:ascii="仿宋" w:hAnsi="仿宋" w:eastAsia="仿宋"/>
                <w:sz w:val="24"/>
                <w:szCs w:val="24"/>
              </w:rPr>
            </w:pPr>
            <w:r>
              <w:rPr>
                <w:rFonts w:hint="eastAsia" w:ascii="仿宋" w:hAnsi="仿宋" w:eastAsia="仿宋"/>
                <w:sz w:val="24"/>
                <w:szCs w:val="24"/>
              </w:rPr>
              <w:t>联系人：万小丽，电话：0791-88138871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89" w:hRule="exact"/>
          <w:jc w:val="center"/>
        </w:trPr>
        <w:tc>
          <w:tcPr>
            <w:tcW w:w="735" w:type="dxa"/>
            <w:vAlign w:val="center"/>
          </w:tcPr>
          <w:p>
            <w:pPr>
              <w:autoSpaceDN w:val="0"/>
              <w:jc w:val="center"/>
              <w:rPr>
                <w:rFonts w:ascii="仿宋" w:hAnsi="仿宋" w:eastAsia="仿宋" w:cs="仿宋"/>
                <w:spacing w:val="4"/>
                <w:sz w:val="24"/>
                <w:szCs w:val="24"/>
              </w:rPr>
            </w:pPr>
            <w:r>
              <w:rPr>
                <w:rFonts w:ascii="仿宋" w:hAnsi="仿宋" w:eastAsia="仿宋" w:cs="仿宋"/>
                <w:bCs/>
                <w:spacing w:val="4"/>
                <w:sz w:val="24"/>
                <w:szCs w:val="24"/>
              </w:rPr>
              <w:t>17</w:t>
            </w:r>
          </w:p>
        </w:tc>
        <w:tc>
          <w:tcPr>
            <w:tcW w:w="2761" w:type="dxa"/>
            <w:vAlign w:val="center"/>
          </w:tcPr>
          <w:p>
            <w:pPr>
              <w:autoSpaceDN w:val="0"/>
              <w:jc w:val="center"/>
              <w:rPr>
                <w:rFonts w:ascii="仿宋" w:hAnsi="仿宋" w:eastAsia="仿宋" w:cs="仿宋"/>
                <w:bCs/>
                <w:spacing w:val="4"/>
                <w:sz w:val="24"/>
                <w:szCs w:val="24"/>
              </w:rPr>
            </w:pPr>
            <w:bookmarkStart w:id="321" w:name="_Toc23417"/>
            <w:bookmarkStart w:id="322" w:name="_Toc63258602"/>
            <w:bookmarkStart w:id="323" w:name="_Toc63258729"/>
            <w:bookmarkStart w:id="324" w:name="_Toc63258363"/>
            <w:r>
              <w:rPr>
                <w:rFonts w:hint="eastAsia" w:ascii="仿宋" w:hAnsi="仿宋" w:eastAsia="仿宋" w:cs="仿宋"/>
                <w:bCs/>
                <w:spacing w:val="4"/>
                <w:sz w:val="24"/>
                <w:szCs w:val="24"/>
              </w:rPr>
              <w:t>响应文件</w:t>
            </w:r>
            <w:bookmarkEnd w:id="321"/>
            <w:bookmarkEnd w:id="322"/>
            <w:bookmarkEnd w:id="323"/>
            <w:bookmarkEnd w:id="324"/>
            <w:r>
              <w:rPr>
                <w:rFonts w:hint="eastAsia" w:ascii="仿宋" w:hAnsi="仿宋" w:eastAsia="仿宋" w:cs="仿宋"/>
                <w:bCs/>
                <w:spacing w:val="4"/>
                <w:sz w:val="24"/>
                <w:szCs w:val="24"/>
              </w:rPr>
              <w:t>编制</w:t>
            </w:r>
          </w:p>
        </w:tc>
        <w:tc>
          <w:tcPr>
            <w:tcW w:w="6427" w:type="dxa"/>
            <w:vAlign w:val="center"/>
          </w:tcPr>
          <w:p>
            <w:pPr>
              <w:autoSpaceDN w:val="0"/>
              <w:rPr>
                <w:rFonts w:ascii="仿宋" w:hAnsi="仿宋" w:eastAsia="仿宋" w:cs="仿宋"/>
                <w:spacing w:val="4"/>
                <w:sz w:val="24"/>
                <w:szCs w:val="24"/>
              </w:rPr>
            </w:pPr>
            <w:r>
              <w:rPr>
                <w:rFonts w:ascii="仿宋" w:hAnsi="仿宋" w:eastAsia="仿宋"/>
                <w:sz w:val="24"/>
                <w:szCs w:val="24"/>
              </w:rPr>
              <w:t>响应文件</w:t>
            </w:r>
            <w:r>
              <w:rPr>
                <w:rFonts w:hint="eastAsia" w:ascii="仿宋" w:hAnsi="仿宋" w:eastAsia="仿宋"/>
                <w:sz w:val="24"/>
                <w:szCs w:val="24"/>
              </w:rPr>
              <w:t>的编制</w:t>
            </w:r>
            <w:r>
              <w:rPr>
                <w:rFonts w:ascii="仿宋" w:hAnsi="仿宋" w:eastAsia="仿宋"/>
                <w:sz w:val="24"/>
                <w:szCs w:val="24"/>
              </w:rPr>
              <w:t>：</w:t>
            </w:r>
            <w:r>
              <w:rPr>
                <w:rFonts w:hint="eastAsia" w:ascii="仿宋" w:hAnsi="仿宋" w:eastAsia="仿宋"/>
                <w:sz w:val="24"/>
                <w:szCs w:val="24"/>
              </w:rPr>
              <w:t>参与人所投响应文件应分为</w:t>
            </w:r>
            <w:r>
              <w:rPr>
                <w:rFonts w:hint="eastAsia" w:ascii="仿宋" w:hAnsi="仿宋" w:eastAsia="仿宋"/>
                <w:b/>
                <w:bCs/>
                <w:sz w:val="24"/>
                <w:szCs w:val="24"/>
              </w:rPr>
              <w:t>商务部分以及技术部分两个文件并且独立密封，提供</w:t>
            </w:r>
            <w:r>
              <w:rPr>
                <w:rFonts w:ascii="仿宋" w:hAnsi="仿宋" w:eastAsia="仿宋"/>
                <w:sz w:val="24"/>
                <w:szCs w:val="24"/>
              </w:rPr>
              <w:t>正本：</w:t>
            </w:r>
            <w:r>
              <w:rPr>
                <w:rFonts w:hint="eastAsia" w:ascii="仿宋" w:hAnsi="仿宋" w:eastAsia="仿宋"/>
                <w:sz w:val="24"/>
                <w:szCs w:val="24"/>
              </w:rPr>
              <w:t>一</w:t>
            </w:r>
            <w:r>
              <w:rPr>
                <w:rFonts w:ascii="仿宋" w:hAnsi="仿宋" w:eastAsia="仿宋"/>
                <w:sz w:val="24"/>
                <w:szCs w:val="24"/>
              </w:rPr>
              <w:t>份，副本：</w:t>
            </w:r>
            <w:r>
              <w:rPr>
                <w:rFonts w:hint="eastAsia" w:ascii="仿宋" w:hAnsi="仿宋" w:eastAsia="仿宋"/>
                <w:sz w:val="24"/>
                <w:szCs w:val="24"/>
              </w:rPr>
              <w:t>一</w:t>
            </w:r>
            <w:r>
              <w:rPr>
                <w:rFonts w:ascii="仿宋" w:hAnsi="仿宋" w:eastAsia="仿宋"/>
                <w:sz w:val="24"/>
                <w:szCs w:val="24"/>
              </w:rPr>
              <w:t>份</w:t>
            </w:r>
            <w:r>
              <w:rPr>
                <w:rFonts w:hint="eastAsia" w:ascii="仿宋" w:hAnsi="仿宋" w:eastAsia="仿宋"/>
                <w:sz w:val="24"/>
                <w:szCs w:val="24"/>
              </w:rPr>
              <w:t>，</w:t>
            </w:r>
            <w:r>
              <w:rPr>
                <w:rFonts w:ascii="仿宋" w:hAnsi="仿宋" w:eastAsia="仿宋"/>
                <w:sz w:val="24"/>
                <w:szCs w:val="24"/>
              </w:rPr>
              <w:t>文件必须用A4幅面纸张打印，应编制封面、目录、页码</w:t>
            </w:r>
            <w:r>
              <w:rPr>
                <w:rFonts w:hint="eastAsia" w:ascii="仿宋" w:hAnsi="仿宋" w:eastAsia="仿宋"/>
                <w:sz w:val="24"/>
                <w:szCs w:val="24"/>
              </w:rPr>
              <w:t>，</w:t>
            </w:r>
            <w:r>
              <w:rPr>
                <w:rFonts w:ascii="仿宋" w:hAnsi="仿宋" w:eastAsia="仿宋"/>
                <w:sz w:val="24"/>
                <w:szCs w:val="24"/>
              </w:rPr>
              <w:t>必须用线装或胶装（为永久性、无破坏不可拆分）装订成册，</w:t>
            </w:r>
            <w:r>
              <w:rPr>
                <w:rFonts w:ascii="仿宋" w:hAnsi="仿宋" w:eastAsia="仿宋"/>
                <w:b/>
                <w:sz w:val="24"/>
                <w:szCs w:val="24"/>
              </w:rPr>
              <w:t>在相应位置加盖公章</w:t>
            </w:r>
            <w:r>
              <w:rPr>
                <w:rFonts w:ascii="仿宋" w:hAnsi="仿宋" w:eastAsia="仿宋"/>
                <w:sz w:val="24"/>
                <w:szCs w:val="24"/>
              </w:rPr>
              <w:t>，副本内容可以用正本的完整复印件。</w:t>
            </w:r>
            <w:r>
              <w:rPr>
                <w:rFonts w:hint="eastAsia" w:ascii="仿宋" w:hAnsi="仿宋" w:eastAsia="仿宋"/>
                <w:sz w:val="24"/>
                <w:szCs w:val="24"/>
              </w:rPr>
              <w:t>响应</w:t>
            </w:r>
            <w:r>
              <w:rPr>
                <w:rFonts w:ascii="仿宋" w:hAnsi="仿宋" w:eastAsia="仿宋"/>
                <w:sz w:val="24"/>
                <w:szCs w:val="24"/>
              </w:rPr>
              <w:t>文件封面应标明“正本”、“副本”字样。正本与副本如有不一致，则以正本为准。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735" w:type="dxa"/>
            <w:vAlign w:val="center"/>
          </w:tcPr>
          <w:p>
            <w:pPr>
              <w:autoSpaceDN w:val="0"/>
              <w:jc w:val="center"/>
              <w:rPr>
                <w:rFonts w:ascii="仿宋" w:hAnsi="仿宋" w:eastAsia="仿宋" w:cs="仿宋"/>
                <w:bCs/>
                <w:spacing w:val="4"/>
                <w:sz w:val="24"/>
                <w:szCs w:val="24"/>
              </w:rPr>
            </w:pPr>
            <w:r>
              <w:rPr>
                <w:rFonts w:ascii="仿宋" w:hAnsi="仿宋" w:eastAsia="仿宋" w:cs="仿宋"/>
                <w:bCs/>
                <w:spacing w:val="4"/>
                <w:sz w:val="24"/>
                <w:szCs w:val="24"/>
              </w:rPr>
              <w:t>18</w:t>
            </w:r>
          </w:p>
        </w:tc>
        <w:tc>
          <w:tcPr>
            <w:tcW w:w="2761" w:type="dxa"/>
            <w:vAlign w:val="center"/>
          </w:tcPr>
          <w:p>
            <w:pPr>
              <w:autoSpaceDN w:val="0"/>
              <w:jc w:val="center"/>
              <w:rPr>
                <w:rFonts w:ascii="仿宋" w:hAnsi="仿宋" w:eastAsia="仿宋" w:cs="仿宋"/>
                <w:bCs/>
                <w:spacing w:val="4"/>
                <w:sz w:val="24"/>
                <w:szCs w:val="24"/>
              </w:rPr>
            </w:pPr>
            <w:bookmarkStart w:id="325" w:name="_Toc63258605"/>
            <w:bookmarkStart w:id="326" w:name="_Toc63258732"/>
            <w:bookmarkStart w:id="327" w:name="_Toc63258366"/>
            <w:bookmarkStart w:id="328" w:name="_Toc23008"/>
            <w:r>
              <w:rPr>
                <w:rFonts w:hint="eastAsia" w:ascii="仿宋" w:hAnsi="仿宋" w:eastAsia="仿宋" w:cs="仿宋"/>
                <w:bCs/>
                <w:spacing w:val="4"/>
                <w:sz w:val="24"/>
                <w:szCs w:val="24"/>
              </w:rPr>
              <w:t>响应文件</w:t>
            </w:r>
            <w:r>
              <w:rPr>
                <w:rFonts w:hint="eastAsia" w:ascii="仿宋" w:hAnsi="仿宋" w:eastAsia="仿宋" w:cs="仿宋"/>
                <w:sz w:val="24"/>
                <w:szCs w:val="24"/>
              </w:rPr>
              <w:t>递交截止时间</w:t>
            </w:r>
            <w:bookmarkEnd w:id="325"/>
            <w:bookmarkEnd w:id="326"/>
            <w:bookmarkEnd w:id="327"/>
            <w:bookmarkEnd w:id="328"/>
          </w:p>
        </w:tc>
        <w:tc>
          <w:tcPr>
            <w:tcW w:w="6427" w:type="dxa"/>
            <w:vAlign w:val="center"/>
          </w:tcPr>
          <w:p>
            <w:pPr>
              <w:autoSpaceDN w:val="0"/>
              <w:rPr>
                <w:rFonts w:ascii="仿宋" w:hAnsi="仿宋" w:eastAsia="仿宋" w:cs="仿宋"/>
                <w:spacing w:val="4"/>
                <w:sz w:val="24"/>
                <w:szCs w:val="24"/>
              </w:rPr>
            </w:pPr>
            <w:r>
              <w:rPr>
                <w:rFonts w:hint="eastAsia" w:ascii="仿宋" w:hAnsi="仿宋" w:eastAsia="仿宋" w:cs="仿宋"/>
                <w:spacing w:val="4"/>
                <w:sz w:val="24"/>
                <w:szCs w:val="24"/>
              </w:rPr>
              <w:t>详情见公开询价邀请函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735" w:type="dxa"/>
            <w:vAlign w:val="center"/>
          </w:tcPr>
          <w:p>
            <w:pPr>
              <w:autoSpaceDN w:val="0"/>
              <w:jc w:val="center"/>
              <w:rPr>
                <w:rFonts w:ascii="仿宋" w:hAnsi="仿宋" w:eastAsia="仿宋" w:cs="仿宋"/>
                <w:bCs/>
                <w:spacing w:val="4"/>
                <w:sz w:val="24"/>
                <w:szCs w:val="24"/>
              </w:rPr>
            </w:pPr>
            <w:r>
              <w:rPr>
                <w:rFonts w:ascii="仿宋" w:hAnsi="仿宋" w:eastAsia="仿宋" w:cs="仿宋"/>
                <w:bCs/>
                <w:spacing w:val="4"/>
                <w:sz w:val="24"/>
                <w:szCs w:val="24"/>
              </w:rPr>
              <w:t>19</w:t>
            </w:r>
          </w:p>
        </w:tc>
        <w:tc>
          <w:tcPr>
            <w:tcW w:w="2761" w:type="dxa"/>
            <w:vAlign w:val="center"/>
          </w:tcPr>
          <w:p>
            <w:pPr>
              <w:autoSpaceDN w:val="0"/>
              <w:jc w:val="center"/>
              <w:rPr>
                <w:rFonts w:ascii="仿宋" w:hAnsi="仿宋" w:eastAsia="仿宋" w:cs="仿宋"/>
                <w:bCs/>
                <w:spacing w:val="4"/>
                <w:sz w:val="24"/>
                <w:szCs w:val="24"/>
              </w:rPr>
            </w:pPr>
            <w:bookmarkStart w:id="329" w:name="_Toc29558"/>
            <w:bookmarkStart w:id="330" w:name="_Toc63258735"/>
            <w:bookmarkStart w:id="331" w:name="_Toc63258369"/>
            <w:bookmarkStart w:id="332" w:name="_Toc63258608"/>
            <w:r>
              <w:rPr>
                <w:rFonts w:hint="eastAsia" w:ascii="仿宋" w:hAnsi="仿宋" w:eastAsia="仿宋" w:cs="仿宋"/>
                <w:bCs/>
                <w:spacing w:val="4"/>
                <w:sz w:val="24"/>
                <w:szCs w:val="24"/>
              </w:rPr>
              <w:t>响应文件递交地点</w:t>
            </w:r>
            <w:bookmarkEnd w:id="329"/>
            <w:bookmarkEnd w:id="330"/>
            <w:bookmarkEnd w:id="331"/>
            <w:bookmarkEnd w:id="332"/>
          </w:p>
        </w:tc>
        <w:tc>
          <w:tcPr>
            <w:tcW w:w="6427" w:type="dxa"/>
            <w:vAlign w:val="center"/>
          </w:tcPr>
          <w:p>
            <w:pPr>
              <w:autoSpaceDN w:val="0"/>
              <w:rPr>
                <w:rFonts w:ascii="仿宋" w:hAnsi="仿宋" w:eastAsia="仿宋" w:cs="仿宋"/>
                <w:spacing w:val="4"/>
                <w:sz w:val="24"/>
                <w:szCs w:val="24"/>
              </w:rPr>
            </w:pPr>
            <w:r>
              <w:rPr>
                <w:rFonts w:hint="eastAsia" w:ascii="仿宋" w:hAnsi="仿宋" w:eastAsia="仿宋" w:cs="仿宋"/>
                <w:spacing w:val="4"/>
                <w:sz w:val="24"/>
                <w:szCs w:val="24"/>
              </w:rPr>
              <w:t>详情见公开询价邀请函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Align w:val="center"/>
          </w:tcPr>
          <w:p>
            <w:pPr>
              <w:autoSpaceDN w:val="0"/>
              <w:jc w:val="center"/>
              <w:rPr>
                <w:rFonts w:ascii="仿宋" w:hAnsi="仿宋" w:eastAsia="仿宋" w:cs="仿宋"/>
                <w:bCs/>
                <w:spacing w:val="4"/>
                <w:sz w:val="24"/>
                <w:szCs w:val="24"/>
              </w:rPr>
            </w:pPr>
            <w:r>
              <w:rPr>
                <w:rFonts w:ascii="仿宋" w:hAnsi="仿宋" w:eastAsia="仿宋" w:cs="仿宋"/>
                <w:bCs/>
                <w:spacing w:val="4"/>
                <w:sz w:val="24"/>
                <w:szCs w:val="24"/>
              </w:rPr>
              <w:t>20</w:t>
            </w:r>
          </w:p>
        </w:tc>
        <w:tc>
          <w:tcPr>
            <w:tcW w:w="2761" w:type="dxa"/>
            <w:vAlign w:val="center"/>
          </w:tcPr>
          <w:p>
            <w:pPr>
              <w:autoSpaceDN w:val="0"/>
              <w:jc w:val="center"/>
              <w:rPr>
                <w:rFonts w:ascii="仿宋" w:hAnsi="仿宋" w:eastAsia="仿宋" w:cs="仿宋"/>
                <w:bCs/>
                <w:spacing w:val="4"/>
                <w:sz w:val="24"/>
                <w:szCs w:val="24"/>
              </w:rPr>
            </w:pPr>
            <w:bookmarkStart w:id="333" w:name="_Toc63258371"/>
            <w:bookmarkStart w:id="334" w:name="_Toc63258610"/>
            <w:bookmarkStart w:id="335" w:name="_Toc63258737"/>
            <w:bookmarkStart w:id="336" w:name="_Toc26735"/>
            <w:r>
              <w:rPr>
                <w:rFonts w:hint="eastAsia" w:ascii="仿宋" w:hAnsi="仿宋" w:eastAsia="仿宋" w:cs="仿宋"/>
                <w:bCs/>
                <w:spacing w:val="4"/>
                <w:sz w:val="24"/>
                <w:szCs w:val="24"/>
              </w:rPr>
              <w:t>评审形式</w:t>
            </w:r>
            <w:bookmarkEnd w:id="333"/>
            <w:bookmarkEnd w:id="334"/>
            <w:bookmarkEnd w:id="335"/>
            <w:bookmarkEnd w:id="336"/>
          </w:p>
        </w:tc>
        <w:tc>
          <w:tcPr>
            <w:tcW w:w="6427" w:type="dxa"/>
            <w:vAlign w:val="center"/>
          </w:tcPr>
          <w:p>
            <w:pPr>
              <w:autoSpaceDN w:val="0"/>
              <w:rPr>
                <w:rFonts w:ascii="仿宋" w:hAnsi="仿宋" w:eastAsia="仿宋" w:cs="仿宋"/>
                <w:bCs/>
                <w:spacing w:val="4"/>
                <w:sz w:val="24"/>
                <w:szCs w:val="24"/>
              </w:rPr>
            </w:pPr>
            <w:r>
              <w:rPr>
                <w:rFonts w:hint="eastAsia" w:ascii="仿宋" w:hAnsi="仿宋" w:eastAsia="仿宋" w:cs="仿宋"/>
                <w:bCs/>
                <w:spacing w:val="4"/>
                <w:sz w:val="24"/>
                <w:szCs w:val="24"/>
              </w:rPr>
              <w:t>内部评审，不对外公开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07" w:hRule="atLeast"/>
          <w:jc w:val="center"/>
        </w:trPr>
        <w:tc>
          <w:tcPr>
            <w:tcW w:w="735" w:type="dxa"/>
            <w:vAlign w:val="center"/>
          </w:tcPr>
          <w:p>
            <w:pPr>
              <w:autoSpaceDN w:val="0"/>
              <w:jc w:val="center"/>
              <w:rPr>
                <w:rFonts w:ascii="仿宋" w:hAnsi="仿宋" w:eastAsia="仿宋" w:cs="仿宋"/>
                <w:bCs/>
                <w:spacing w:val="4"/>
                <w:sz w:val="24"/>
                <w:szCs w:val="24"/>
              </w:rPr>
            </w:pPr>
            <w:r>
              <w:rPr>
                <w:rFonts w:ascii="仿宋" w:hAnsi="仿宋" w:eastAsia="仿宋" w:cs="仿宋"/>
                <w:bCs/>
                <w:spacing w:val="4"/>
                <w:sz w:val="24"/>
                <w:szCs w:val="24"/>
              </w:rPr>
              <w:t>21</w:t>
            </w:r>
          </w:p>
        </w:tc>
        <w:tc>
          <w:tcPr>
            <w:tcW w:w="2761" w:type="dxa"/>
            <w:vAlign w:val="center"/>
          </w:tcPr>
          <w:p>
            <w:pPr>
              <w:autoSpaceDN w:val="0"/>
              <w:jc w:val="center"/>
              <w:rPr>
                <w:rFonts w:ascii="仿宋" w:hAnsi="仿宋" w:eastAsia="仿宋" w:cs="仿宋"/>
                <w:bCs/>
                <w:spacing w:val="4"/>
                <w:sz w:val="24"/>
                <w:szCs w:val="24"/>
              </w:rPr>
            </w:pPr>
            <w:r>
              <w:rPr>
                <w:rFonts w:hint="eastAsia" w:ascii="仿宋" w:hAnsi="仿宋" w:eastAsia="仿宋"/>
                <w:sz w:val="24"/>
                <w:szCs w:val="24"/>
              </w:rPr>
              <w:t>评审程序和方法</w:t>
            </w:r>
          </w:p>
        </w:tc>
        <w:tc>
          <w:tcPr>
            <w:tcW w:w="6427" w:type="dxa"/>
            <w:vAlign w:val="center"/>
          </w:tcPr>
          <w:p>
            <w:pPr>
              <w:spacing w:after="0" w:line="400" w:lineRule="exact"/>
              <w:rPr>
                <w:rFonts w:ascii="仿宋" w:hAnsi="仿宋" w:eastAsia="仿宋"/>
                <w:sz w:val="24"/>
                <w:szCs w:val="24"/>
              </w:rPr>
            </w:pPr>
            <w:bookmarkStart w:id="337" w:name="_Toc29580316"/>
            <w:bookmarkStart w:id="338" w:name="_Toc472512816"/>
            <w:r>
              <w:rPr>
                <w:rFonts w:hint="eastAsia" w:ascii="仿宋" w:hAnsi="仿宋" w:eastAsia="仿宋" w:cs="仿宋"/>
                <w:sz w:val="24"/>
                <w:szCs w:val="24"/>
              </w:rPr>
              <w:t>综合评定法，不进行现场确定成交单位，最低响应价不作为成交的保证</w:t>
            </w:r>
            <w:bookmarkEnd w:id="337"/>
            <w:bookmarkEnd w:id="338"/>
            <w:r>
              <w:rPr>
                <w:rFonts w:hint="eastAsia" w:ascii="仿宋" w:hAnsi="仿宋" w:eastAsia="仿宋" w:cs="仿宋"/>
                <w:sz w:val="24"/>
                <w:szCs w:val="24"/>
              </w:rPr>
              <w:t>。</w:t>
            </w:r>
            <w:r>
              <w:rPr>
                <w:rFonts w:hint="eastAsia" w:ascii="仿宋" w:hAnsi="仿宋" w:eastAsia="仿宋"/>
                <w:sz w:val="24"/>
                <w:szCs w:val="24"/>
              </w:rPr>
              <w:t>评审程序和方法：</w:t>
            </w:r>
          </w:p>
          <w:p>
            <w:pPr>
              <w:spacing w:after="0" w:line="400" w:lineRule="exact"/>
              <w:rPr>
                <w:rFonts w:ascii="仿宋" w:hAnsi="仿宋" w:eastAsia="仿宋"/>
                <w:sz w:val="24"/>
                <w:szCs w:val="24"/>
              </w:rPr>
            </w:pPr>
            <w:r>
              <w:rPr>
                <w:rFonts w:hint="eastAsia" w:ascii="仿宋" w:hAnsi="仿宋" w:eastAsia="仿宋"/>
                <w:sz w:val="24"/>
                <w:szCs w:val="24"/>
              </w:rPr>
              <w:t>（一）、评审程序（专家按如下程序进行评审）：</w:t>
            </w:r>
          </w:p>
          <w:p>
            <w:pPr>
              <w:spacing w:after="0" w:line="400" w:lineRule="exact"/>
              <w:rPr>
                <w:rFonts w:ascii="仿宋" w:hAnsi="仿宋" w:eastAsia="仿宋"/>
                <w:sz w:val="24"/>
                <w:szCs w:val="24"/>
              </w:rPr>
            </w:pPr>
            <w:r>
              <w:rPr>
                <w:rFonts w:hint="eastAsia" w:ascii="仿宋" w:hAnsi="仿宋" w:eastAsia="仿宋"/>
                <w:sz w:val="24"/>
                <w:szCs w:val="24"/>
              </w:rPr>
              <w:t>技术审查：经评审小组审定有任何超过三项不符合《竞争性磋商货物一览表》中的功能要求的（注：重点指标不符合可以直接认为技术参数不符合），或由于参与人较多，采购人有可能淘汰技术分排名靠后的参与人。技术部分被淘汰的参与人不进入下一程序，其商务部分报价不做为有效报价。合格参与人没有达到三家及以上不进入下一程序，采购人将另行寻找合格供应商直至满足三家，或采取其它采购方式采购。</w:t>
            </w:r>
          </w:p>
          <w:p>
            <w:pPr>
              <w:spacing w:after="0" w:line="400" w:lineRule="exact"/>
              <w:rPr>
                <w:rFonts w:ascii="仿宋" w:hAnsi="仿宋" w:eastAsia="仿宋"/>
                <w:sz w:val="24"/>
                <w:szCs w:val="24"/>
              </w:rPr>
            </w:pPr>
            <w:r>
              <w:rPr>
                <w:rFonts w:hint="eastAsia" w:ascii="仿宋" w:hAnsi="仿宋" w:eastAsia="仿宋"/>
                <w:sz w:val="24"/>
                <w:szCs w:val="24"/>
              </w:rPr>
              <w:t>商务审查：评审小组按商务部分或资质要求对参加竞争性磋商参与人提供的各类材料各项指标逐项评审，包括但不限于以下内容：</w:t>
            </w:r>
          </w:p>
          <w:p>
            <w:pPr>
              <w:spacing w:after="0" w:line="400" w:lineRule="exact"/>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rPr>
              <w:tab/>
            </w:r>
            <w:r>
              <w:rPr>
                <w:rFonts w:hint="eastAsia" w:ascii="仿宋" w:hAnsi="仿宋" w:eastAsia="仿宋"/>
                <w:sz w:val="24"/>
                <w:szCs w:val="24"/>
              </w:rPr>
              <w:t>价格的组成是否符合采购人要求。</w:t>
            </w:r>
          </w:p>
          <w:p>
            <w:pPr>
              <w:spacing w:after="0" w:line="400" w:lineRule="exact"/>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rPr>
              <w:tab/>
            </w:r>
            <w:r>
              <w:rPr>
                <w:rFonts w:hint="eastAsia" w:ascii="仿宋" w:hAnsi="仿宋" w:eastAsia="仿宋"/>
                <w:sz w:val="24"/>
                <w:szCs w:val="24"/>
              </w:rPr>
              <w:t>质保期是否满足竞争性磋商要求。</w:t>
            </w:r>
          </w:p>
          <w:p>
            <w:pPr>
              <w:spacing w:after="0" w:line="400" w:lineRule="exact"/>
              <w:rPr>
                <w:rFonts w:ascii="仿宋" w:hAnsi="仿宋" w:eastAsia="仿宋"/>
                <w:sz w:val="24"/>
                <w:szCs w:val="24"/>
              </w:rPr>
            </w:pPr>
            <w:r>
              <w:rPr>
                <w:rFonts w:hint="eastAsia" w:ascii="仿宋" w:hAnsi="仿宋" w:eastAsia="仿宋"/>
                <w:sz w:val="24"/>
                <w:szCs w:val="24"/>
              </w:rPr>
              <w:t>3、交货期是否满足竞争性磋商要求。</w:t>
            </w:r>
          </w:p>
          <w:p>
            <w:pPr>
              <w:spacing w:after="0" w:line="400" w:lineRule="exact"/>
              <w:rPr>
                <w:rFonts w:ascii="仿宋" w:hAnsi="仿宋" w:eastAsia="仿宋"/>
                <w:sz w:val="24"/>
                <w:szCs w:val="24"/>
              </w:rPr>
            </w:pPr>
            <w:r>
              <w:rPr>
                <w:rFonts w:hint="eastAsia" w:ascii="仿宋" w:hAnsi="仿宋" w:eastAsia="仿宋"/>
                <w:sz w:val="24"/>
                <w:szCs w:val="24"/>
              </w:rPr>
              <w:t>以上审查一旦发现有弄虚作假/围标/串标等行为取消该次资格，五年内不得参加采购单位任何项目投标。</w:t>
            </w:r>
          </w:p>
          <w:p>
            <w:pPr>
              <w:spacing w:after="0" w:line="400" w:lineRule="exact"/>
              <w:rPr>
                <w:rFonts w:ascii="仿宋" w:hAnsi="仿宋" w:eastAsia="仿宋"/>
                <w:sz w:val="24"/>
                <w:szCs w:val="24"/>
              </w:rPr>
            </w:pPr>
            <w:r>
              <w:rPr>
                <w:rFonts w:hint="eastAsia" w:ascii="仿宋" w:hAnsi="仿宋" w:eastAsia="仿宋"/>
                <w:sz w:val="24"/>
                <w:szCs w:val="24"/>
              </w:rPr>
              <w:t>（二）、评审方法：</w:t>
            </w:r>
          </w:p>
          <w:p>
            <w:pPr>
              <w:spacing w:after="0" w:line="400" w:lineRule="exact"/>
              <w:rPr>
                <w:rFonts w:ascii="仿宋" w:hAnsi="仿宋" w:eastAsia="仿宋"/>
                <w:sz w:val="24"/>
                <w:szCs w:val="24"/>
              </w:rPr>
            </w:pPr>
            <w:r>
              <w:rPr>
                <w:rFonts w:hint="eastAsia" w:ascii="仿宋" w:hAnsi="仿宋" w:eastAsia="仿宋"/>
                <w:sz w:val="24"/>
                <w:szCs w:val="24"/>
              </w:rPr>
              <w:t>1、本项目为自有资金而非财政性资金采购，采购人按企业内部规定的“综合评审法”进行评审（详情见</w:t>
            </w:r>
            <w:r>
              <w:rPr>
                <w:rFonts w:ascii="仿宋" w:hAnsi="仿宋" w:eastAsia="仿宋"/>
                <w:sz w:val="24"/>
                <w:szCs w:val="24"/>
              </w:rPr>
              <w:t>18.3</w:t>
            </w:r>
            <w:r>
              <w:rPr>
                <w:rFonts w:hint="eastAsia" w:ascii="仿宋" w:hAnsi="仿宋" w:eastAsia="仿宋"/>
                <w:sz w:val="24"/>
                <w:szCs w:val="24"/>
              </w:rPr>
              <w:t>）。</w:t>
            </w:r>
          </w:p>
          <w:p>
            <w:pPr>
              <w:rPr>
                <w:rFonts w:ascii="仿宋" w:hAnsi="仿宋" w:eastAsia="仿宋" w:cs="仿宋"/>
                <w:sz w:val="24"/>
                <w:szCs w:val="24"/>
              </w:rPr>
            </w:pPr>
            <w:r>
              <w:rPr>
                <w:rFonts w:hint="eastAsia" w:ascii="仿宋" w:hAnsi="仿宋" w:eastAsia="仿宋"/>
                <w:sz w:val="24"/>
                <w:szCs w:val="24"/>
              </w:rPr>
              <w:t>2、无论采购人采用何种评审方法，均有可能会进行多轮磋商。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35" w:type="dxa"/>
            <w:vAlign w:val="center"/>
          </w:tcPr>
          <w:p>
            <w:pPr>
              <w:autoSpaceDN w:val="0"/>
              <w:jc w:val="center"/>
              <w:rPr>
                <w:rFonts w:ascii="仿宋" w:hAnsi="仿宋" w:eastAsia="仿宋" w:cs="仿宋"/>
                <w:bCs/>
                <w:spacing w:val="4"/>
                <w:sz w:val="24"/>
                <w:szCs w:val="24"/>
              </w:rPr>
            </w:pPr>
            <w:r>
              <w:rPr>
                <w:rFonts w:ascii="仿宋" w:hAnsi="仿宋" w:eastAsia="仿宋" w:cs="仿宋"/>
                <w:bCs/>
                <w:spacing w:val="4"/>
                <w:sz w:val="24"/>
                <w:szCs w:val="24"/>
              </w:rPr>
              <w:t>22</w:t>
            </w:r>
          </w:p>
        </w:tc>
        <w:tc>
          <w:tcPr>
            <w:tcW w:w="2761" w:type="dxa"/>
            <w:vAlign w:val="center"/>
          </w:tcPr>
          <w:p>
            <w:pPr>
              <w:autoSpaceDN w:val="0"/>
              <w:jc w:val="center"/>
              <w:rPr>
                <w:rFonts w:ascii="仿宋" w:hAnsi="仿宋" w:eastAsia="仿宋" w:cs="仿宋"/>
                <w:bCs/>
                <w:spacing w:val="4"/>
                <w:sz w:val="24"/>
                <w:szCs w:val="24"/>
              </w:rPr>
            </w:pPr>
            <w:bookmarkStart w:id="339" w:name="_Toc10919"/>
            <w:bookmarkStart w:id="340" w:name="_Toc63258376"/>
            <w:bookmarkStart w:id="341" w:name="_Toc63258615"/>
            <w:bookmarkStart w:id="342" w:name="_Toc63258742"/>
            <w:r>
              <w:rPr>
                <w:rFonts w:hint="eastAsia" w:ascii="仿宋" w:hAnsi="仿宋" w:eastAsia="仿宋" w:cs="仿宋"/>
                <w:bCs/>
                <w:spacing w:val="4"/>
                <w:sz w:val="24"/>
                <w:szCs w:val="24"/>
              </w:rPr>
              <w:t>磋商时间和地点</w:t>
            </w:r>
            <w:bookmarkEnd w:id="339"/>
            <w:bookmarkEnd w:id="340"/>
            <w:bookmarkEnd w:id="341"/>
            <w:bookmarkEnd w:id="342"/>
          </w:p>
        </w:tc>
        <w:tc>
          <w:tcPr>
            <w:tcW w:w="6427" w:type="dxa"/>
            <w:vAlign w:val="center"/>
          </w:tcPr>
          <w:p>
            <w:pPr>
              <w:spacing w:after="0" w:line="460" w:lineRule="exact"/>
              <w:jc w:val="left"/>
              <w:rPr>
                <w:rFonts w:ascii="仿宋" w:hAnsi="仿宋" w:eastAsia="仿宋"/>
                <w:sz w:val="24"/>
                <w:szCs w:val="24"/>
              </w:rPr>
            </w:pPr>
            <w:r>
              <w:rPr>
                <w:rFonts w:hint="eastAsia" w:ascii="仿宋" w:hAnsi="仿宋" w:eastAsia="仿宋" w:cs="仿宋"/>
                <w:spacing w:val="4"/>
                <w:sz w:val="24"/>
                <w:szCs w:val="24"/>
              </w:rPr>
              <w:t>详情见公开询价邀请函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35" w:type="dxa"/>
            <w:vAlign w:val="center"/>
          </w:tcPr>
          <w:p>
            <w:pPr>
              <w:autoSpaceDN w:val="0"/>
              <w:jc w:val="center"/>
              <w:rPr>
                <w:rFonts w:ascii="仿宋" w:hAnsi="仿宋" w:eastAsia="仿宋" w:cs="仿宋"/>
                <w:bCs/>
                <w:spacing w:val="4"/>
                <w:sz w:val="24"/>
                <w:szCs w:val="24"/>
              </w:rPr>
            </w:pPr>
            <w:r>
              <w:rPr>
                <w:rFonts w:ascii="仿宋" w:hAnsi="仿宋" w:eastAsia="仿宋" w:cs="仿宋"/>
                <w:bCs/>
                <w:spacing w:val="4"/>
                <w:sz w:val="24"/>
                <w:szCs w:val="24"/>
              </w:rPr>
              <w:t>23</w:t>
            </w:r>
          </w:p>
        </w:tc>
        <w:tc>
          <w:tcPr>
            <w:tcW w:w="2761" w:type="dxa"/>
            <w:vAlign w:val="center"/>
          </w:tcPr>
          <w:p>
            <w:pPr>
              <w:autoSpaceDN w:val="0"/>
              <w:rPr>
                <w:rFonts w:ascii="仿宋" w:hAnsi="仿宋" w:eastAsia="仿宋" w:cs="仿宋"/>
                <w:bCs/>
                <w:spacing w:val="4"/>
                <w:sz w:val="24"/>
                <w:szCs w:val="24"/>
              </w:rPr>
            </w:pPr>
            <w:r>
              <w:rPr>
                <w:rFonts w:hint="eastAsia" w:ascii="仿宋" w:hAnsi="仿宋" w:eastAsia="仿宋" w:cs="仿宋"/>
                <w:bCs/>
                <w:spacing w:val="4"/>
                <w:sz w:val="24"/>
                <w:szCs w:val="24"/>
              </w:rPr>
              <w:t>其他</w:t>
            </w:r>
          </w:p>
        </w:tc>
        <w:tc>
          <w:tcPr>
            <w:tcW w:w="6427" w:type="dxa"/>
            <w:vAlign w:val="center"/>
          </w:tcPr>
          <w:p>
            <w:pPr>
              <w:autoSpaceDN w:val="0"/>
              <w:rPr>
                <w:rFonts w:ascii="仿宋" w:hAnsi="仿宋" w:eastAsia="仿宋" w:cs="仿宋"/>
                <w:bCs/>
                <w:spacing w:val="4"/>
                <w:sz w:val="24"/>
                <w:szCs w:val="24"/>
              </w:rPr>
            </w:pPr>
            <w:r>
              <w:rPr>
                <w:rFonts w:hint="eastAsia" w:ascii="仿宋" w:hAnsi="仿宋" w:eastAsia="仿宋" w:cs="仿宋"/>
                <w:bCs/>
                <w:spacing w:val="4"/>
                <w:sz w:val="24"/>
                <w:szCs w:val="24"/>
              </w:rPr>
              <w:t>无</w:t>
            </w:r>
          </w:p>
        </w:tc>
      </w:tr>
    </w:tbl>
    <w:p>
      <w:pPr>
        <w:pStyle w:val="55"/>
        <w:spacing w:after="0" w:line="500" w:lineRule="exact"/>
        <w:ind w:left="7371" w:firstLine="0" w:firstLineChars="0"/>
        <w:jc w:val="left"/>
        <w:rPr>
          <w:rFonts w:ascii="仿宋" w:hAnsi="仿宋" w:eastAsia="仿宋"/>
          <w:sz w:val="24"/>
          <w:szCs w:val="24"/>
        </w:rPr>
      </w:pPr>
    </w:p>
    <w:p>
      <w:pPr>
        <w:rPr>
          <w:rFonts w:ascii="仿宋" w:hAnsi="仿宋" w:eastAsia="仿宋"/>
          <w:b/>
          <w:sz w:val="44"/>
          <w:szCs w:val="44"/>
        </w:rPr>
        <w:sectPr>
          <w:headerReference r:id="rId7" w:type="first"/>
          <w:pgSz w:w="11906" w:h="16838"/>
          <w:pgMar w:top="1440" w:right="1416" w:bottom="1440" w:left="1134" w:header="851" w:footer="227" w:gutter="0"/>
          <w:cols w:space="425" w:num="1"/>
          <w:titlePg/>
          <w:docGrid w:type="lines" w:linePitch="312" w:charSpace="0"/>
        </w:sectPr>
      </w:pPr>
    </w:p>
    <w:p>
      <w:pPr>
        <w:jc w:val="center"/>
        <w:rPr>
          <w:rFonts w:ascii="仿宋" w:hAnsi="仿宋" w:eastAsia="仿宋"/>
          <w:sz w:val="28"/>
          <w:szCs w:val="28"/>
        </w:rPr>
      </w:pPr>
      <w:r>
        <w:rPr>
          <w:rFonts w:hint="eastAsia" w:ascii="仿宋" w:hAnsi="仿宋" w:eastAsia="仿宋"/>
          <w:b/>
          <w:sz w:val="44"/>
          <w:szCs w:val="44"/>
        </w:rPr>
        <w:t>公开询价清单一览表</w:t>
      </w:r>
      <w:bookmarkEnd w:id="49"/>
    </w:p>
    <w:p>
      <w:pPr>
        <w:spacing w:line="420" w:lineRule="exact"/>
        <w:jc w:val="center"/>
        <w:rPr>
          <w:rFonts w:ascii="仿宋" w:hAnsi="仿宋" w:eastAsia="仿宋"/>
          <w:b/>
          <w:sz w:val="32"/>
          <w:szCs w:val="32"/>
        </w:rPr>
      </w:pPr>
    </w:p>
    <w:tbl>
      <w:tblPr>
        <w:tblStyle w:val="24"/>
        <w:tblW w:w="14865" w:type="dxa"/>
        <w:tblInd w:w="-426" w:type="dxa"/>
        <w:tblLayout w:type="autofit"/>
        <w:tblCellMar>
          <w:top w:w="0" w:type="dxa"/>
          <w:left w:w="108" w:type="dxa"/>
          <w:bottom w:w="0" w:type="dxa"/>
          <w:right w:w="108" w:type="dxa"/>
        </w:tblCellMar>
      </w:tblPr>
      <w:tblGrid>
        <w:gridCol w:w="875"/>
        <w:gridCol w:w="1892"/>
        <w:gridCol w:w="5411"/>
        <w:gridCol w:w="875"/>
        <w:gridCol w:w="1742"/>
        <w:gridCol w:w="2320"/>
        <w:gridCol w:w="875"/>
        <w:gridCol w:w="875"/>
      </w:tblGrid>
      <w:tr>
        <w:tblPrEx>
          <w:tblCellMar>
            <w:top w:w="0" w:type="dxa"/>
            <w:left w:w="108" w:type="dxa"/>
            <w:bottom w:w="0" w:type="dxa"/>
            <w:right w:w="108" w:type="dxa"/>
          </w:tblCellMar>
        </w:tblPrEx>
        <w:trPr>
          <w:trHeight w:val="860" w:hRule="atLeast"/>
        </w:trPr>
        <w:tc>
          <w:tcPr>
            <w:tcW w:w="14865" w:type="dxa"/>
            <w:gridSpan w:val="8"/>
            <w:tcBorders>
              <w:top w:val="nil"/>
              <w:left w:val="nil"/>
              <w:bottom w:val="nil"/>
              <w:right w:val="nil"/>
            </w:tcBorders>
            <w:shd w:val="clear" w:color="auto" w:fill="auto"/>
            <w:noWrap/>
            <w:vAlign w:val="center"/>
          </w:tcPr>
          <w:p>
            <w:pPr>
              <w:jc w:val="center"/>
              <w:textAlignment w:val="center"/>
              <w:rPr>
                <w:rFonts w:ascii="仿宋" w:hAnsi="仿宋" w:eastAsia="仿宋" w:cs="宋体"/>
                <w:b/>
                <w:bCs/>
                <w:sz w:val="21"/>
                <w:szCs w:val="21"/>
              </w:rPr>
            </w:pPr>
            <w:r>
              <w:rPr>
                <w:rFonts w:hint="eastAsia" w:ascii="仿宋" w:hAnsi="仿宋" w:eastAsia="仿宋" w:cs="宋体"/>
                <w:b/>
                <w:bCs/>
                <w:sz w:val="24"/>
                <w:szCs w:val="24"/>
                <w:lang w:bidi="ar"/>
              </w:rPr>
              <w:t>江西科技学院十期桩基工程量清单表</w:t>
            </w:r>
          </w:p>
        </w:tc>
      </w:tr>
      <w:tr>
        <w:tblPrEx>
          <w:tblCellMar>
            <w:top w:w="0" w:type="dxa"/>
            <w:left w:w="108" w:type="dxa"/>
            <w:bottom w:w="0" w:type="dxa"/>
            <w:right w:w="108" w:type="dxa"/>
          </w:tblCellMar>
        </w:tblPrEx>
        <w:trPr>
          <w:trHeight w:val="5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序号</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项目特征</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单位</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暂定工程量</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全费用综合单价</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合价</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备注</w:t>
            </w:r>
          </w:p>
        </w:tc>
      </w:tr>
      <w:tr>
        <w:tblPrEx>
          <w:tblCellMar>
            <w:top w:w="0" w:type="dxa"/>
            <w:left w:w="108" w:type="dxa"/>
            <w:bottom w:w="0" w:type="dxa"/>
            <w:right w:w="108" w:type="dxa"/>
          </w:tblCellMar>
        </w:tblPrEx>
        <w:trPr>
          <w:trHeight w:val="3116"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1</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Φ800以下回旋钻孔灌注桩（水下商品碎石砼C40）</w:t>
            </w:r>
          </w:p>
        </w:tc>
        <w:tc>
          <w:tcPr>
            <w:tcW w:w="5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宋体"/>
                <w:sz w:val="21"/>
                <w:szCs w:val="21"/>
              </w:rPr>
            </w:pPr>
            <w:r>
              <w:rPr>
                <w:rFonts w:hint="eastAsia" w:ascii="仿宋" w:hAnsi="仿宋" w:eastAsia="仿宋" w:cs="宋体"/>
                <w:sz w:val="21"/>
                <w:szCs w:val="21"/>
                <w:lang w:bidi="ar"/>
              </w:rPr>
              <w:t>包括但不限于以下内容：</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1、报价清单已含成孔、护壁、混凝土浇筑、穿透夹层入岩增加费、泥浆池及沟槽施工/泥浆制作、泥浆翻晒及场内堆放，桩验收、地下障碍物清除及相关护筒固壁措施，施工道路垫设，桩基机械进出场等；</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2、不区分桩基受力类型；</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3、充盈系数投标单位自行综合考虑；</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4、现场安全文明施工措施，对周边环境影响的监测，与桩基检测单位、总包单位的相关配合工作等一切辅助工作和包括人工、材料、机械、管理、价格波动等风险、利润、措施费、规费及税金等一切有关费用；</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5、工地周边村民及其他地方干扰引起的费用、城管及政府其他部门的协调费。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m</w:t>
            </w:r>
            <w:r>
              <w:rPr>
                <w:rFonts w:ascii="Calibri" w:hAnsi="Calibri" w:eastAsia="仿宋" w:cs="Calibri"/>
                <w:sz w:val="21"/>
                <w:szCs w:val="21"/>
                <w:lang w:bidi="ar"/>
              </w:rPr>
              <w:t>³</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ascii="仿宋" w:hAnsi="仿宋" w:eastAsia="仿宋" w:cs="宋体"/>
                <w:sz w:val="21"/>
                <w:szCs w:val="21"/>
                <w:lang w:bidi="ar"/>
              </w:rPr>
              <w:t>7911.05</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22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2</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钢筋笼</w:t>
            </w:r>
          </w:p>
        </w:tc>
        <w:tc>
          <w:tcPr>
            <w:tcW w:w="5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宋体"/>
                <w:sz w:val="21"/>
                <w:szCs w:val="21"/>
              </w:rPr>
            </w:pPr>
            <w:r>
              <w:rPr>
                <w:rFonts w:hint="eastAsia" w:ascii="仿宋" w:hAnsi="仿宋" w:eastAsia="仿宋" w:cs="宋体"/>
                <w:sz w:val="21"/>
                <w:szCs w:val="21"/>
                <w:lang w:bidi="ar"/>
              </w:rPr>
              <w:t>包括但不限于以下内容：</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1、钢筋笼的钢筋供应及加工制作、运输、连接及吊车吊装；</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2、现场安全文明施工措施，对周边环境影响的监测，与桩基检测单位、总包单位的相关配合工作等一切辅助工作和包括人工、材料、机械、管理、价格波动等风险、利润、措施费、规费及税金等一切有关费用；</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3、工地周边村民及其他地方干扰引起的费用、城管及政府其他部门的协调费。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ascii="仿宋" w:hAnsi="仿宋" w:eastAsia="仿宋" w:cs="宋体"/>
                <w:sz w:val="21"/>
                <w:szCs w:val="21"/>
                <w:lang w:bidi="ar"/>
              </w:rPr>
              <w:t>260.35</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900" w:hRule="atLeast"/>
        </w:trPr>
        <w:tc>
          <w:tcPr>
            <w:tcW w:w="14865" w:type="dxa"/>
            <w:gridSpan w:val="8"/>
            <w:tcBorders>
              <w:top w:val="nil"/>
              <w:left w:val="nil"/>
              <w:bottom w:val="nil"/>
              <w:right w:val="nil"/>
            </w:tcBorders>
            <w:shd w:val="clear" w:color="auto" w:fill="auto"/>
          </w:tcPr>
          <w:p>
            <w:pPr>
              <w:jc w:val="left"/>
              <w:textAlignment w:val="top"/>
              <w:rPr>
                <w:rFonts w:ascii="仿宋" w:hAnsi="仿宋" w:eastAsia="仿宋" w:cs="宋体"/>
                <w:sz w:val="21"/>
                <w:szCs w:val="21"/>
              </w:rPr>
            </w:pPr>
            <w:r>
              <w:rPr>
                <w:rFonts w:hint="eastAsia" w:ascii="仿宋" w:hAnsi="仿宋" w:eastAsia="仿宋" w:cs="宋体"/>
                <w:sz w:val="21"/>
                <w:szCs w:val="21"/>
                <w:lang w:bidi="ar"/>
              </w:rPr>
              <w:t>说明：1、工程量计算规则：《建设工程工程量清单计价规范》（GB50500-2013）及相应配套的工程量计算规范；</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 xml:space="preserve">      2、此报价清单不含泥浆外运（基坑内），但需翻晒且达到土方环保外运条件；</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 xml:space="preserve">      3、设计桩长约为38-40米，具体数据以设计图纸为准。</w:t>
            </w: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7"/>
        </w:numPr>
        <w:spacing w:after="0" w:line="440" w:lineRule="exact"/>
        <w:rPr>
          <w:rFonts w:ascii="仿宋" w:hAnsi="仿宋" w:eastAsia="仿宋"/>
          <w:bCs/>
          <w:sz w:val="24"/>
          <w:szCs w:val="24"/>
        </w:rPr>
        <w:sectPr>
          <w:pgSz w:w="16838" w:h="11906" w:orient="landscape"/>
          <w:pgMar w:top="1134" w:right="1440" w:bottom="1416" w:left="1440" w:header="851" w:footer="227" w:gutter="0"/>
          <w:cols w:space="425" w:num="1"/>
          <w:titlePg/>
          <w:docGrid w:type="lines" w:linePitch="312" w:charSpace="0"/>
        </w:sectPr>
      </w:pPr>
      <w:r>
        <w:rPr>
          <w:rFonts w:hint="eastAsia" w:ascii="仿宋" w:hAnsi="仿宋" w:eastAsia="仿宋"/>
          <w:bCs/>
          <w:sz w:val="24"/>
          <w:szCs w:val="24"/>
        </w:rPr>
        <w:t>参与人所投商品报价应包含税费、运输费、搬运费、整体实施、安装调试费、售后服务等一切费用。</w:t>
      </w:r>
    </w:p>
    <w:p>
      <w:pPr>
        <w:spacing w:after="0" w:line="440" w:lineRule="exact"/>
        <w:ind w:left="420"/>
        <w:rPr>
          <w:rFonts w:ascii="仿宋" w:hAnsi="仿宋" w:eastAsia="仿宋"/>
          <w:bCs/>
          <w:sz w:val="24"/>
          <w:szCs w:val="24"/>
        </w:rPr>
      </w:pPr>
    </w:p>
    <w:p>
      <w:pPr>
        <w:pStyle w:val="55"/>
        <w:spacing w:after="0" w:line="500" w:lineRule="exact"/>
        <w:ind w:left="851" w:firstLine="0" w:firstLineChars="0"/>
        <w:jc w:val="center"/>
        <w:rPr>
          <w:rFonts w:ascii="仿宋" w:hAnsi="仿宋" w:eastAsia="仿宋"/>
          <w:b/>
          <w:sz w:val="44"/>
          <w:szCs w:val="44"/>
        </w:rPr>
      </w:pPr>
      <w:r>
        <w:rPr>
          <w:rFonts w:hint="eastAsia" w:ascii="仿宋" w:hAnsi="仿宋" w:eastAsia="仿宋"/>
          <w:b/>
          <w:sz w:val="44"/>
          <w:szCs w:val="44"/>
        </w:rPr>
        <w:t>计价原则</w:t>
      </w:r>
    </w:p>
    <w:p>
      <w:pPr>
        <w:spacing w:after="0" w:line="440" w:lineRule="exact"/>
        <w:jc w:val="center"/>
        <w:rPr>
          <w:rFonts w:ascii="仿宋" w:hAnsi="仿宋" w:eastAsia="仿宋"/>
          <w:sz w:val="24"/>
          <w:szCs w:val="24"/>
        </w:rPr>
      </w:pPr>
    </w:p>
    <w:p>
      <w:pPr>
        <w:jc w:val="left"/>
        <w:rPr>
          <w:rFonts w:ascii="仿宋" w:hAnsi="仿宋" w:eastAsia="仿宋"/>
        </w:rPr>
      </w:pPr>
      <w:r>
        <w:rPr>
          <w:rFonts w:ascii="仿宋" w:hAnsi="仿宋" w:eastAsia="仿宋" w:cs="仿宋"/>
          <w:b/>
          <w:sz w:val="24"/>
          <w:szCs w:val="24"/>
          <w:lang w:bidi="ar"/>
        </w:rPr>
        <w:t xml:space="preserve">磋商报价内容 </w:t>
      </w:r>
    </w:p>
    <w:p>
      <w:pPr>
        <w:pStyle w:val="55"/>
        <w:spacing w:after="0" w:line="440" w:lineRule="exact"/>
        <w:ind w:firstLine="424" w:firstLineChars="177"/>
        <w:rPr>
          <w:rFonts w:ascii="仿宋" w:hAnsi="仿宋" w:eastAsia="仿宋"/>
          <w:sz w:val="24"/>
          <w:szCs w:val="24"/>
        </w:rPr>
      </w:pPr>
      <w:r>
        <w:rPr>
          <w:rFonts w:hint="eastAsia" w:ascii="仿宋" w:hAnsi="仿宋" w:eastAsia="仿宋"/>
          <w:sz w:val="24"/>
          <w:szCs w:val="24"/>
        </w:rPr>
        <w:t xml:space="preserve">1 磋商报价应包括磋商文件所确定的承包范围内施工图纸和工程量清单内所包含的全部内容，以及为完成上述内容所需的全部费用，其根据为参与人提交的已标价的工程量清单及附表。 </w:t>
      </w:r>
    </w:p>
    <w:p>
      <w:pPr>
        <w:pStyle w:val="55"/>
        <w:spacing w:after="0" w:line="440" w:lineRule="exact"/>
        <w:ind w:firstLine="424" w:firstLineChars="177"/>
        <w:rPr>
          <w:rFonts w:ascii="仿宋" w:hAnsi="仿宋" w:eastAsia="仿宋"/>
          <w:sz w:val="24"/>
          <w:szCs w:val="24"/>
        </w:rPr>
      </w:pPr>
      <w:r>
        <w:rPr>
          <w:rFonts w:hint="eastAsia" w:ascii="仿宋" w:hAnsi="仿宋" w:eastAsia="仿宋"/>
          <w:sz w:val="24"/>
          <w:szCs w:val="24"/>
        </w:rPr>
        <w:t xml:space="preserve">2 参与人应按发包人提供的工程量清单填报价格。填写的项目编码、项目名称、项目特 征、计量单位、工程量必须与发包人提供的一致。 </w:t>
      </w:r>
    </w:p>
    <w:p>
      <w:pPr>
        <w:pStyle w:val="55"/>
        <w:spacing w:after="0" w:line="440" w:lineRule="exact"/>
        <w:ind w:firstLine="424" w:firstLineChars="177"/>
        <w:rPr>
          <w:rFonts w:ascii="仿宋" w:hAnsi="仿宋" w:eastAsia="仿宋"/>
          <w:sz w:val="24"/>
          <w:szCs w:val="24"/>
        </w:rPr>
      </w:pPr>
      <w:r>
        <w:rPr>
          <w:rFonts w:hint="eastAsia" w:ascii="仿宋" w:hAnsi="仿宋" w:eastAsia="仿宋"/>
          <w:sz w:val="24"/>
          <w:szCs w:val="24"/>
        </w:rPr>
        <w:t xml:space="preserve">3 实行工程量清单招标的工程建设项目，除发包人约定可以进行调差部分的由双方共同承担风险，其它部分全部由参与人进行承担后期发包人不再对此部分价格进行调整。 </w:t>
      </w:r>
    </w:p>
    <w:p>
      <w:pPr>
        <w:pStyle w:val="55"/>
        <w:spacing w:after="0" w:line="440" w:lineRule="exact"/>
        <w:ind w:firstLine="424" w:firstLineChars="177"/>
        <w:rPr>
          <w:rFonts w:ascii="仿宋" w:hAnsi="仿宋" w:eastAsia="仿宋"/>
          <w:sz w:val="24"/>
          <w:szCs w:val="24"/>
        </w:rPr>
      </w:pPr>
      <w:r>
        <w:rPr>
          <w:rFonts w:hint="eastAsia" w:ascii="仿宋" w:hAnsi="仿宋" w:eastAsia="仿宋"/>
          <w:sz w:val="24"/>
          <w:szCs w:val="24"/>
        </w:rPr>
        <w:t xml:space="preserve">4 参与人应按发包人提供的工程量计算工程项目的单价和合价。工程量清单中的每一单项均需计算填写单价和合价，参与人没有填写单价和合价的项目将不予支付，认为此项费用已包括在工程量清单的其他单价和合价中或对发包人进行的让利。 </w:t>
      </w:r>
    </w:p>
    <w:p>
      <w:pPr>
        <w:pStyle w:val="55"/>
        <w:spacing w:after="0" w:line="440" w:lineRule="exact"/>
        <w:ind w:firstLine="424" w:firstLineChars="177"/>
        <w:rPr>
          <w:rFonts w:ascii="仿宋" w:hAnsi="仿宋" w:eastAsia="仿宋"/>
          <w:sz w:val="24"/>
          <w:szCs w:val="24"/>
        </w:rPr>
      </w:pPr>
      <w:r>
        <w:rPr>
          <w:rFonts w:hint="eastAsia" w:ascii="仿宋" w:hAnsi="仿宋" w:eastAsia="仿宋"/>
          <w:sz w:val="24"/>
          <w:szCs w:val="24"/>
        </w:rPr>
        <w:t>5 清单项目中特征描述不全的工序，如图纸已明确或已指明引用规范、图集等或是常规工艺必须的工序，应包括在报价中。</w:t>
      </w:r>
    </w:p>
    <w:p>
      <w:pPr>
        <w:pStyle w:val="55"/>
        <w:spacing w:after="0" w:line="440" w:lineRule="exact"/>
        <w:ind w:firstLine="426" w:firstLineChars="177"/>
        <w:rPr>
          <w:rFonts w:ascii="仿宋" w:hAnsi="仿宋" w:eastAsia="仿宋"/>
          <w:b/>
          <w:bCs/>
          <w:sz w:val="24"/>
          <w:szCs w:val="24"/>
        </w:rPr>
      </w:pPr>
      <w:r>
        <w:rPr>
          <w:rFonts w:hint="eastAsia" w:ascii="仿宋" w:hAnsi="仿宋" w:eastAsia="仿宋"/>
          <w:b/>
          <w:bCs/>
          <w:sz w:val="24"/>
          <w:szCs w:val="24"/>
        </w:rPr>
        <w:t>6严禁参与人进行不平衡报价，发包人有权对参与人所报不平衡单价进行强制调整，否则发包人有权取消参与人优先中标的权力。</w:t>
      </w:r>
    </w:p>
    <w:p>
      <w:pPr>
        <w:jc w:val="left"/>
        <w:rPr>
          <w:rFonts w:ascii="仿宋" w:hAnsi="仿宋" w:eastAsia="仿宋" w:cs="仿宋"/>
          <w:b/>
          <w:sz w:val="24"/>
          <w:szCs w:val="24"/>
          <w:lang w:bidi="ar"/>
        </w:rPr>
      </w:pPr>
      <w:r>
        <w:rPr>
          <w:rFonts w:hint="eastAsia" w:ascii="仿宋" w:hAnsi="仿宋" w:eastAsia="仿宋" w:cs="仿宋"/>
          <w:b/>
          <w:sz w:val="24"/>
          <w:szCs w:val="24"/>
          <w:lang w:bidi="ar"/>
        </w:rPr>
        <w:t>磋商报价方式</w:t>
      </w:r>
    </w:p>
    <w:p>
      <w:pPr>
        <w:spacing w:after="0" w:line="400" w:lineRule="exact"/>
        <w:ind w:firstLine="480" w:firstLineChars="200"/>
        <w:rPr>
          <w:rFonts w:ascii="仿宋" w:hAnsi="仿宋" w:eastAsia="仿宋" w:cs="仿宋"/>
          <w:bCs/>
          <w:sz w:val="24"/>
          <w:szCs w:val="24"/>
          <w:u w:val="single"/>
          <w:lang w:bidi="ar"/>
        </w:rPr>
      </w:pPr>
      <w:r>
        <w:rPr>
          <w:rFonts w:hint="eastAsia" w:ascii="仿宋" w:hAnsi="仿宋" w:eastAsia="仿宋" w:cs="仿宋"/>
          <w:bCs/>
          <w:sz w:val="24"/>
          <w:szCs w:val="24"/>
          <w:lang w:bidi="ar"/>
        </w:rPr>
        <w:t>1本工程采用以下</w:t>
      </w:r>
      <w:r>
        <w:rPr>
          <w:rFonts w:hint="eastAsia" w:ascii="仿宋" w:hAnsi="仿宋" w:eastAsia="仿宋"/>
          <w:sz w:val="24"/>
          <w:szCs w:val="24"/>
        </w:rPr>
        <w:t>方式报价，参与人根据自身企业实力以及市场行情价格水平自主进行报价。投标人应当充分考虑施工期间的所有市场价格风险和政策风险，参与人所报价格均视为已经包含了所有的风险费用在内，后期除发包人约定可以调差的部分外其它不再进行任何调整。</w:t>
      </w:r>
    </w:p>
    <w:p>
      <w:pPr>
        <w:pStyle w:val="13"/>
        <w:spacing w:after="0" w:line="400" w:lineRule="exact"/>
        <w:ind w:firstLine="496" w:firstLineChars="200"/>
        <w:jc w:val="both"/>
        <w:rPr>
          <w:rFonts w:ascii="仿宋" w:hAnsi="仿宋" w:eastAsia="仿宋" w:cs="仿宋"/>
          <w:sz w:val="24"/>
        </w:rPr>
      </w:pPr>
      <w:r>
        <w:rPr>
          <w:rFonts w:hint="eastAsia" w:ascii="仿宋" w:hAnsi="仿宋" w:eastAsia="仿宋" w:cs="仿宋"/>
          <w:spacing w:val="4"/>
          <w:sz w:val="24"/>
          <w:szCs w:val="24"/>
        </w:rPr>
        <w:t>工程量清单计价，固定</w:t>
      </w:r>
      <w:r>
        <w:rPr>
          <w:rFonts w:hint="eastAsia" w:ascii="仿宋" w:hAnsi="仿宋" w:eastAsia="仿宋" w:cs="仿宋"/>
          <w:sz w:val="24"/>
          <w:szCs w:val="24"/>
        </w:rPr>
        <w:t>综合单价：</w:t>
      </w:r>
      <w:r>
        <w:rPr>
          <w:rFonts w:hint="eastAsia" w:ascii="仿宋" w:hAnsi="仿宋" w:eastAsia="仿宋" w:cs="仿宋"/>
          <w:sz w:val="24"/>
        </w:rPr>
        <w:t>工程量根据发包人认可的竣工图纸及相关变更签证文件按实结算。综合</w:t>
      </w:r>
      <w:r>
        <w:rPr>
          <w:rFonts w:ascii="仿宋" w:hAnsi="仿宋" w:eastAsia="仿宋" w:cs="仿宋"/>
          <w:sz w:val="24"/>
        </w:rPr>
        <w:t>单价</w:t>
      </w:r>
      <w:r>
        <w:rPr>
          <w:rFonts w:hint="eastAsia" w:ascii="仿宋" w:hAnsi="仿宋" w:eastAsia="仿宋" w:cs="仿宋"/>
          <w:sz w:val="24"/>
        </w:rPr>
        <w:t>包含但不限于人工、材料、水电费、损耗、机械、管理费、利润、各类措施费、全部风险、验收、档案资料整理、保修、材料检测试验、保险、垃圾清运等为完成清单项所包含的一切费用。后期结算</w:t>
      </w:r>
      <w:r>
        <w:rPr>
          <w:rFonts w:ascii="仿宋" w:hAnsi="仿宋" w:eastAsia="仿宋" w:cs="仿宋"/>
          <w:sz w:val="24"/>
        </w:rPr>
        <w:t>不</w:t>
      </w:r>
      <w:r>
        <w:rPr>
          <w:rFonts w:hint="eastAsia" w:ascii="仿宋" w:hAnsi="仿宋" w:eastAsia="仿宋" w:cs="仿宋"/>
          <w:sz w:val="24"/>
        </w:rPr>
        <w:t>再</w:t>
      </w:r>
      <w:r>
        <w:rPr>
          <w:rFonts w:ascii="仿宋" w:hAnsi="仿宋" w:eastAsia="仿宋" w:cs="仿宋"/>
          <w:sz w:val="24"/>
        </w:rPr>
        <w:t>因施工期间人工、材料及机械价格变化、工程规模变化、工期变化、施工组织设计及施工方案的变化和造价管理部门</w:t>
      </w:r>
      <w:r>
        <w:rPr>
          <w:rFonts w:hint="eastAsia" w:ascii="仿宋" w:hAnsi="仿宋" w:eastAsia="仿宋" w:cs="仿宋"/>
          <w:sz w:val="24"/>
        </w:rPr>
        <w:t>颁布的</w:t>
      </w:r>
      <w:r>
        <w:rPr>
          <w:rFonts w:ascii="仿宋" w:hAnsi="仿宋" w:eastAsia="仿宋" w:cs="仿宋"/>
          <w:sz w:val="24"/>
        </w:rPr>
        <w:t>文件变化等各种因素而调整，</w:t>
      </w:r>
      <w:r>
        <w:rPr>
          <w:rFonts w:hint="eastAsia" w:ascii="仿宋" w:hAnsi="仿宋" w:eastAsia="仿宋"/>
          <w:szCs w:val="21"/>
        </w:rPr>
        <w:t>发包人约定可以调差的部分</w:t>
      </w:r>
      <w:r>
        <w:rPr>
          <w:rFonts w:ascii="仿宋" w:hAnsi="仿宋" w:eastAsia="仿宋" w:cs="仿宋"/>
          <w:sz w:val="24"/>
        </w:rPr>
        <w:t>除外</w:t>
      </w:r>
      <w:r>
        <w:rPr>
          <w:rFonts w:hint="eastAsia" w:ascii="仿宋" w:hAnsi="仿宋" w:eastAsia="仿宋" w:cs="仿宋"/>
          <w:sz w:val="24"/>
        </w:rPr>
        <w:t>。</w:t>
      </w:r>
    </w:p>
    <w:p>
      <w:pPr>
        <w:spacing w:after="0" w:line="400" w:lineRule="exact"/>
        <w:ind w:firstLine="496" w:firstLineChars="200"/>
        <w:rPr>
          <w:rFonts w:ascii="仿宋" w:hAnsi="仿宋" w:eastAsia="仿宋" w:cs="仿宋"/>
          <w:spacing w:val="4"/>
          <w:sz w:val="24"/>
          <w:szCs w:val="24"/>
        </w:rPr>
      </w:pPr>
    </w:p>
    <w:p>
      <w:pPr>
        <w:spacing w:after="0" w:line="400" w:lineRule="exact"/>
        <w:ind w:firstLine="498" w:firstLineChars="200"/>
        <w:rPr>
          <w:rFonts w:ascii="仿宋" w:hAnsi="仿宋" w:eastAsia="仿宋" w:cs="仿宋"/>
          <w:b/>
          <w:bCs/>
          <w:spacing w:val="4"/>
          <w:sz w:val="24"/>
          <w:szCs w:val="24"/>
        </w:rPr>
      </w:pPr>
      <w:r>
        <w:rPr>
          <w:rFonts w:hint="eastAsia" w:ascii="仿宋" w:hAnsi="仿宋" w:eastAsia="仿宋" w:cs="仿宋"/>
          <w:b/>
          <w:bCs/>
          <w:spacing w:val="4"/>
          <w:sz w:val="24"/>
          <w:szCs w:val="24"/>
        </w:rPr>
        <w:t>2材料调差原则</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材料调差种类：施工期间商品混凝土、沙子、砌块、水泥、钢材、电线电缆可以进行调差，其它材料一概不进行调整。调差原则按照以下方式进行：</w:t>
      </w:r>
    </w:p>
    <w:p>
      <w:pPr>
        <w:spacing w:after="0" w:line="400" w:lineRule="exact"/>
        <w:ind w:firstLine="248" w:firstLineChars="100"/>
        <w:rPr>
          <w:rFonts w:ascii="仿宋" w:hAnsi="仿宋" w:eastAsia="仿宋" w:cs="仿宋"/>
          <w:spacing w:val="4"/>
          <w:sz w:val="24"/>
          <w:szCs w:val="24"/>
        </w:rPr>
      </w:pPr>
      <w:r>
        <w:rPr>
          <w:rFonts w:hint="eastAsia" w:ascii="仿宋" w:hAnsi="仿宋" w:eastAsia="仿宋" w:cs="仿宋"/>
          <w:spacing w:val="4"/>
          <w:sz w:val="24"/>
          <w:szCs w:val="24"/>
        </w:rPr>
        <w:t>（一）商品混凝土、沙子、砌块、水泥、钢材调差方法：</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（1）调整基价：以 磋商截止日期上月磋商项目所在地市造价主管部门发布的造价信息中商品混凝土、沙子、砌块、水泥、钢材的不含税价格执行。</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（2）调整价格：</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①商品混凝土调整价格按照从浇筑桩基承台混凝土至结构断水期间磋商项目所在地市造价主管部门发布的造价信息的月算数不含税平均价执行。</w:t>
      </w:r>
    </w:p>
    <w:p>
      <w:pPr>
        <w:spacing w:after="0" w:line="400" w:lineRule="exact"/>
        <w:ind w:firstLine="530" w:firstLineChars="214"/>
        <w:rPr>
          <w:rFonts w:ascii="仿宋" w:hAnsi="仿宋" w:eastAsia="仿宋" w:cs="仿宋"/>
          <w:spacing w:val="4"/>
          <w:sz w:val="24"/>
          <w:szCs w:val="24"/>
        </w:rPr>
      </w:pPr>
      <w:r>
        <w:rPr>
          <w:rFonts w:hint="eastAsia" w:ascii="仿宋" w:hAnsi="仿宋" w:eastAsia="仿宋" w:cs="仿宋"/>
          <w:spacing w:val="4"/>
          <w:sz w:val="24"/>
          <w:szCs w:val="24"/>
        </w:rPr>
        <w:t>②沙子调整价格按照从结构断水至项目验收合格前一个月期间磋商项目所在地市造价主管部门发布的造价信息的月算数不含税平均价执行。</w:t>
      </w:r>
    </w:p>
    <w:p>
      <w:pPr>
        <w:spacing w:after="0" w:line="400" w:lineRule="exact"/>
        <w:ind w:firstLine="530" w:firstLineChars="214"/>
        <w:rPr>
          <w:rFonts w:ascii="仿宋" w:hAnsi="仿宋" w:eastAsia="仿宋" w:cs="仿宋"/>
          <w:spacing w:val="4"/>
          <w:sz w:val="24"/>
          <w:szCs w:val="24"/>
        </w:rPr>
      </w:pPr>
      <w:r>
        <w:rPr>
          <w:rFonts w:hint="eastAsia" w:ascii="仿宋" w:hAnsi="仿宋" w:eastAsia="仿宋" w:cs="仿宋"/>
          <w:spacing w:val="4"/>
          <w:sz w:val="24"/>
          <w:szCs w:val="24"/>
        </w:rPr>
        <w:t>③砌块调整价格按照从结构断水至主体验收合格前一个月期间磋商项目所在地市造价主管部门发布的造价信息的月算数不含税平均价执行。</w:t>
      </w:r>
    </w:p>
    <w:p>
      <w:pPr>
        <w:spacing w:after="0" w:line="400" w:lineRule="exact"/>
        <w:ind w:firstLine="530" w:firstLineChars="214"/>
        <w:rPr>
          <w:rFonts w:ascii="仿宋" w:hAnsi="仿宋" w:eastAsia="仿宋" w:cs="仿宋"/>
          <w:spacing w:val="4"/>
          <w:sz w:val="24"/>
          <w:szCs w:val="24"/>
        </w:rPr>
      </w:pPr>
      <w:r>
        <w:rPr>
          <w:rFonts w:hint="eastAsia" w:ascii="仿宋" w:hAnsi="仿宋" w:eastAsia="仿宋" w:cs="仿宋"/>
          <w:spacing w:val="4"/>
          <w:sz w:val="24"/>
          <w:szCs w:val="24"/>
        </w:rPr>
        <w:t>④水泥调整价格按照从结构断水至项目验收合格前一个月期间磋商项目所在地市造价主管部门发布的造价信息的月算数不含税平均价执行。</w:t>
      </w:r>
    </w:p>
    <w:p>
      <w:pPr>
        <w:spacing w:after="0" w:line="400" w:lineRule="exact"/>
        <w:ind w:firstLine="530" w:firstLineChars="214"/>
        <w:rPr>
          <w:rFonts w:ascii="仿宋" w:hAnsi="仿宋" w:eastAsia="仿宋" w:cs="仿宋"/>
          <w:spacing w:val="4"/>
          <w:sz w:val="24"/>
          <w:szCs w:val="24"/>
        </w:rPr>
      </w:pPr>
      <w:r>
        <w:rPr>
          <w:rFonts w:hint="eastAsia" w:ascii="仿宋" w:hAnsi="仿宋" w:eastAsia="仿宋" w:cs="仿宋"/>
          <w:spacing w:val="4"/>
          <w:sz w:val="24"/>
          <w:szCs w:val="24"/>
        </w:rPr>
        <w:t>⑤钢材调整价格按照从浇筑桩基承台混凝土至结构断水期间磋商项目所在地市造价主管部门发布的造价信息的月算数不含税平均价执行。</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（3）调差：调整价格较调整基价偏差在正负5%以内（含）则不进行相应的调差。调整价格较调整基价偏差在正负5%以上，则仅对超出5%部分进行相应的调整。</w:t>
      </w:r>
    </w:p>
    <w:p>
      <w:pPr>
        <w:spacing w:after="0" w:line="400" w:lineRule="exact"/>
        <w:ind w:firstLine="282" w:firstLineChars="114"/>
        <w:rPr>
          <w:rFonts w:ascii="仿宋" w:hAnsi="仿宋" w:eastAsia="仿宋" w:cs="仿宋"/>
          <w:spacing w:val="4"/>
          <w:sz w:val="24"/>
          <w:szCs w:val="24"/>
        </w:rPr>
      </w:pPr>
      <w:r>
        <w:rPr>
          <w:rFonts w:hint="eastAsia" w:ascii="仿宋" w:hAnsi="仿宋" w:eastAsia="仿宋" w:cs="仿宋"/>
          <w:spacing w:val="4"/>
          <w:sz w:val="24"/>
          <w:szCs w:val="24"/>
        </w:rPr>
        <w:t>（二）电线电缆调差方法：从项目电线电缆第一批进场至最后一批结算期间长江有色金属网每月15号（如15号为休息日则以该休息日的前一个工作日）所发布的长江现货1#铜价格的月算术平均价作为调整价格。磋商截止日期当天长江有色金属发布的长江现货1#铜价格作为基准价格。具体调差计算公式为：（调整价格-基准价格）/基准价格*电线电缆价格*双方结算认可的工程量*（1+9%）。</w:t>
      </w:r>
    </w:p>
    <w:p>
      <w:pPr>
        <w:spacing w:after="0" w:line="400" w:lineRule="exact"/>
        <w:ind w:left="240" w:leftChars="109" w:firstLine="249" w:firstLineChars="100"/>
        <w:rPr>
          <w:rFonts w:ascii="仿宋" w:hAnsi="仿宋" w:eastAsia="仿宋" w:cs="仿宋"/>
          <w:b/>
          <w:bCs/>
          <w:spacing w:val="4"/>
          <w:sz w:val="24"/>
          <w:szCs w:val="24"/>
        </w:rPr>
      </w:pPr>
      <w:r>
        <w:rPr>
          <w:rFonts w:hint="eastAsia" w:ascii="仿宋" w:hAnsi="仿宋" w:eastAsia="仿宋" w:cs="仿宋"/>
          <w:b/>
          <w:bCs/>
          <w:spacing w:val="4"/>
          <w:sz w:val="24"/>
          <w:szCs w:val="24"/>
        </w:rPr>
        <w:t>3变更、签证计价原则</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①工程量清单中有相同或类似项目的按照合同单价执行。</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②工程量清单缺失项目的，参与人根据磋商项目所在地省（市）造价管理部分发布的最新版本消耗量定额、费用定额和相应的配套文件进行计价，材料价格参照磋商项目所在地造价管理部分发布的最新一期信息价计取，信息价缺失的材料双方认质认价。在上述计价的基础上除认质认价部分外整体下浮</w:t>
      </w:r>
      <w:r>
        <w:rPr>
          <w:rFonts w:ascii="仿宋" w:hAnsi="仿宋" w:eastAsia="仿宋" w:cs="仿宋"/>
          <w:spacing w:val="4"/>
          <w:sz w:val="24"/>
          <w:szCs w:val="24"/>
          <w:u w:val="single"/>
        </w:rPr>
        <w:t>10</w:t>
      </w:r>
      <w:r>
        <w:rPr>
          <w:rFonts w:hint="eastAsia" w:ascii="仿宋" w:hAnsi="仿宋" w:eastAsia="仿宋" w:cs="仿宋"/>
          <w:spacing w:val="4"/>
          <w:sz w:val="24"/>
          <w:szCs w:val="24"/>
          <w:u w:val="single"/>
        </w:rPr>
        <w:t>%</w:t>
      </w:r>
      <w:r>
        <w:rPr>
          <w:rFonts w:hint="eastAsia" w:ascii="仿宋" w:hAnsi="仿宋" w:eastAsia="仿宋" w:cs="仿宋"/>
          <w:spacing w:val="4"/>
          <w:sz w:val="24"/>
          <w:szCs w:val="24"/>
        </w:rPr>
        <w:t>作为最终的结算价格，税金按时记取。</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t>③定额缺失且无法借套的项目，双方根据施工期间市场行情进行核价。</w:t>
      </w:r>
    </w:p>
    <w:p>
      <w:pPr>
        <w:spacing w:after="0" w:line="400" w:lineRule="exact"/>
        <w:ind w:firstLine="426" w:firstLineChars="171"/>
        <w:rPr>
          <w:rFonts w:ascii="仿宋" w:hAnsi="仿宋" w:eastAsia="仿宋" w:cs="仿宋"/>
          <w:b/>
          <w:bCs/>
          <w:spacing w:val="4"/>
          <w:sz w:val="24"/>
          <w:szCs w:val="24"/>
        </w:rPr>
      </w:pPr>
      <w:r>
        <w:rPr>
          <w:rFonts w:hint="eastAsia" w:ascii="仿宋" w:hAnsi="仿宋" w:eastAsia="仿宋" w:cs="仿宋"/>
          <w:b/>
          <w:bCs/>
          <w:spacing w:val="4"/>
          <w:sz w:val="24"/>
          <w:szCs w:val="24"/>
        </w:rPr>
        <w:t>4价款支付</w:t>
      </w:r>
    </w:p>
    <w:p>
      <w:pPr>
        <w:spacing w:after="0" w:line="400" w:lineRule="exact"/>
        <w:ind w:firstLine="496" w:firstLineChars="200"/>
        <w:rPr>
          <w:rFonts w:ascii="仿宋" w:hAnsi="仿宋" w:eastAsia="仿宋" w:cs="仿宋"/>
          <w:spacing w:val="4"/>
          <w:sz w:val="24"/>
          <w:szCs w:val="24"/>
        </w:rPr>
      </w:pPr>
      <w:r>
        <w:rPr>
          <w:rFonts w:hint="eastAsia" w:ascii="仿宋" w:hAnsi="仿宋" w:eastAsia="仿宋" w:cs="仿宋"/>
          <w:spacing w:val="4"/>
          <w:sz w:val="24"/>
          <w:szCs w:val="24"/>
        </w:rPr>
        <w:sym w:font="Wingdings 2" w:char="F052"/>
      </w:r>
      <w:r>
        <w:rPr>
          <w:rFonts w:hint="eastAsia" w:ascii="仿宋" w:hAnsi="仿宋" w:eastAsia="仿宋" w:cs="仿宋"/>
          <w:spacing w:val="4"/>
          <w:sz w:val="24"/>
          <w:szCs w:val="24"/>
        </w:rPr>
        <w:t>按工程月进度支付工程价款</w:t>
      </w:r>
      <w:r>
        <w:rPr>
          <w:rFonts w:hint="eastAsia" w:ascii="仿宋" w:hAnsi="仿宋" w:eastAsia="仿宋" w:cs="仿宋"/>
          <w:b/>
          <w:bCs/>
          <w:spacing w:val="4"/>
          <w:sz w:val="24"/>
          <w:szCs w:val="24"/>
        </w:rPr>
        <w:t xml:space="preserve">（可根据具体情况进行调整） </w:t>
      </w:r>
      <w:r>
        <w:rPr>
          <w:rFonts w:hint="eastAsia" w:ascii="仿宋" w:hAnsi="仿宋" w:eastAsia="仿宋" w:cs="仿宋"/>
          <w:spacing w:val="4"/>
          <w:sz w:val="24"/>
          <w:szCs w:val="24"/>
        </w:rPr>
        <w:t xml:space="preserve"> </w:t>
      </w:r>
    </w:p>
    <w:p>
      <w:pPr>
        <w:numPr>
          <w:ilvl w:val="0"/>
          <w:numId w:val="8"/>
        </w:numPr>
        <w:spacing w:after="0" w:line="400" w:lineRule="exact"/>
        <w:ind w:firstLine="283" w:firstLineChars="118"/>
        <w:rPr>
          <w:rFonts w:ascii="仿宋" w:hAnsi="仿宋" w:eastAsia="仿宋" w:cs="仿宋"/>
          <w:sz w:val="24"/>
          <w:szCs w:val="24"/>
        </w:rPr>
      </w:pPr>
      <w:r>
        <w:rPr>
          <w:rFonts w:hint="eastAsia" w:ascii="仿宋" w:hAnsi="仿宋" w:eastAsia="仿宋" w:cs="仿宋"/>
          <w:sz w:val="24"/>
          <w:szCs w:val="24"/>
        </w:rPr>
        <w:t>合同签订后，7日内发包人向成交参与人支付合同价的</w:t>
      </w:r>
      <w:r>
        <w:rPr>
          <w:rFonts w:ascii="仿宋" w:hAnsi="仿宋" w:eastAsia="仿宋" w:cs="仿宋"/>
          <w:sz w:val="24"/>
          <w:szCs w:val="24"/>
          <w:u w:val="single"/>
        </w:rPr>
        <w:t>30</w:t>
      </w:r>
      <w:r>
        <w:rPr>
          <w:rFonts w:hint="eastAsia" w:ascii="仿宋" w:hAnsi="仿宋" w:eastAsia="仿宋" w:cs="仿宋"/>
          <w:sz w:val="24"/>
          <w:szCs w:val="24"/>
          <w:u w:val="single"/>
        </w:rPr>
        <w:t>%</w:t>
      </w:r>
      <w:r>
        <w:rPr>
          <w:rFonts w:hint="eastAsia" w:ascii="仿宋" w:hAnsi="仿宋" w:eastAsia="仿宋" w:cs="仿宋"/>
          <w:sz w:val="24"/>
          <w:szCs w:val="24"/>
        </w:rPr>
        <w:t>作为预付款；</w:t>
      </w:r>
    </w:p>
    <w:p>
      <w:pPr>
        <w:numPr>
          <w:ilvl w:val="0"/>
          <w:numId w:val="8"/>
        </w:numPr>
        <w:spacing w:after="0" w:line="400" w:lineRule="exact"/>
        <w:ind w:firstLine="283" w:firstLineChars="118"/>
        <w:rPr>
          <w:rFonts w:ascii="仿宋" w:hAnsi="仿宋" w:eastAsia="仿宋" w:cs="仿宋"/>
          <w:spacing w:val="4"/>
          <w:sz w:val="24"/>
          <w:szCs w:val="24"/>
        </w:rPr>
      </w:pPr>
      <w:r>
        <w:rPr>
          <w:rFonts w:hint="eastAsia" w:ascii="仿宋" w:hAnsi="仿宋" w:eastAsia="仿宋" w:cs="仿宋"/>
          <w:sz w:val="24"/>
          <w:szCs w:val="24"/>
        </w:rPr>
        <w:t>合同内所有内容到场施工完毕支付至合同价的</w:t>
      </w:r>
      <w:r>
        <w:rPr>
          <w:rFonts w:ascii="仿宋" w:hAnsi="仿宋" w:eastAsia="仿宋" w:cs="仿宋"/>
          <w:sz w:val="24"/>
          <w:szCs w:val="24"/>
          <w:u w:val="single"/>
        </w:rPr>
        <w:t>80</w:t>
      </w:r>
      <w:r>
        <w:rPr>
          <w:rFonts w:hint="eastAsia" w:ascii="仿宋" w:hAnsi="仿宋" w:eastAsia="仿宋" w:cs="仿宋"/>
          <w:sz w:val="24"/>
          <w:szCs w:val="24"/>
          <w:u w:val="single"/>
        </w:rPr>
        <w:t>%</w:t>
      </w:r>
      <w:r>
        <w:rPr>
          <w:rFonts w:hint="eastAsia" w:ascii="仿宋" w:hAnsi="仿宋" w:eastAsia="仿宋" w:cs="仿宋"/>
          <w:sz w:val="24"/>
          <w:szCs w:val="24"/>
        </w:rPr>
        <w:t>；</w:t>
      </w:r>
    </w:p>
    <w:p>
      <w:pPr>
        <w:numPr>
          <w:ilvl w:val="0"/>
          <w:numId w:val="8"/>
        </w:numPr>
        <w:spacing w:after="0" w:line="400" w:lineRule="exact"/>
        <w:ind w:firstLine="292" w:firstLineChars="118"/>
        <w:rPr>
          <w:rFonts w:ascii="仿宋" w:hAnsi="仿宋" w:eastAsia="仿宋" w:cs="仿宋"/>
          <w:spacing w:val="4"/>
          <w:sz w:val="24"/>
          <w:szCs w:val="24"/>
        </w:rPr>
      </w:pPr>
      <w:r>
        <w:rPr>
          <w:rFonts w:hint="eastAsia" w:ascii="仿宋" w:hAnsi="仿宋" w:eastAsia="仿宋" w:cs="仿宋"/>
          <w:spacing w:val="4"/>
          <w:sz w:val="24"/>
          <w:szCs w:val="24"/>
        </w:rPr>
        <w:t>全部工程竣工验收通过，完整竣工资料移交发包人确认后，双方开始办理结算签字确认后支付至决算款的</w:t>
      </w:r>
      <w:r>
        <w:rPr>
          <w:rFonts w:hint="eastAsia" w:ascii="仿宋" w:hAnsi="仿宋" w:eastAsia="仿宋" w:cs="仿宋"/>
          <w:spacing w:val="4"/>
          <w:sz w:val="24"/>
          <w:szCs w:val="24"/>
          <w:u w:val="single"/>
        </w:rPr>
        <w:t xml:space="preserve"> 9</w:t>
      </w:r>
      <w:r>
        <w:rPr>
          <w:rFonts w:ascii="仿宋" w:hAnsi="仿宋" w:eastAsia="仿宋" w:cs="仿宋"/>
          <w:spacing w:val="4"/>
          <w:sz w:val="24"/>
          <w:szCs w:val="24"/>
          <w:u w:val="single"/>
        </w:rPr>
        <w:t>7</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%；质保金</w:t>
      </w:r>
      <w:r>
        <w:rPr>
          <w:rFonts w:hint="eastAsia" w:ascii="仿宋" w:hAnsi="仿宋" w:eastAsia="仿宋" w:cs="仿宋"/>
          <w:spacing w:val="4"/>
          <w:sz w:val="24"/>
          <w:szCs w:val="24"/>
          <w:u w:val="single"/>
        </w:rPr>
        <w:t xml:space="preserve"> </w:t>
      </w:r>
      <w:r>
        <w:rPr>
          <w:rFonts w:ascii="仿宋" w:hAnsi="仿宋" w:eastAsia="仿宋" w:cs="仿宋"/>
          <w:spacing w:val="4"/>
          <w:sz w:val="24"/>
          <w:szCs w:val="24"/>
          <w:u w:val="single"/>
        </w:rPr>
        <w:t>3</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 xml:space="preserve"> %在主体验收合格后无息付清。</w:t>
      </w:r>
    </w:p>
    <w:p>
      <w:pPr>
        <w:tabs>
          <w:tab w:val="left" w:pos="349"/>
        </w:tabs>
        <w:autoSpaceDN w:val="0"/>
        <w:spacing w:after="0" w:line="500" w:lineRule="exact"/>
        <w:ind w:firstLine="498" w:firstLineChars="200"/>
        <w:rPr>
          <w:rFonts w:ascii="仿宋" w:hAnsi="仿宋" w:eastAsia="仿宋" w:cs="仿宋"/>
          <w:b/>
          <w:bCs/>
          <w:spacing w:val="4"/>
          <w:sz w:val="24"/>
          <w:szCs w:val="24"/>
        </w:rPr>
      </w:pPr>
      <w:r>
        <w:rPr>
          <w:rFonts w:ascii="仿宋" w:hAnsi="仿宋" w:eastAsia="仿宋" w:cs="仿宋"/>
          <w:b/>
          <w:bCs/>
          <w:spacing w:val="4"/>
          <w:sz w:val="24"/>
          <w:szCs w:val="24"/>
        </w:rPr>
        <w:t xml:space="preserve">5 </w:t>
      </w:r>
      <w:r>
        <w:rPr>
          <w:rFonts w:hint="eastAsia" w:ascii="仿宋" w:hAnsi="仿宋" w:eastAsia="仿宋" w:cs="仿宋"/>
          <w:b/>
          <w:bCs/>
          <w:spacing w:val="4"/>
          <w:sz w:val="24"/>
          <w:szCs w:val="24"/>
        </w:rPr>
        <w:t>工程结算：</w:t>
      </w:r>
    </w:p>
    <w:p>
      <w:pPr>
        <w:spacing w:after="0" w:line="400" w:lineRule="exact"/>
        <w:ind w:firstLine="480" w:firstLineChars="200"/>
        <w:rPr>
          <w:rFonts w:ascii="仿宋" w:hAnsi="仿宋" w:eastAsia="仿宋" w:cs="仿宋"/>
          <w:sz w:val="24"/>
          <w:szCs w:val="24"/>
        </w:rPr>
      </w:pPr>
      <w:r>
        <w:rPr>
          <w:rFonts w:hint="eastAsia" w:ascii="仿宋" w:hAnsi="仿宋" w:eastAsia="仿宋" w:cs="仿宋"/>
          <w:sz w:val="24"/>
          <w:szCs w:val="24"/>
        </w:rPr>
        <w:t>1工程施工用水、用电费用：成交参与人按发包人指定水源电源挂表，按实计量计价，水电费按月向发包人或所有权单位交纳。如分包人使用水电的，成交参与人必须予以准许积极配合，分包人必须向成交参与人申请安装水电分表，并向成交参与人按时按量交纳水电费。工程结算时水电费按实调整价差（用电用水量为定额消耗量的总和，实际用电用水量超定额消耗部分不进行调整）。</w:t>
      </w:r>
    </w:p>
    <w:p>
      <w:pPr>
        <w:spacing w:after="0" w:line="400" w:lineRule="exact"/>
        <w:ind w:firstLine="480" w:firstLineChars="200"/>
        <w:rPr>
          <w:rFonts w:ascii="仿宋" w:hAnsi="仿宋" w:eastAsia="仿宋" w:cs="仿宋"/>
          <w:sz w:val="24"/>
          <w:szCs w:val="24"/>
        </w:rPr>
      </w:pPr>
      <w:r>
        <w:rPr>
          <w:rFonts w:hint="eastAsia" w:ascii="仿宋" w:hAnsi="仿宋" w:eastAsia="仿宋" w:cs="仿宋"/>
          <w:sz w:val="24"/>
          <w:szCs w:val="24"/>
        </w:rPr>
        <w:t>2以施工图纸、图纸会审记录、施工图设计变更或技术变更核定单、现行施工及验收规范发包人材料设备认质核价单、现场签证收方单（后面附上原始收方记录）及发包人确定的其他事宜为依据按实结算。</w:t>
      </w:r>
    </w:p>
    <w:p>
      <w:pPr>
        <w:spacing w:after="0" w:line="400" w:lineRule="exact"/>
        <w:ind w:firstLine="480" w:firstLineChars="200"/>
        <w:rPr>
          <w:rFonts w:ascii="仿宋" w:hAnsi="仿宋" w:eastAsia="仿宋" w:cs="仿宋"/>
          <w:sz w:val="24"/>
          <w:szCs w:val="24"/>
        </w:rPr>
      </w:pPr>
      <w:r>
        <w:rPr>
          <w:rFonts w:hint="eastAsia" w:ascii="仿宋" w:hAnsi="仿宋" w:eastAsia="仿宋" w:cs="仿宋"/>
          <w:sz w:val="24"/>
          <w:szCs w:val="24"/>
        </w:rPr>
        <w:t>3成交人应确保提交给发包人审核的结算价款及结算资料准确，不得高估冒算、弄虚做假，如成交人提交给发包人审核的结算价款超过发包人审核、审计后双方确定的结算价款，且超过部分除以发包人审核、审计后双方确定的结算价款大于15%的，发包人应按“（成交人提交给发包人审核的结算价款-发包人审核、审计后双方确定的结算价款）*10%”计算向发包人支付违约金，发包人有权按从审核、审计后双方确定的结算价款中扣除该违约金。减审金额超过5%以上部分咨询减审费用由成交参与人负责。</w:t>
      </w:r>
    </w:p>
    <w:p>
      <w:pPr>
        <w:rPr>
          <w:rFonts w:ascii="仿宋" w:hAnsi="仿宋" w:eastAsia="仿宋"/>
          <w:b/>
          <w:sz w:val="72"/>
          <w:szCs w:val="72"/>
        </w:rPr>
      </w:pPr>
      <w:r>
        <w:rPr>
          <w:rFonts w:ascii="仿宋" w:hAnsi="仿宋" w:eastAsia="仿宋"/>
          <w:b/>
          <w:sz w:val="72"/>
          <w:szCs w:val="72"/>
        </w:rPr>
        <w:br w:type="page"/>
      </w:r>
    </w:p>
    <w:p>
      <w:pPr>
        <w:spacing w:line="1000" w:lineRule="exact"/>
        <w:jc w:val="center"/>
        <w:rPr>
          <w:rFonts w:ascii="仿宋" w:hAnsi="仿宋" w:eastAsia="仿宋"/>
          <w:b/>
          <w:sz w:val="72"/>
          <w:szCs w:val="72"/>
        </w:rPr>
      </w:pPr>
      <w:r>
        <w:rPr>
          <w:rFonts w:hint="eastAsia" w:ascii="仿宋" w:hAnsi="仿宋" w:eastAsia="仿宋"/>
          <w:b/>
          <w:sz w:val="72"/>
          <w:szCs w:val="72"/>
        </w:rPr>
        <w:t>X</w:t>
      </w:r>
      <w:r>
        <w:rPr>
          <w:rFonts w:ascii="仿宋" w:hAnsi="仿宋" w:eastAsia="仿宋"/>
          <w:b/>
          <w:sz w:val="72"/>
          <w:szCs w:val="72"/>
        </w:rPr>
        <w:t>XX</w:t>
      </w:r>
      <w:r>
        <w:rPr>
          <w:rFonts w:hint="eastAsia" w:ascii="仿宋" w:hAnsi="仿宋" w:eastAsia="仿宋"/>
          <w:b/>
          <w:sz w:val="72"/>
          <w:szCs w:val="72"/>
        </w:rPr>
        <w:t>学校</w:t>
      </w:r>
    </w:p>
    <w:p>
      <w:pPr>
        <w:spacing w:line="1000" w:lineRule="exact"/>
        <w:jc w:val="center"/>
        <w:rPr>
          <w:rFonts w:ascii="仿宋" w:hAnsi="仿宋" w:eastAsia="仿宋"/>
          <w:b/>
          <w:sz w:val="44"/>
          <w:szCs w:val="44"/>
        </w:rPr>
      </w:pPr>
      <w:r>
        <w:rPr>
          <w:rFonts w:hint="eastAsia" w:ascii="仿宋" w:hAnsi="仿宋" w:eastAsia="仿宋"/>
          <w:b/>
          <w:sz w:val="44"/>
          <w:szCs w:val="44"/>
        </w:rPr>
        <w:t>关于X</w:t>
      </w:r>
      <w:r>
        <w:rPr>
          <w:rFonts w:ascii="仿宋" w:hAnsi="仿宋" w:eastAsia="仿宋"/>
          <w:b/>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p>
    <w:p>
      <w:pPr>
        <w:rPr>
          <w:rFonts w:ascii="仿宋" w:hAnsi="仿宋" w:eastAsia="仿宋"/>
          <w:b/>
          <w:bCs/>
          <w:sz w:val="24"/>
          <w:szCs w:val="24"/>
        </w:rPr>
      </w:pPr>
      <w:bookmarkStart w:id="343" w:name="_Toc191802690"/>
      <w:bookmarkStart w:id="344" w:name="_Toc211917116"/>
      <w:bookmarkStart w:id="345" w:name="_Toc213755939"/>
      <w:bookmarkStart w:id="346" w:name="_Toc181436461"/>
      <w:bookmarkStart w:id="347" w:name="_Toc213755858"/>
      <w:bookmarkStart w:id="348" w:name="_Toc213755995"/>
      <w:bookmarkStart w:id="349" w:name="_Toc181436565"/>
      <w:bookmarkStart w:id="350" w:name="_Toc191783222"/>
      <w:bookmarkStart w:id="351" w:name="_Toc193165734"/>
      <w:bookmarkStart w:id="352" w:name="_Toc177985469"/>
      <w:bookmarkStart w:id="353" w:name="_Toc169332838"/>
      <w:bookmarkStart w:id="354" w:name="_Toc160880529"/>
      <w:bookmarkStart w:id="355" w:name="_Toc192663686"/>
      <w:bookmarkStart w:id="356" w:name="_Toc192663835"/>
      <w:bookmarkStart w:id="357" w:name="_Toc192664153"/>
      <w:bookmarkStart w:id="358" w:name="_Toc169332949"/>
      <w:bookmarkStart w:id="359" w:name="_Toc160880160"/>
      <w:bookmarkStart w:id="360" w:name="_Toc192996338"/>
      <w:bookmarkStart w:id="361" w:name="_Toc203355733"/>
      <w:bookmarkStart w:id="362" w:name="_Toc213208766"/>
      <w:bookmarkStart w:id="363" w:name="_Toc170798793"/>
      <w:bookmarkStart w:id="364" w:name="_Toc182372782"/>
      <w:bookmarkStart w:id="365" w:name="_Toc182805217"/>
      <w:bookmarkStart w:id="366" w:name="_Toc191803626"/>
      <w:bookmarkStart w:id="367" w:name="_Toc191789329"/>
      <w:bookmarkStart w:id="368" w:name="_Toc180302913"/>
      <w:bookmarkStart w:id="369" w:name="_Toc192996446"/>
      <w:bookmarkStart w:id="370" w:name="_Toc193160448"/>
      <w:bookmarkStart w:id="371" w:name="_Toc225669322"/>
      <w:bookmarkStart w:id="372" w:name="_Toc213756051"/>
      <w:bookmarkStart w:id="373" w:name="_Toc219800243"/>
      <w:bookmarkStart w:id="374" w:name="_Toc232302115"/>
      <w:bookmarkStart w:id="375" w:name="_Toc235437991"/>
      <w:bookmarkStart w:id="376" w:name="_Toc251613829"/>
      <w:bookmarkStart w:id="377" w:name="_Toc254790899"/>
      <w:bookmarkStart w:id="378" w:name="_Toc259692647"/>
      <w:bookmarkStart w:id="379" w:name="_Toc235438274"/>
      <w:bookmarkStart w:id="380" w:name="_Toc267059030"/>
      <w:bookmarkStart w:id="381" w:name="_Toc259520865"/>
      <w:bookmarkStart w:id="382" w:name="_Toc267059181"/>
      <w:bookmarkStart w:id="383" w:name="_Toc267059653"/>
      <w:bookmarkStart w:id="384" w:name="_Toc236021449"/>
      <w:bookmarkStart w:id="385" w:name="_Toc251586231"/>
      <w:bookmarkStart w:id="386" w:name="_Toc255975007"/>
      <w:bookmarkStart w:id="387" w:name="_Toc227058530"/>
      <w:bookmarkStart w:id="388" w:name="_Toc267059806"/>
      <w:bookmarkStart w:id="389" w:name="_Toc266868670"/>
      <w:bookmarkStart w:id="390" w:name="_Toc230071147"/>
      <w:bookmarkStart w:id="391" w:name="_Toc223146608"/>
      <w:bookmarkStart w:id="392" w:name="_Toc235438344"/>
      <w:bookmarkStart w:id="393" w:name="_Toc266868937"/>
      <w:bookmarkStart w:id="394" w:name="_Toc266870432"/>
      <w:bookmarkStart w:id="395" w:name="_Toc253066614"/>
      <w:bookmarkStart w:id="396" w:name="_Toc259692740"/>
      <w:bookmarkStart w:id="397" w:name="_Toc249325711"/>
      <w:bookmarkStart w:id="398" w:name="_Toc258401256"/>
      <w:bookmarkStart w:id="399" w:name="_Toc266870833"/>
      <w:bookmarkStart w:id="400" w:name="_Toc266870907"/>
      <w:bookmarkStart w:id="401" w:name="_Toc267059539"/>
      <w:bookmarkStart w:id="402" w:name="_Toc217891402"/>
      <w:bookmarkStart w:id="403" w:name="_Toc267060068"/>
      <w:bookmarkStart w:id="404" w:name="_Toc267060208"/>
      <w:bookmarkStart w:id="405" w:name="_Toc267060321"/>
      <w:bookmarkStart w:id="406" w:name="_Toc267059919"/>
      <w:bookmarkStart w:id="407" w:name="_Toc273178698"/>
      <w:bookmarkStart w:id="408" w:name="_Toc267060453"/>
      <w:r>
        <w:rPr>
          <w:rFonts w:ascii="仿宋" w:hAnsi="仿宋" w:eastAsia="仿宋"/>
          <w:b/>
          <w:bCs/>
          <w:sz w:val="24"/>
          <w:szCs w:val="24"/>
        </w:rPr>
        <w:br w:type="page"/>
      </w:r>
    </w:p>
    <w:p>
      <w:pPr>
        <w:jc w:val="center"/>
        <w:outlineLvl w:val="1"/>
        <w:rPr>
          <w:rFonts w:ascii="仿宋" w:hAnsi="仿宋" w:eastAsia="仿宋"/>
          <w:b/>
          <w:bCs/>
          <w:sz w:val="24"/>
          <w:szCs w:val="24"/>
        </w:rPr>
      </w:pPr>
      <w:r>
        <w:rPr>
          <w:rFonts w:hint="eastAsia" w:ascii="仿宋" w:hAnsi="仿宋" w:eastAsia="仿宋"/>
          <w:b/>
          <w:bCs/>
          <w:sz w:val="24"/>
          <w:szCs w:val="24"/>
        </w:rPr>
        <w:t>1、</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Fonts w:hint="eastAsia" w:ascii="仿宋" w:hAnsi="仿宋" w:eastAsia="仿宋"/>
          <w:b/>
          <w:bCs/>
          <w:sz w:val="24"/>
          <w:szCs w:val="24"/>
        </w:rPr>
        <w:t>询价响应函</w:t>
      </w:r>
    </w:p>
    <w:p>
      <w:pPr>
        <w:spacing w:after="0" w:line="480" w:lineRule="exact"/>
        <w:rPr>
          <w:rFonts w:ascii="仿宋" w:hAnsi="仿宋" w:eastAsia="仿宋"/>
          <w:sz w:val="24"/>
          <w:szCs w:val="24"/>
        </w:rPr>
      </w:pPr>
      <w:r>
        <w:rPr>
          <w:rFonts w:hint="eastAsia" w:ascii="仿宋" w:hAnsi="仿宋" w:eastAsia="仿宋"/>
          <w:sz w:val="24"/>
          <w:szCs w:val="24"/>
        </w:rPr>
        <w:t>致：X</w:t>
      </w:r>
      <w:r>
        <w:rPr>
          <w:rFonts w:ascii="仿宋" w:hAnsi="仿宋" w:eastAsia="仿宋"/>
          <w:sz w:val="24"/>
          <w:szCs w:val="24"/>
        </w:rPr>
        <w:t>XX</w:t>
      </w:r>
      <w:r>
        <w:rPr>
          <w:rFonts w:hint="eastAsia" w:ascii="仿宋" w:hAnsi="仿宋" w:eastAsia="仿宋"/>
          <w:sz w:val="24"/>
          <w:szCs w:val="24"/>
        </w:rPr>
        <w:t>学校</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7"/>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sz w:val="24"/>
          <w:szCs w:val="24"/>
        </w:rPr>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pPr>
      <w:r>
        <w:rPr>
          <w:rFonts w:ascii="仿宋" w:hAnsi="仿宋" w:eastAsia="仿宋"/>
          <w:sz w:val="24"/>
          <w:szCs w:val="24"/>
        </w:rPr>
        <w:br w:type="page"/>
      </w:r>
    </w:p>
    <w:p>
      <w:pPr>
        <w:rPr>
          <w:rFonts w:ascii="仿宋" w:hAnsi="仿宋" w:eastAsia="仿宋" w:cs="Times New Roman"/>
          <w:kern w:val="2"/>
          <w:sz w:val="24"/>
          <w:szCs w:val="24"/>
        </w:rPr>
      </w:pP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sz w:val="24"/>
          <w:szCs w:val="24"/>
        </w:rPr>
      </w:pPr>
      <w:r>
        <w:rPr>
          <w:rFonts w:hint="eastAsia" w:ascii="仿宋" w:hAnsi="仿宋" w:eastAsia="仿宋"/>
          <w:b/>
          <w:bCs/>
          <w:sz w:val="24"/>
          <w:szCs w:val="24"/>
        </w:rPr>
        <w:t>（根据项目情况各成员学校可自行修改）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4"/>
        <w:tblW w:w="14865" w:type="dxa"/>
        <w:tblInd w:w="-426" w:type="dxa"/>
        <w:tblLayout w:type="autofit"/>
        <w:tblCellMar>
          <w:top w:w="0" w:type="dxa"/>
          <w:left w:w="108" w:type="dxa"/>
          <w:bottom w:w="0" w:type="dxa"/>
          <w:right w:w="108" w:type="dxa"/>
        </w:tblCellMar>
      </w:tblPr>
      <w:tblGrid>
        <w:gridCol w:w="875"/>
        <w:gridCol w:w="1892"/>
        <w:gridCol w:w="5411"/>
        <w:gridCol w:w="875"/>
        <w:gridCol w:w="1742"/>
        <w:gridCol w:w="2320"/>
        <w:gridCol w:w="875"/>
        <w:gridCol w:w="875"/>
      </w:tblGrid>
      <w:tr>
        <w:tblPrEx>
          <w:tblCellMar>
            <w:top w:w="0" w:type="dxa"/>
            <w:left w:w="108" w:type="dxa"/>
            <w:bottom w:w="0" w:type="dxa"/>
            <w:right w:w="108" w:type="dxa"/>
          </w:tblCellMar>
        </w:tblPrEx>
        <w:trPr>
          <w:trHeight w:val="860" w:hRule="atLeast"/>
        </w:trPr>
        <w:tc>
          <w:tcPr>
            <w:tcW w:w="14865" w:type="dxa"/>
            <w:gridSpan w:val="8"/>
            <w:tcBorders>
              <w:top w:val="nil"/>
              <w:left w:val="nil"/>
              <w:bottom w:val="nil"/>
              <w:right w:val="nil"/>
            </w:tcBorders>
            <w:shd w:val="clear" w:color="auto" w:fill="auto"/>
            <w:noWrap/>
            <w:vAlign w:val="center"/>
          </w:tcPr>
          <w:p>
            <w:pPr>
              <w:jc w:val="center"/>
              <w:textAlignment w:val="center"/>
              <w:rPr>
                <w:rFonts w:ascii="仿宋" w:hAnsi="仿宋" w:eastAsia="仿宋" w:cs="宋体"/>
                <w:b/>
                <w:bCs/>
                <w:sz w:val="21"/>
                <w:szCs w:val="21"/>
              </w:rPr>
            </w:pPr>
            <w:r>
              <w:rPr>
                <w:rFonts w:hint="eastAsia" w:ascii="仿宋" w:hAnsi="仿宋" w:eastAsia="仿宋" w:cs="宋体"/>
                <w:b/>
                <w:bCs/>
                <w:sz w:val="24"/>
                <w:szCs w:val="24"/>
                <w:lang w:bidi="ar"/>
              </w:rPr>
              <w:t>江西科技学院十期桩基工程量清单表</w:t>
            </w:r>
          </w:p>
        </w:tc>
      </w:tr>
      <w:tr>
        <w:tblPrEx>
          <w:tblCellMar>
            <w:top w:w="0" w:type="dxa"/>
            <w:left w:w="108" w:type="dxa"/>
            <w:bottom w:w="0" w:type="dxa"/>
            <w:right w:w="108" w:type="dxa"/>
          </w:tblCellMar>
        </w:tblPrEx>
        <w:trPr>
          <w:trHeight w:val="5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序号</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项目特征</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单位</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暂定工程量</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全费用综合单价</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合价</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备注</w:t>
            </w:r>
          </w:p>
        </w:tc>
      </w:tr>
      <w:tr>
        <w:tblPrEx>
          <w:tblCellMar>
            <w:top w:w="0" w:type="dxa"/>
            <w:left w:w="108" w:type="dxa"/>
            <w:bottom w:w="0" w:type="dxa"/>
            <w:right w:w="108" w:type="dxa"/>
          </w:tblCellMar>
        </w:tblPrEx>
        <w:trPr>
          <w:trHeight w:val="3116"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1</w:t>
            </w:r>
          </w:p>
        </w:tc>
        <w:tc>
          <w:tcPr>
            <w:tcW w:w="1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Φ800以下回旋钻孔灌注桩（水下商品碎石砼C40）</w:t>
            </w:r>
          </w:p>
        </w:tc>
        <w:tc>
          <w:tcPr>
            <w:tcW w:w="5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宋体"/>
                <w:sz w:val="21"/>
                <w:szCs w:val="21"/>
              </w:rPr>
            </w:pPr>
            <w:r>
              <w:rPr>
                <w:rFonts w:hint="eastAsia" w:ascii="仿宋" w:hAnsi="仿宋" w:eastAsia="仿宋" w:cs="宋体"/>
                <w:sz w:val="21"/>
                <w:szCs w:val="21"/>
                <w:lang w:bidi="ar"/>
              </w:rPr>
              <w:t>包括但不限于以下内容：</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1、报价清单已含成孔、护壁、混凝土浇筑、穿透夹层入岩增加费、泥浆池及沟槽施工/泥浆制作、泥浆翻晒及场内堆放，桩验收、地下障碍物清除及相关护筒固壁措施，施工道路垫设，桩基机械进出场等；</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2、不区分桩基受力类型；</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3、充盈系数投标单位自行综合考虑；</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4、现场安全文明施工措施，对周边环境影响的监测，与桩基检测单位、总包单位的相关配合工作等一切辅助工作和包括人工、材料、机械、管理、价格波动等风险、利润、措施费、规费及税金等一切有关费用；</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5、工地周边村民及其他地方干扰引起的费用、城管及政府其他部门的协调费。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m</w:t>
            </w:r>
            <w:r>
              <w:rPr>
                <w:rFonts w:ascii="Calibri" w:hAnsi="Calibri" w:eastAsia="仿宋" w:cs="Calibri"/>
                <w:sz w:val="21"/>
                <w:szCs w:val="21"/>
                <w:lang w:bidi="ar"/>
              </w:rPr>
              <w:t>³</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ascii="仿宋" w:hAnsi="仿宋" w:eastAsia="仿宋" w:cs="宋体"/>
                <w:sz w:val="21"/>
                <w:szCs w:val="21"/>
                <w:lang w:bidi="ar"/>
              </w:rPr>
              <w:t>7911.05</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220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2</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钢筋笼</w:t>
            </w:r>
          </w:p>
        </w:tc>
        <w:tc>
          <w:tcPr>
            <w:tcW w:w="5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宋体"/>
                <w:sz w:val="21"/>
                <w:szCs w:val="21"/>
              </w:rPr>
            </w:pPr>
            <w:r>
              <w:rPr>
                <w:rFonts w:hint="eastAsia" w:ascii="仿宋" w:hAnsi="仿宋" w:eastAsia="仿宋" w:cs="宋体"/>
                <w:sz w:val="21"/>
                <w:szCs w:val="21"/>
                <w:lang w:bidi="ar"/>
              </w:rPr>
              <w:t>包括但不限于以下内容：</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1、钢筋笼的钢筋供应及加工制作、运输、连接及吊车吊装；</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2、现场安全文明施工措施，对周边环境影响的监测，与桩基检测单位、总包单位的相关配合工作等一切辅助工作和包括人工、材料、机械、管理、价格波动等风险、利润、措施费、规费及税金等一切有关费用；</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3、工地周边村民及其他地方干扰引起的费用、城管及政府其他部门的协调费。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hint="eastAsia" w:ascii="仿宋" w:hAnsi="仿宋" w:eastAsia="仿宋" w:cs="宋体"/>
                <w:sz w:val="21"/>
                <w:szCs w:val="21"/>
                <w:lang w:bidi="ar"/>
              </w:rPr>
              <w:t>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sz w:val="21"/>
                <w:szCs w:val="21"/>
              </w:rPr>
            </w:pPr>
            <w:r>
              <w:rPr>
                <w:rFonts w:ascii="仿宋" w:hAnsi="仿宋" w:eastAsia="仿宋" w:cs="宋体"/>
                <w:sz w:val="21"/>
                <w:szCs w:val="21"/>
                <w:lang w:bidi="ar"/>
              </w:rPr>
              <w:t>260.35</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900" w:hRule="atLeast"/>
        </w:trPr>
        <w:tc>
          <w:tcPr>
            <w:tcW w:w="14865" w:type="dxa"/>
            <w:gridSpan w:val="8"/>
            <w:tcBorders>
              <w:top w:val="nil"/>
              <w:left w:val="nil"/>
              <w:bottom w:val="nil"/>
              <w:right w:val="nil"/>
            </w:tcBorders>
            <w:shd w:val="clear" w:color="auto" w:fill="auto"/>
          </w:tcPr>
          <w:p>
            <w:pPr>
              <w:jc w:val="left"/>
              <w:textAlignment w:val="top"/>
              <w:rPr>
                <w:rFonts w:ascii="仿宋" w:hAnsi="仿宋" w:eastAsia="仿宋" w:cs="宋体"/>
                <w:sz w:val="21"/>
                <w:szCs w:val="21"/>
              </w:rPr>
            </w:pPr>
            <w:r>
              <w:rPr>
                <w:rFonts w:hint="eastAsia" w:ascii="仿宋" w:hAnsi="仿宋" w:eastAsia="仿宋" w:cs="宋体"/>
                <w:sz w:val="21"/>
                <w:szCs w:val="21"/>
                <w:lang w:bidi="ar"/>
              </w:rPr>
              <w:t>说明：1、工程量计算规则：《建设工程工程量清单计价规范》（GB50500-2013）及相应配套的工程量计算规范；</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 xml:space="preserve">      2、此报价清单不含泥浆外运（基坑内），但需翻晒且达到土方环保外运条件；</w:t>
            </w:r>
            <w:r>
              <w:rPr>
                <w:rFonts w:hint="eastAsia" w:ascii="仿宋" w:hAnsi="仿宋" w:eastAsia="仿宋" w:cs="宋体"/>
                <w:sz w:val="21"/>
                <w:szCs w:val="21"/>
                <w:lang w:bidi="ar"/>
              </w:rPr>
              <w:br w:type="textWrapping"/>
            </w:r>
            <w:r>
              <w:rPr>
                <w:rFonts w:hint="eastAsia" w:ascii="仿宋" w:hAnsi="仿宋" w:eastAsia="仿宋" w:cs="宋体"/>
                <w:sz w:val="21"/>
                <w:szCs w:val="21"/>
                <w:lang w:bidi="ar"/>
              </w:rPr>
              <w:t xml:space="preserve">      3、设计桩长约为38-40米，具体数据以设计图纸为准。</w:t>
            </w:r>
          </w:p>
        </w:tc>
      </w:tr>
    </w:tbl>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pgSz w:w="16838" w:h="11906" w:orient="landscape"/>
          <w:pgMar w:top="1134" w:right="1440" w:bottom="1416" w:left="1440"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409" w:name="_Toc182372787"/>
      <w:bookmarkStart w:id="410" w:name="_Toc182805222"/>
      <w:bookmarkStart w:id="411" w:name="_Toc191783227"/>
      <w:bookmarkStart w:id="412" w:name="_Toc192663691"/>
      <w:bookmarkStart w:id="413" w:name="_Toc181436570"/>
      <w:bookmarkStart w:id="414" w:name="_Toc251613839"/>
      <w:bookmarkStart w:id="415" w:name="_Toc253066624"/>
      <w:bookmarkStart w:id="416" w:name="_Toc191789334"/>
      <w:bookmarkStart w:id="417" w:name="_Toc192664158"/>
      <w:bookmarkStart w:id="418" w:name="_Toc177985474"/>
      <w:bookmarkStart w:id="419" w:name="_Toc191802695"/>
      <w:bookmarkStart w:id="420" w:name="_Toc160880534"/>
      <w:bookmarkStart w:id="421" w:name="_Toc169332843"/>
      <w:bookmarkStart w:id="422" w:name="_Toc191803631"/>
      <w:bookmarkStart w:id="423" w:name="_Toc192663840"/>
      <w:bookmarkStart w:id="424" w:name="_Toc192996343"/>
      <w:bookmarkStart w:id="425" w:name="_Toc169332954"/>
      <w:bookmarkStart w:id="426" w:name="_Toc180302918"/>
      <w:bookmarkStart w:id="427" w:name="_Toc170798798"/>
      <w:bookmarkStart w:id="428" w:name="_Toc181436466"/>
      <w:bookmarkStart w:id="429" w:name="_Toc225669328"/>
      <w:bookmarkStart w:id="430" w:name="_Toc213755864"/>
      <w:bookmarkStart w:id="431" w:name="_Toc235437998"/>
      <w:bookmarkStart w:id="432" w:name="_Toc249325720"/>
      <w:bookmarkStart w:id="433" w:name="_Toc203355738"/>
      <w:bookmarkStart w:id="434" w:name="_Toc251586241"/>
      <w:bookmarkStart w:id="435" w:name="_Toc193160453"/>
      <w:bookmarkStart w:id="436" w:name="_Toc255975016"/>
      <w:bookmarkStart w:id="437" w:name="_Toc217891408"/>
      <w:bookmarkStart w:id="438" w:name="_Toc235438281"/>
      <w:bookmarkStart w:id="439" w:name="_Toc235438352"/>
      <w:bookmarkStart w:id="440" w:name="_Toc259520874"/>
      <w:bookmarkStart w:id="441" w:name="_Toc259692656"/>
      <w:bookmarkStart w:id="442" w:name="_Toc258401265"/>
      <w:bookmarkStart w:id="443" w:name="_Toc259692749"/>
      <w:bookmarkStart w:id="444" w:name="_Toc211917121"/>
      <w:bookmarkStart w:id="445" w:name="_Toc193165739"/>
      <w:bookmarkStart w:id="446" w:name="_Toc213756001"/>
      <w:bookmarkStart w:id="447" w:name="_Toc192996451"/>
      <w:bookmarkStart w:id="448" w:name="_Toc213756057"/>
      <w:bookmarkStart w:id="449" w:name="_Toc232302122"/>
      <w:bookmarkStart w:id="450" w:name="_Toc254790909"/>
      <w:bookmarkStart w:id="451" w:name="_Toc227058536"/>
      <w:bookmarkStart w:id="452" w:name="_Toc223146614"/>
      <w:bookmarkStart w:id="453" w:name="_Toc213755945"/>
      <w:bookmarkStart w:id="454" w:name="_Toc230071153"/>
      <w:bookmarkStart w:id="455" w:name="_Toc236021457"/>
      <w:bookmarkStart w:id="456" w:name="_Toc160880165"/>
      <w:bookmarkStart w:id="457" w:name="_Toc213208771"/>
      <w:bookmarkStart w:id="458" w:name="_Toc219800249"/>
      <w:bookmarkStart w:id="459" w:name="_Toc267059544"/>
      <w:bookmarkStart w:id="460" w:name="_Toc267059186"/>
      <w:bookmarkStart w:id="461" w:name="_Toc267060076"/>
      <w:bookmarkStart w:id="462" w:name="_Toc266870839"/>
      <w:bookmarkStart w:id="463" w:name="_Toc266870916"/>
      <w:bookmarkStart w:id="464" w:name="_Toc267059035"/>
      <w:bookmarkStart w:id="465" w:name="_Toc267059658"/>
      <w:bookmarkStart w:id="466" w:name="_Toc267059811"/>
      <w:bookmarkStart w:id="467" w:name="_Toc267060326"/>
      <w:bookmarkStart w:id="468" w:name="_Toc267059924"/>
      <w:bookmarkStart w:id="469" w:name="_Toc267060461"/>
      <w:bookmarkStart w:id="470" w:name="_Toc266870441"/>
      <w:bookmarkStart w:id="471" w:name="_Toc266868679"/>
      <w:bookmarkStart w:id="472" w:name="_Toc273178703"/>
      <w:bookmarkStart w:id="473" w:name="_Toc267060216"/>
      <w:bookmarkStart w:id="474" w:name="_Toc266868943"/>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Fonts w:hint="eastAsia" w:ascii="仿宋" w:hAnsi="仿宋" w:eastAsia="仿宋"/>
          <w:b/>
          <w:bCs/>
          <w:sz w:val="24"/>
          <w:szCs w:val="24"/>
        </w:rPr>
        <w:t>参与人资质材料</w:t>
      </w:r>
    </w:p>
    <w:p>
      <w:pPr>
        <w:pStyle w:val="40"/>
        <w:rPr>
          <w:rFonts w:ascii="仿宋" w:hAnsi="仿宋" w:eastAsia="仿宋"/>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5"/>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5"/>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5"/>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59264" behindDoc="0" locked="0" layoutInCell="1" allowOverlap="1">
          <wp:simplePos x="0" y="0"/>
          <wp:positionH relativeFrom="page">
            <wp:align>center</wp:align>
          </wp:positionH>
          <wp:positionV relativeFrom="page">
            <wp:posOffset>247650</wp:posOffset>
          </wp:positionV>
          <wp:extent cx="1643380" cy="428625"/>
          <wp:effectExtent l="0" t="0" r="0" b="9525"/>
          <wp:wrapNone/>
          <wp:docPr id="16" name="图片 16"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jx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0288" behindDoc="0" locked="0" layoutInCell="1" allowOverlap="1">
          <wp:simplePos x="0" y="0"/>
          <wp:positionH relativeFrom="page">
            <wp:align>center</wp:align>
          </wp:positionH>
          <wp:positionV relativeFrom="page">
            <wp:posOffset>241935</wp:posOffset>
          </wp:positionV>
          <wp:extent cx="1643380" cy="428625"/>
          <wp:effectExtent l="0" t="0" r="0" b="9525"/>
          <wp:wrapNone/>
          <wp:docPr id="17" name="图片 17"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jx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255A4A"/>
    <w:multiLevelType w:val="singleLevel"/>
    <w:tmpl w:val="F1255A4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685181"/>
    <w:multiLevelType w:val="multilevel"/>
    <w:tmpl w:val="37685181"/>
    <w:lvl w:ilvl="0" w:tentative="0">
      <w:start w:val="1"/>
      <w:numFmt w:val="decimal"/>
      <w:lvlText w:val="（%1）"/>
      <w:lvlJc w:val="left"/>
      <w:pPr>
        <w:tabs>
          <w:tab w:val="left" w:pos="1469"/>
        </w:tabs>
        <w:ind w:left="1469" w:hanging="419"/>
      </w:pPr>
      <w:rPr>
        <w:rFonts w:hint="default"/>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9003B87"/>
    <w:multiLevelType w:val="multilevel"/>
    <w:tmpl w:val="79003B87"/>
    <w:lvl w:ilvl="0" w:tentative="0">
      <w:start w:val="7"/>
      <w:numFmt w:val="decimal"/>
      <w:lvlText w:val="（%1）"/>
      <w:lvlJc w:val="left"/>
      <w:pPr>
        <w:tabs>
          <w:tab w:val="left" w:pos="1469"/>
        </w:tabs>
        <w:ind w:left="1469" w:hanging="419"/>
      </w:pPr>
      <w:rPr>
        <w:rFonts w:hint="default"/>
      </w:rPr>
    </w:lvl>
    <w:lvl w:ilvl="1" w:tentative="0">
      <w:start w:val="4"/>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4"/>
  </w:num>
  <w:num w:numId="2">
    <w:abstractNumId w:val="2"/>
  </w:num>
  <w:num w:numId="3">
    <w:abstractNumId w:val="8"/>
  </w:num>
  <w:num w:numId="4">
    <w:abstractNumId w:val="5"/>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A464D"/>
    <w:rsid w:val="000C3E2B"/>
    <w:rsid w:val="000F4F45"/>
    <w:rsid w:val="001037BF"/>
    <w:rsid w:val="0013118F"/>
    <w:rsid w:val="00133253"/>
    <w:rsid w:val="00142179"/>
    <w:rsid w:val="001561E9"/>
    <w:rsid w:val="00176CD4"/>
    <w:rsid w:val="001772BC"/>
    <w:rsid w:val="00182C6E"/>
    <w:rsid w:val="001A5B43"/>
    <w:rsid w:val="001B719E"/>
    <w:rsid w:val="001C6943"/>
    <w:rsid w:val="00212D7B"/>
    <w:rsid w:val="00235C32"/>
    <w:rsid w:val="00244E90"/>
    <w:rsid w:val="002657F7"/>
    <w:rsid w:val="002772BB"/>
    <w:rsid w:val="002A0474"/>
    <w:rsid w:val="002A633A"/>
    <w:rsid w:val="002C2C3D"/>
    <w:rsid w:val="002C4297"/>
    <w:rsid w:val="00320C30"/>
    <w:rsid w:val="00334E6F"/>
    <w:rsid w:val="003570A0"/>
    <w:rsid w:val="003C60EF"/>
    <w:rsid w:val="003C7DAA"/>
    <w:rsid w:val="003E6439"/>
    <w:rsid w:val="003F20A6"/>
    <w:rsid w:val="00404FA2"/>
    <w:rsid w:val="004242F4"/>
    <w:rsid w:val="0043243C"/>
    <w:rsid w:val="00441955"/>
    <w:rsid w:val="00447890"/>
    <w:rsid w:val="004B66B1"/>
    <w:rsid w:val="004F6AE0"/>
    <w:rsid w:val="00502F52"/>
    <w:rsid w:val="005329E5"/>
    <w:rsid w:val="00582530"/>
    <w:rsid w:val="00590957"/>
    <w:rsid w:val="005914DC"/>
    <w:rsid w:val="005A5A4D"/>
    <w:rsid w:val="005B60DA"/>
    <w:rsid w:val="005C317D"/>
    <w:rsid w:val="005F125A"/>
    <w:rsid w:val="005F1FC8"/>
    <w:rsid w:val="00630374"/>
    <w:rsid w:val="0069669C"/>
    <w:rsid w:val="006D2FCE"/>
    <w:rsid w:val="006E712A"/>
    <w:rsid w:val="006F3C71"/>
    <w:rsid w:val="006F5FBA"/>
    <w:rsid w:val="00754818"/>
    <w:rsid w:val="007642E4"/>
    <w:rsid w:val="0077305A"/>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6B56"/>
    <w:rsid w:val="00967E57"/>
    <w:rsid w:val="00994E59"/>
    <w:rsid w:val="009A42C4"/>
    <w:rsid w:val="009B7DAD"/>
    <w:rsid w:val="00A148CE"/>
    <w:rsid w:val="00A24465"/>
    <w:rsid w:val="00A40610"/>
    <w:rsid w:val="00A4220E"/>
    <w:rsid w:val="00A44A63"/>
    <w:rsid w:val="00A45704"/>
    <w:rsid w:val="00A64A5B"/>
    <w:rsid w:val="00AD29A3"/>
    <w:rsid w:val="00AF3C2A"/>
    <w:rsid w:val="00B14C37"/>
    <w:rsid w:val="00B152A5"/>
    <w:rsid w:val="00B51EE9"/>
    <w:rsid w:val="00B54440"/>
    <w:rsid w:val="00B554E7"/>
    <w:rsid w:val="00B556FC"/>
    <w:rsid w:val="00B7278F"/>
    <w:rsid w:val="00B83714"/>
    <w:rsid w:val="00BD49FB"/>
    <w:rsid w:val="00BD51D2"/>
    <w:rsid w:val="00BD7232"/>
    <w:rsid w:val="00BE1921"/>
    <w:rsid w:val="00C035B5"/>
    <w:rsid w:val="00C05260"/>
    <w:rsid w:val="00C66E1E"/>
    <w:rsid w:val="00C676BA"/>
    <w:rsid w:val="00C81AB4"/>
    <w:rsid w:val="00C857BF"/>
    <w:rsid w:val="00CA25CB"/>
    <w:rsid w:val="00CA6CB6"/>
    <w:rsid w:val="00CA786D"/>
    <w:rsid w:val="00CB4127"/>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50E3D"/>
    <w:rsid w:val="00F559CA"/>
    <w:rsid w:val="00F75EE1"/>
    <w:rsid w:val="00F8646A"/>
    <w:rsid w:val="00F876DE"/>
    <w:rsid w:val="00FF1750"/>
    <w:rsid w:val="00FF655F"/>
    <w:rsid w:val="4C8C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link w:val="62"/>
    <w:qFormat/>
    <w:uiPriority w:val="0"/>
    <w:pPr>
      <w:jc w:val="left"/>
    </w:pPr>
  </w:style>
  <w:style w:type="paragraph" w:styleId="14">
    <w:name w:val="Body Text"/>
    <w:basedOn w:val="1"/>
    <w:link w:val="59"/>
    <w:semiHidden/>
    <w:unhideWhenUsed/>
    <w:uiPriority w:val="99"/>
    <w:pPr>
      <w:spacing w:after="120"/>
    </w:pPr>
  </w:style>
  <w:style w:type="paragraph" w:styleId="15">
    <w:name w:val="toc 3"/>
    <w:basedOn w:val="1"/>
    <w:next w:val="1"/>
    <w:unhideWhenUsed/>
    <w:uiPriority w:val="39"/>
    <w:pPr>
      <w:spacing w:after="100" w:line="259" w:lineRule="auto"/>
      <w:ind w:left="440"/>
      <w:jc w:val="left"/>
    </w:pPr>
    <w:rPr>
      <w:rFonts w:cs="Times New Roman"/>
    </w:rPr>
  </w:style>
  <w:style w:type="paragraph" w:styleId="16">
    <w:name w:val="Plain Text"/>
    <w:basedOn w:val="1"/>
    <w:link w:val="58"/>
    <w:unhideWhenUsed/>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uiPriority w:val="9"/>
    <w:rPr>
      <w:i/>
      <w:iCs/>
    </w:rPr>
  </w:style>
  <w:style w:type="character" w:customStyle="1" w:styleId="36">
    <w:name w:val="标题 8 字符"/>
    <w:basedOn w:val="25"/>
    <w:link w:val="9"/>
    <w:semiHidden/>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5"/>
    <w:link w:val="40"/>
    <w:uiPriority w:val="1"/>
  </w:style>
  <w:style w:type="paragraph" w:customStyle="1" w:styleId="52">
    <w:name w:val="Defaul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uiPriority w:val="99"/>
    <w:rPr>
      <w:sz w:val="18"/>
      <w:szCs w:val="18"/>
    </w:rPr>
  </w:style>
  <w:style w:type="character" w:customStyle="1" w:styleId="54">
    <w:name w:val="页脚 字符"/>
    <w:basedOn w:val="25"/>
    <w:link w:val="17"/>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uiPriority w:val="0"/>
    <w:rPr>
      <w:rFonts w:ascii="Times New Roman" w:hAnsi="Times New Roman" w:eastAsia="宋体" w:cs="Times New Roman"/>
      <w:kern w:val="2"/>
      <w:sz w:val="16"/>
      <w:szCs w:val="16"/>
    </w:rPr>
  </w:style>
  <w:style w:type="paragraph" w:customStyle="1" w:styleId="57">
    <w:name w:val="样式3"/>
    <w:basedOn w:val="16"/>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uiPriority w:val="99"/>
    <w:rPr>
      <w:rFonts w:hAnsi="Courier New" w:cs="Courier New" w:asciiTheme="minorEastAsia"/>
    </w:rPr>
  </w:style>
  <w:style w:type="character" w:customStyle="1" w:styleId="59">
    <w:name w:val="正文文本 字符"/>
    <w:basedOn w:val="25"/>
    <w:link w:val="14"/>
    <w:semiHidden/>
    <w:uiPriority w:val="99"/>
  </w:style>
  <w:style w:type="character" w:customStyle="1" w:styleId="60">
    <w:name w:val="纯文本 Char"/>
    <w:uiPriority w:val="0"/>
    <w:rPr>
      <w:rFonts w:ascii="宋体" w:hAnsi="Courier New" w:eastAsia="宋体"/>
      <w:kern w:val="2"/>
      <w:sz w:val="21"/>
      <w:lang w:val="en-US" w:eastAsia="zh-CN" w:bidi="ar-SA"/>
    </w:rPr>
  </w:style>
  <w:style w:type="character" w:customStyle="1" w:styleId="61">
    <w:name w:val="不明显参考1"/>
    <w:basedOn w:val="25"/>
    <w:qFormat/>
    <w:uiPriority w:val="31"/>
    <w:rPr>
      <w:smallCaps/>
      <w:color w:val="auto"/>
      <w:u w:val="single" w:color="7E7E7E" w:themeColor="text1" w:themeTint="80"/>
    </w:rPr>
  </w:style>
  <w:style w:type="character" w:customStyle="1" w:styleId="62">
    <w:name w:val="批注文字 字符"/>
    <w:basedOn w:val="25"/>
    <w:link w:val="13"/>
    <w:uiPriority w:val="0"/>
  </w:style>
  <w:style w:type="character" w:customStyle="1" w:styleId="63">
    <w:name w:val="页脚 字符1"/>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16</Pages>
  <Words>1244</Words>
  <Characters>7092</Characters>
  <Lines>59</Lines>
  <Paragraphs>16</Paragraphs>
  <TotalTime>47</TotalTime>
  <ScaleCrop>false</ScaleCrop>
  <LinksUpToDate>false</LinksUpToDate>
  <CharactersWithSpaces>8320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2022-09-05T09:12:00Z</dcterms:created>
  <dc:creator>树亮 门</dc:creator>
  <cp:lastModifiedBy>菓il雅琼</cp:lastModifiedBy>
  <dcterms:modified xsi:type="dcterms:W3CDTF">2022-09-05T13:59:36Z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A6C3A07714644DCB9D3A801E507997E9</vt:lpwstr>
  </property>
</Properties>
</file>