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1"/>
        <w:spacing w:line="360" w:lineRule="auto"/>
        <w:jc w:val="center"/>
        <w:outlineLvl w:val="0"/>
        <w:rPr>
          <w:rFonts w:ascii="仿宋" w:hAnsi="仿宋" w:eastAsia="仿宋"/>
          <w:b/>
          <w:color w:val="auto"/>
          <w:sz w:val="44"/>
          <w:szCs w:val="44"/>
        </w:rPr>
      </w:pPr>
      <w:bookmarkStart w:id="0" w:name="_Toc219800200"/>
      <w:bookmarkStart w:id="1" w:name="_Toc253066567"/>
      <w:bookmarkStart w:id="2" w:name="_Toc267060407"/>
      <w:bookmarkStart w:id="3" w:name="_Toc266868624"/>
      <w:bookmarkStart w:id="4" w:name="_Toc266870386"/>
      <w:bookmarkStart w:id="5" w:name="_Toc267059633"/>
      <w:bookmarkStart w:id="6" w:name="_Toc217891359"/>
      <w:bookmarkStart w:id="7" w:name="_Toc267059010"/>
      <w:bookmarkStart w:id="8" w:name="_Toc267059519"/>
      <w:bookmarkStart w:id="9" w:name="_Toc212526081"/>
      <w:bookmarkStart w:id="10" w:name="_Toc170798743"/>
      <w:bookmarkStart w:id="11" w:name="_Toc267059786"/>
      <w:bookmarkStart w:id="12" w:name="_Toc225669277"/>
      <w:bookmarkStart w:id="13" w:name="_Toc169332794"/>
      <w:bookmarkStart w:id="14" w:name="_Toc212456146"/>
      <w:bookmarkStart w:id="15" w:name="_Toc216241307"/>
      <w:bookmarkStart w:id="16" w:name="_Toc267059899"/>
      <w:bookmarkStart w:id="17" w:name="_Toc259692600"/>
      <w:bookmarkStart w:id="18" w:name="_Toc169332904"/>
      <w:bookmarkStart w:id="19" w:name="_Toc258401210"/>
      <w:bookmarkStart w:id="20" w:name="_Toc227058483"/>
      <w:bookmarkStart w:id="21" w:name="_Toc251613780"/>
      <w:bookmarkStart w:id="22" w:name="_Toc212530253"/>
      <w:bookmarkStart w:id="23" w:name="_Toc177985424"/>
      <w:bookmarkStart w:id="24" w:name="_Toc273178686"/>
      <w:bookmarkStart w:id="25" w:name="_Toc236021402"/>
      <w:bookmarkStart w:id="26" w:name="_Toc255974963"/>
      <w:bookmarkStart w:id="27" w:name="_Toc259520819"/>
      <w:bookmarkStart w:id="28" w:name="_Toc235438227"/>
      <w:bookmarkStart w:id="29" w:name="_Toc211937196"/>
      <w:bookmarkStart w:id="30" w:name="_Toc249325665"/>
      <w:bookmarkStart w:id="31" w:name="_Toc235437942"/>
      <w:bookmarkStart w:id="32" w:name="_Toc207014580"/>
      <w:bookmarkStart w:id="33" w:name="_Toc251586187"/>
      <w:bookmarkStart w:id="34" w:name="_Toc267060162"/>
      <w:bookmarkStart w:id="35" w:name="_Toc259692693"/>
      <w:bookmarkStart w:id="36" w:name="_Toc212454753"/>
      <w:bookmarkStart w:id="37" w:name="_Toc267060022"/>
      <w:bookmarkStart w:id="38" w:name="_Toc235438297"/>
      <w:bookmarkStart w:id="39" w:name="_Toc266870861"/>
      <w:bookmarkStart w:id="40" w:name="_Toc223146565"/>
      <w:bookmarkStart w:id="41" w:name="_Toc160880487"/>
      <w:bookmarkStart w:id="42" w:name="_Toc267059161"/>
      <w:bookmarkStart w:id="43" w:name="_Toc266868924"/>
      <w:bookmarkStart w:id="44" w:name="_Toc254790852"/>
      <w:r>
        <w:rPr>
          <w:rFonts w:hint="eastAsia" w:ascii="仿宋" w:hAnsi="仿宋" w:eastAsia="仿宋"/>
          <w:b/>
          <w:color w:val="auto"/>
          <w:sz w:val="44"/>
          <w:szCs w:val="44"/>
        </w:rPr>
        <w:t>公开询价邀请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仿宋" w:hAnsi="仿宋" w:eastAsia="仿宋"/>
          <w:b/>
          <w:color w:val="auto"/>
          <w:sz w:val="44"/>
          <w:szCs w:val="44"/>
        </w:rPr>
        <w:t>函</w:t>
      </w:r>
    </w:p>
    <w:p>
      <w:pPr>
        <w:spacing w:after="0" w:line="500" w:lineRule="exact"/>
        <w:ind w:firstLine="480" w:firstLineChars="200"/>
        <w:rPr>
          <w:rFonts w:hint="default" w:ascii="仿宋" w:hAnsi="仿宋" w:eastAsia="仿宋"/>
          <w:color w:val="auto"/>
          <w:sz w:val="24"/>
          <w:szCs w:val="24"/>
          <w:highlight w:val="none"/>
          <w:lang w:val="en-US" w:eastAsia="zh-CN"/>
        </w:rPr>
      </w:pPr>
      <w:bookmarkStart w:id="45" w:name="_Hlk10840310"/>
      <w:r>
        <w:rPr>
          <w:rFonts w:hint="eastAsia" w:ascii="仿宋" w:hAnsi="仿宋" w:eastAsia="仿宋"/>
          <w:color w:val="auto"/>
          <w:sz w:val="24"/>
          <w:szCs w:val="24"/>
          <w:highlight w:val="none"/>
        </w:rPr>
        <w:t>烟台科技学院（原济南大学泉城学院），是国家教育部和山东省人民政府批准成立的全日制普通本科高校。位于人间仙境——山东蓬莱，现有全日制在校生18000余人，基础设施完备，教学科研条件优越。</w:t>
      </w:r>
      <w:r>
        <w:rPr>
          <w:rFonts w:hint="eastAsia" w:ascii="仿宋" w:hAnsi="仿宋" w:eastAsia="仿宋"/>
          <w:color w:val="auto"/>
          <w:sz w:val="24"/>
          <w:szCs w:val="24"/>
          <w:highlight w:val="none"/>
          <w:lang w:val="en-US" w:eastAsia="zh-CN"/>
        </w:rPr>
        <w:t>现需要对</w:t>
      </w:r>
      <w:r>
        <w:rPr>
          <w:rFonts w:hint="eastAsia" w:ascii="仿宋" w:hAnsi="仿宋" w:eastAsia="仿宋"/>
          <w:color w:val="auto"/>
          <w:sz w:val="24"/>
          <w:szCs w:val="24"/>
          <w:highlight w:val="none"/>
        </w:rPr>
        <w:t>体质测试仪器</w:t>
      </w:r>
      <w:r>
        <w:rPr>
          <w:rFonts w:hint="eastAsia" w:ascii="仿宋" w:hAnsi="仿宋" w:eastAsia="仿宋"/>
          <w:color w:val="auto"/>
          <w:sz w:val="24"/>
          <w:szCs w:val="24"/>
          <w:highlight w:val="none"/>
          <w:lang w:val="en-US" w:eastAsia="zh-CN"/>
        </w:rPr>
        <w:t>一套进行公开询价，欢迎国内合格参与人参与。</w:t>
      </w:r>
    </w:p>
    <w:p>
      <w:pPr>
        <w:spacing w:after="0" w:line="500" w:lineRule="exact"/>
        <w:ind w:firstLine="364" w:firstLineChars="152"/>
        <w:jc w:val="left"/>
        <w:rPr>
          <w:rFonts w:ascii="仿宋" w:hAnsi="仿宋" w:eastAsia="仿宋"/>
          <w:color w:val="auto"/>
          <w:sz w:val="24"/>
          <w:szCs w:val="24"/>
          <w:highlight w:val="none"/>
        </w:rPr>
      </w:pPr>
      <w:r>
        <w:rPr>
          <w:rFonts w:hint="eastAsia" w:ascii="仿宋" w:hAnsi="仿宋" w:eastAsia="仿宋"/>
          <w:color w:val="auto"/>
          <w:sz w:val="24"/>
          <w:szCs w:val="24"/>
          <w:highlight w:val="none"/>
        </w:rPr>
        <w:t>一、项目说明</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项目编号：</w:t>
      </w:r>
      <w:r>
        <w:rPr>
          <w:rFonts w:hint="eastAsia" w:ascii="仿宋" w:hAnsi="仿宋" w:eastAsia="仿宋"/>
          <w:color w:val="auto"/>
          <w:sz w:val="24"/>
          <w:szCs w:val="24"/>
          <w:highlight w:val="none"/>
          <w:lang w:val="en-US" w:eastAsia="zh-CN"/>
        </w:rPr>
        <w:t>YKG20221226</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项目名称：</w:t>
      </w:r>
      <w:r>
        <w:rPr>
          <w:rFonts w:hint="eastAsia" w:ascii="仿宋" w:hAnsi="仿宋" w:eastAsia="仿宋"/>
          <w:color w:val="auto"/>
          <w:sz w:val="24"/>
          <w:szCs w:val="24"/>
          <w:highlight w:val="none"/>
          <w:lang w:val="en-US" w:eastAsia="zh-CN"/>
        </w:rPr>
        <w:t>采购</w:t>
      </w:r>
      <w:r>
        <w:rPr>
          <w:rFonts w:hint="eastAsia" w:ascii="仿宋" w:hAnsi="仿宋" w:eastAsia="仿宋"/>
          <w:color w:val="auto"/>
          <w:sz w:val="24"/>
          <w:szCs w:val="24"/>
          <w:highlight w:val="none"/>
        </w:rPr>
        <w:t>体质测试仪器</w:t>
      </w:r>
      <w:r>
        <w:rPr>
          <w:rFonts w:hint="eastAsia" w:ascii="仿宋" w:hAnsi="仿宋" w:eastAsia="仿宋"/>
          <w:color w:val="auto"/>
          <w:sz w:val="24"/>
          <w:szCs w:val="24"/>
          <w:highlight w:val="none"/>
          <w:lang w:val="en-US" w:eastAsia="zh-CN"/>
        </w:rPr>
        <w:t>一套</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数量及主要技术要求:详见《公开询价货物一览表》。</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参与人资格标准：</w:t>
      </w:r>
    </w:p>
    <w:p>
      <w:pPr>
        <w:pStyle w:val="54"/>
        <w:numPr>
          <w:ilvl w:val="0"/>
          <w:numId w:val="2"/>
        </w:numPr>
        <w:spacing w:after="0" w:line="500" w:lineRule="exact"/>
        <w:ind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参与人应具有独立法人资格的生产厂商或授权经销商。</w:t>
      </w:r>
    </w:p>
    <w:p>
      <w:pPr>
        <w:pStyle w:val="54"/>
        <w:numPr>
          <w:ilvl w:val="0"/>
          <w:numId w:val="2"/>
        </w:numPr>
        <w:spacing w:after="0" w:line="500" w:lineRule="exact"/>
        <w:ind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参与人应具有合法有效的营业执照，经营范围应包括</w:t>
      </w:r>
      <w:r>
        <w:rPr>
          <w:rFonts w:hint="eastAsia" w:ascii="仿宋" w:hAnsi="仿宋" w:eastAsia="仿宋"/>
          <w:color w:val="auto"/>
          <w:sz w:val="24"/>
          <w:szCs w:val="24"/>
          <w:highlight w:val="none"/>
          <w:lang w:val="en-US" w:eastAsia="zh-CN"/>
        </w:rPr>
        <w:t>文体设备</w:t>
      </w:r>
      <w:r>
        <w:rPr>
          <w:rFonts w:hint="eastAsia" w:ascii="仿宋" w:hAnsi="仿宋" w:eastAsia="仿宋"/>
          <w:color w:val="auto"/>
          <w:sz w:val="24"/>
          <w:szCs w:val="24"/>
          <w:highlight w:val="none"/>
        </w:rPr>
        <w:t>资质</w:t>
      </w:r>
      <w:r>
        <w:rPr>
          <w:rFonts w:hint="eastAsia" w:ascii="仿宋" w:hAnsi="仿宋" w:eastAsia="仿宋"/>
          <w:color w:val="auto"/>
          <w:sz w:val="24"/>
          <w:szCs w:val="24"/>
          <w:highlight w:val="none"/>
          <w:lang w:eastAsia="zh-CN"/>
        </w:rPr>
        <w:t>。</w:t>
      </w:r>
    </w:p>
    <w:p>
      <w:pPr>
        <w:pStyle w:val="54"/>
        <w:numPr>
          <w:ilvl w:val="0"/>
          <w:numId w:val="2"/>
        </w:numPr>
        <w:spacing w:after="0" w:line="500" w:lineRule="exact"/>
        <w:ind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参与人应具</w:t>
      </w:r>
      <w:r>
        <w:rPr>
          <w:rFonts w:ascii="仿宋" w:hAnsi="仿宋" w:eastAsia="仿宋"/>
          <w:color w:val="auto"/>
          <w:sz w:val="24"/>
          <w:szCs w:val="24"/>
          <w:highlight w:val="none"/>
        </w:rPr>
        <w:t>有提</w:t>
      </w:r>
      <w:r>
        <w:rPr>
          <w:rFonts w:hint="eastAsia" w:ascii="仿宋" w:hAnsi="仿宋" w:eastAsia="仿宋"/>
          <w:color w:val="auto"/>
          <w:sz w:val="24"/>
          <w:szCs w:val="24"/>
          <w:highlight w:val="none"/>
        </w:rPr>
        <w:t>供</w:t>
      </w:r>
      <w:r>
        <w:rPr>
          <w:rFonts w:hint="eastAsia" w:ascii="仿宋" w:hAnsi="仿宋" w:eastAsia="仿宋"/>
          <w:color w:val="auto"/>
          <w:sz w:val="24"/>
          <w:szCs w:val="24"/>
          <w:highlight w:val="none"/>
          <w:lang w:val="en-US" w:eastAsia="zh-CN"/>
        </w:rPr>
        <w:t>文体</w:t>
      </w:r>
      <w:r>
        <w:rPr>
          <w:rFonts w:hint="eastAsia" w:ascii="仿宋" w:hAnsi="仿宋" w:eastAsia="仿宋"/>
          <w:color w:val="auto"/>
          <w:sz w:val="24"/>
          <w:szCs w:val="24"/>
          <w:highlight w:val="none"/>
        </w:rPr>
        <w:t>设备</w:t>
      </w:r>
      <w:r>
        <w:rPr>
          <w:rFonts w:ascii="仿宋" w:hAnsi="仿宋" w:eastAsia="仿宋"/>
          <w:color w:val="auto"/>
          <w:sz w:val="24"/>
          <w:szCs w:val="24"/>
          <w:highlight w:val="none"/>
        </w:rPr>
        <w:t>和服务的资格</w:t>
      </w:r>
      <w:r>
        <w:rPr>
          <w:rFonts w:hint="eastAsia" w:ascii="仿宋" w:hAnsi="仿宋" w:eastAsia="仿宋"/>
          <w:color w:val="auto"/>
          <w:sz w:val="24"/>
          <w:szCs w:val="24"/>
          <w:highlight w:val="none"/>
        </w:rPr>
        <w:t>及</w:t>
      </w:r>
      <w:r>
        <w:rPr>
          <w:rFonts w:ascii="仿宋" w:hAnsi="仿宋" w:eastAsia="仿宋"/>
          <w:color w:val="auto"/>
          <w:sz w:val="24"/>
          <w:szCs w:val="24"/>
          <w:highlight w:val="none"/>
        </w:rPr>
        <w:t>能力</w:t>
      </w:r>
      <w:r>
        <w:rPr>
          <w:rFonts w:hint="eastAsia" w:ascii="仿宋" w:hAnsi="仿宋" w:eastAsia="仿宋"/>
          <w:color w:val="auto"/>
          <w:sz w:val="24"/>
          <w:szCs w:val="24"/>
          <w:highlight w:val="none"/>
        </w:rPr>
        <w:t>，具备相应的维护保养能力。</w:t>
      </w:r>
    </w:p>
    <w:p>
      <w:pPr>
        <w:widowControl w:val="0"/>
        <w:numPr>
          <w:ilvl w:val="1"/>
          <w:numId w:val="1"/>
        </w:numPr>
        <w:spacing w:after="0" w:line="500" w:lineRule="exact"/>
        <w:rPr>
          <w:rFonts w:ascii="仿宋" w:hAnsi="仿宋" w:eastAsia="仿宋"/>
          <w:color w:val="auto"/>
          <w:sz w:val="24"/>
          <w:szCs w:val="24"/>
          <w:highlight w:val="none"/>
          <w:shd w:val="clear" w:color="auto" w:fill="FFFFFF"/>
        </w:rPr>
      </w:pPr>
      <w:r>
        <w:rPr>
          <w:rFonts w:hint="eastAsia" w:ascii="仿宋" w:hAnsi="仿宋" w:eastAsia="仿宋"/>
          <w:color w:val="auto"/>
          <w:sz w:val="24"/>
          <w:szCs w:val="24"/>
          <w:highlight w:val="none"/>
          <w:shd w:val="clear" w:color="auto" w:fill="FFFFFF"/>
          <w:lang w:val="en-US" w:eastAsia="zh-CN"/>
        </w:rPr>
        <w:t>参与人先联系韩媛媛进行资质预审（营业执照、授权书等）。</w:t>
      </w:r>
    </w:p>
    <w:p>
      <w:pPr>
        <w:widowControl w:val="0"/>
        <w:numPr>
          <w:ilvl w:val="1"/>
          <w:numId w:val="1"/>
        </w:numPr>
        <w:spacing w:after="0" w:line="500" w:lineRule="exact"/>
        <w:rPr>
          <w:rFonts w:ascii="仿宋" w:hAnsi="仿宋" w:eastAsia="仿宋"/>
          <w:color w:val="auto"/>
          <w:sz w:val="24"/>
          <w:szCs w:val="24"/>
          <w:highlight w:val="none"/>
          <w:shd w:val="clear" w:color="auto" w:fill="FFFFFF"/>
        </w:rPr>
      </w:pPr>
      <w:r>
        <w:rPr>
          <w:rFonts w:hint="eastAsia" w:ascii="仿宋" w:hAnsi="仿宋" w:eastAsia="仿宋"/>
          <w:color w:val="auto"/>
          <w:sz w:val="24"/>
          <w:szCs w:val="24"/>
          <w:highlight w:val="none"/>
        </w:rPr>
        <w:t>报价响应文件递交方式：密封报价，按规定时间送达或邮寄。</w:t>
      </w:r>
    </w:p>
    <w:p>
      <w:pPr>
        <w:widowControl w:val="0"/>
        <w:numPr>
          <w:ilvl w:val="1"/>
          <w:numId w:val="1"/>
        </w:numPr>
        <w:spacing w:after="0" w:line="500" w:lineRule="exact"/>
        <w:rPr>
          <w:rFonts w:ascii="仿宋" w:hAnsi="仿宋" w:eastAsia="仿宋"/>
          <w:color w:val="auto"/>
          <w:sz w:val="24"/>
          <w:szCs w:val="24"/>
          <w:highlight w:val="none"/>
          <w:shd w:val="clear" w:color="auto" w:fill="FFFFFF"/>
        </w:rPr>
      </w:pPr>
      <w:r>
        <w:rPr>
          <w:rFonts w:hint="eastAsia" w:ascii="仿宋" w:hAnsi="仿宋" w:eastAsia="仿宋"/>
          <w:color w:val="auto"/>
          <w:sz w:val="24"/>
          <w:szCs w:val="24"/>
          <w:highlight w:val="none"/>
        </w:rPr>
        <w:t>报价响应文件递交截止时间</w:t>
      </w:r>
      <w:r>
        <w:rPr>
          <w:rFonts w:hint="eastAsia" w:ascii="仿宋" w:hAnsi="仿宋" w:eastAsia="仿宋"/>
          <w:color w:val="auto"/>
          <w:sz w:val="24"/>
          <w:szCs w:val="24"/>
          <w:highlight w:val="none"/>
          <w:shd w:val="clear" w:color="auto" w:fill="FFFFFF"/>
        </w:rPr>
        <w:t>：</w:t>
      </w:r>
      <w:r>
        <w:rPr>
          <w:rFonts w:hint="eastAsia" w:ascii="仿宋" w:hAnsi="仿宋" w:eastAsia="仿宋"/>
          <w:color w:val="auto"/>
          <w:sz w:val="24"/>
          <w:szCs w:val="24"/>
          <w:highlight w:val="none"/>
          <w:shd w:val="clear" w:color="auto" w:fill="FFFFFF"/>
          <w:lang w:val="en-US" w:eastAsia="zh-CN"/>
        </w:rPr>
        <w:t>2023</w:t>
      </w:r>
      <w:r>
        <w:rPr>
          <w:rFonts w:hint="eastAsia" w:ascii="仿宋" w:hAnsi="仿宋" w:eastAsia="仿宋"/>
          <w:color w:val="auto"/>
          <w:sz w:val="24"/>
          <w:szCs w:val="24"/>
          <w:highlight w:val="none"/>
          <w:shd w:val="clear" w:color="auto" w:fill="FFFFFF"/>
        </w:rPr>
        <w:t>年</w:t>
      </w:r>
      <w:r>
        <w:rPr>
          <w:rFonts w:hint="eastAsia" w:ascii="仿宋" w:hAnsi="仿宋" w:eastAsia="仿宋"/>
          <w:color w:val="auto"/>
          <w:sz w:val="24"/>
          <w:szCs w:val="24"/>
          <w:highlight w:val="none"/>
          <w:shd w:val="clear" w:color="auto" w:fill="FFFFFF"/>
          <w:lang w:val="en-US" w:eastAsia="zh-CN"/>
        </w:rPr>
        <w:t>1</w:t>
      </w:r>
      <w:r>
        <w:rPr>
          <w:rFonts w:ascii="仿宋" w:hAnsi="仿宋" w:eastAsia="仿宋"/>
          <w:color w:val="auto"/>
          <w:sz w:val="24"/>
          <w:szCs w:val="24"/>
          <w:highlight w:val="none"/>
          <w:shd w:val="clear" w:color="auto" w:fill="FFFFFF"/>
        </w:rPr>
        <w:t>月</w:t>
      </w:r>
      <w:r>
        <w:rPr>
          <w:rFonts w:hint="eastAsia" w:ascii="仿宋" w:hAnsi="仿宋" w:eastAsia="仿宋"/>
          <w:color w:val="auto"/>
          <w:sz w:val="24"/>
          <w:szCs w:val="24"/>
          <w:highlight w:val="none"/>
          <w:shd w:val="clear" w:color="auto" w:fill="FFFFFF"/>
          <w:lang w:val="en-US" w:eastAsia="zh-CN"/>
        </w:rPr>
        <w:t>2</w:t>
      </w:r>
      <w:bookmarkStart w:id="180" w:name="_GoBack"/>
      <w:bookmarkEnd w:id="180"/>
      <w:r>
        <w:rPr>
          <w:rFonts w:ascii="仿宋" w:hAnsi="仿宋" w:eastAsia="仿宋"/>
          <w:color w:val="auto"/>
          <w:sz w:val="24"/>
          <w:szCs w:val="24"/>
          <w:highlight w:val="none"/>
          <w:shd w:val="clear" w:color="auto" w:fill="FFFFFF"/>
        </w:rPr>
        <w:t>日</w:t>
      </w:r>
      <w:r>
        <w:rPr>
          <w:rFonts w:hint="eastAsia" w:ascii="仿宋" w:hAnsi="仿宋" w:eastAsia="仿宋"/>
          <w:color w:val="auto"/>
          <w:sz w:val="24"/>
          <w:szCs w:val="24"/>
          <w:highlight w:val="none"/>
          <w:shd w:val="clear" w:color="auto" w:fill="FFFFFF"/>
        </w:rPr>
        <w:t>下午</w:t>
      </w:r>
      <w:r>
        <w:rPr>
          <w:rFonts w:ascii="仿宋" w:hAnsi="仿宋" w:eastAsia="仿宋"/>
          <w:color w:val="auto"/>
          <w:sz w:val="24"/>
          <w:szCs w:val="24"/>
          <w:highlight w:val="none"/>
          <w:shd w:val="clear" w:color="auto" w:fill="FFFFFF"/>
        </w:rPr>
        <w:t>16</w:t>
      </w:r>
      <w:r>
        <w:rPr>
          <w:rFonts w:hint="eastAsia" w:ascii="仿宋" w:hAnsi="仿宋" w:eastAsia="仿宋"/>
          <w:color w:val="auto"/>
          <w:sz w:val="24"/>
          <w:szCs w:val="24"/>
          <w:highlight w:val="none"/>
          <w:shd w:val="clear" w:color="auto" w:fill="FFFFFF"/>
        </w:rPr>
        <w:t>:</w:t>
      </w:r>
      <w:r>
        <w:rPr>
          <w:rFonts w:ascii="仿宋" w:hAnsi="仿宋" w:eastAsia="仿宋"/>
          <w:color w:val="auto"/>
          <w:sz w:val="24"/>
          <w:szCs w:val="24"/>
          <w:highlight w:val="none"/>
          <w:shd w:val="clear" w:color="auto" w:fill="FFFFFF"/>
        </w:rPr>
        <w:t>00</w:t>
      </w:r>
      <w:r>
        <w:rPr>
          <w:rFonts w:hint="eastAsia" w:ascii="仿宋" w:hAnsi="仿宋" w:eastAsia="仿宋"/>
          <w:color w:val="auto"/>
          <w:sz w:val="24"/>
          <w:szCs w:val="24"/>
          <w:highlight w:val="none"/>
          <w:shd w:val="clear" w:color="auto" w:fill="FFFFFF"/>
        </w:rPr>
        <w:t>前（以参与人快递寄出时间为准，邮寄时应提前告知）。</w:t>
      </w:r>
    </w:p>
    <w:p>
      <w:pPr>
        <w:pStyle w:val="54"/>
        <w:numPr>
          <w:ilvl w:val="1"/>
          <w:numId w:val="1"/>
        </w:numPr>
        <w:spacing w:after="0" w:line="500" w:lineRule="exact"/>
        <w:ind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报价响应文件递交地点：</w:t>
      </w:r>
      <w:r>
        <w:rPr>
          <w:rFonts w:hint="eastAsia" w:ascii="仿宋" w:hAnsi="仿宋" w:eastAsia="仿宋"/>
          <w:color w:val="auto"/>
          <w:sz w:val="24"/>
          <w:szCs w:val="24"/>
          <w:highlight w:val="none"/>
          <w:lang w:val="en-US" w:eastAsia="zh-CN"/>
        </w:rPr>
        <w:t>烟台科技学院商业A座216室</w:t>
      </w:r>
      <w:r>
        <w:rPr>
          <w:rFonts w:hint="eastAsia" w:ascii="仿宋" w:hAnsi="仿宋" w:eastAsia="仿宋"/>
          <w:color w:val="auto"/>
          <w:sz w:val="24"/>
          <w:szCs w:val="24"/>
          <w:highlight w:val="none"/>
        </w:rPr>
        <w:t>。</w:t>
      </w:r>
    </w:p>
    <w:p>
      <w:pPr>
        <w:pStyle w:val="54"/>
        <w:spacing w:after="0" w:line="500" w:lineRule="exact"/>
        <w:ind w:left="839" w:firstLine="0" w:firstLineChars="0"/>
        <w:rPr>
          <w:rFonts w:hint="default" w:ascii="仿宋" w:hAnsi="仿宋" w:eastAsia="仿宋"/>
          <w:color w:val="auto"/>
          <w:sz w:val="24"/>
          <w:szCs w:val="24"/>
          <w:highlight w:val="none"/>
          <w:lang w:val="en-US" w:eastAsia="zh-CN"/>
        </w:rPr>
      </w:pPr>
      <w:r>
        <w:rPr>
          <w:rFonts w:hint="eastAsia" w:ascii="仿宋" w:hAnsi="仿宋" w:eastAsia="仿宋"/>
          <w:color w:val="auto"/>
          <w:sz w:val="24"/>
          <w:szCs w:val="24"/>
          <w:highlight w:val="none"/>
        </w:rPr>
        <w:t>联系人：</w:t>
      </w:r>
      <w:r>
        <w:rPr>
          <w:rFonts w:hint="eastAsia" w:ascii="仿宋" w:hAnsi="仿宋" w:eastAsia="仿宋"/>
          <w:color w:val="auto"/>
          <w:sz w:val="24"/>
          <w:szCs w:val="24"/>
          <w:highlight w:val="none"/>
          <w:lang w:val="en-US" w:eastAsia="zh-CN"/>
        </w:rPr>
        <w:t>韩媛媛</w:t>
      </w:r>
      <w:r>
        <w:rPr>
          <w:rFonts w:hint="eastAsia" w:ascii="仿宋" w:hAnsi="仿宋" w:eastAsia="仿宋"/>
          <w:color w:val="auto"/>
          <w:sz w:val="24"/>
          <w:szCs w:val="24"/>
          <w:highlight w:val="none"/>
        </w:rPr>
        <w:t>；联系电话：</w:t>
      </w:r>
      <w:r>
        <w:rPr>
          <w:rFonts w:hint="eastAsia" w:ascii="仿宋" w:hAnsi="仿宋" w:eastAsia="仿宋"/>
          <w:color w:val="auto"/>
          <w:sz w:val="24"/>
          <w:szCs w:val="24"/>
          <w:highlight w:val="none"/>
          <w:lang w:val="en-US" w:eastAsia="zh-CN"/>
        </w:rPr>
        <w:t>13791276303</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参加本项目的参与人如对</w:t>
      </w:r>
      <w:r>
        <w:rPr>
          <w:rFonts w:hint="eastAsia" w:ascii="仿宋" w:hAnsi="仿宋" w:eastAsia="仿宋"/>
          <w:b/>
          <w:bCs/>
          <w:color w:val="auto"/>
          <w:sz w:val="24"/>
          <w:szCs w:val="24"/>
          <w:highlight w:val="none"/>
        </w:rPr>
        <w:t>公开询价邀请函列示内容存有疑问的</w:t>
      </w:r>
      <w:r>
        <w:rPr>
          <w:rFonts w:hint="eastAsia" w:ascii="仿宋" w:hAnsi="仿宋" w:eastAsia="仿宋"/>
          <w:color w:val="auto"/>
          <w:sz w:val="24"/>
          <w:szCs w:val="24"/>
          <w:highlight w:val="none"/>
        </w:rPr>
        <w:t>，请在报价响应文件递交截止之日前，将问题以书面形式（有效签署的原件并加盖公章）提交至学校业务对接人，联系人：</w:t>
      </w:r>
      <w:r>
        <w:rPr>
          <w:rFonts w:hint="eastAsia" w:ascii="仿宋" w:hAnsi="仿宋" w:eastAsia="仿宋"/>
          <w:color w:val="auto"/>
          <w:sz w:val="24"/>
          <w:szCs w:val="24"/>
          <w:highlight w:val="none"/>
          <w:lang w:val="en-US" w:eastAsia="zh-CN"/>
        </w:rPr>
        <w:t>韩媛媛</w:t>
      </w:r>
      <w:r>
        <w:rPr>
          <w:rFonts w:hint="eastAsia" w:ascii="仿宋" w:hAnsi="仿宋" w:eastAsia="仿宋"/>
          <w:color w:val="auto"/>
          <w:sz w:val="24"/>
          <w:szCs w:val="24"/>
          <w:highlight w:val="none"/>
        </w:rPr>
        <w:t>，电话：</w:t>
      </w:r>
      <w:r>
        <w:rPr>
          <w:rFonts w:hint="eastAsia" w:ascii="仿宋" w:hAnsi="仿宋" w:eastAsia="仿宋"/>
          <w:color w:val="auto"/>
          <w:sz w:val="24"/>
          <w:szCs w:val="24"/>
          <w:highlight w:val="none"/>
          <w:lang w:val="en-US" w:eastAsia="zh-CN"/>
        </w:rPr>
        <w:t>13791276303</w:t>
      </w:r>
      <w:r>
        <w:rPr>
          <w:rFonts w:hint="eastAsia" w:ascii="仿宋" w:hAnsi="仿宋" w:eastAsia="仿宋"/>
          <w:color w:val="auto"/>
          <w:sz w:val="24"/>
          <w:szCs w:val="24"/>
          <w:highlight w:val="none"/>
        </w:rPr>
        <w:t>。采购人不对超时提交及未加盖公章的质疑文件进行回复。</w:t>
      </w:r>
    </w:p>
    <w:p>
      <w:pPr>
        <w:widowControl w:val="0"/>
        <w:numPr>
          <w:ilvl w:val="1"/>
          <w:numId w:val="1"/>
        </w:numPr>
        <w:spacing w:after="0" w:line="460" w:lineRule="exact"/>
        <w:rPr>
          <w:rFonts w:ascii="仿宋" w:hAnsi="仿宋" w:eastAsia="仿宋"/>
          <w:color w:val="auto"/>
          <w:sz w:val="24"/>
          <w:szCs w:val="24"/>
          <w:highlight w:val="none"/>
        </w:rPr>
      </w:pPr>
      <w:bookmarkStart w:id="46" w:name="_Hlk97917519"/>
      <w:r>
        <w:rPr>
          <w:rFonts w:hint="eastAsia" w:ascii="仿宋" w:hAnsi="仿宋" w:eastAsia="仿宋"/>
          <w:color w:val="auto"/>
          <w:sz w:val="24"/>
          <w:szCs w:val="24"/>
          <w:highlight w:val="none"/>
        </w:rPr>
        <w:t>本项目最终成交结果会在中教集团后勤贤知平台“中标信息公示”板块公示，网址：</w:t>
      </w:r>
      <w:r>
        <w:rPr>
          <w:color w:val="auto"/>
          <w:highlight w:val="none"/>
        </w:rPr>
        <w:fldChar w:fldCharType="begin"/>
      </w:r>
      <w:r>
        <w:rPr>
          <w:color w:val="auto"/>
          <w:highlight w:val="none"/>
        </w:rPr>
        <w:instrText xml:space="preserve"> HYPERLINK "http://www.ceghqxz.com" </w:instrText>
      </w:r>
      <w:r>
        <w:rPr>
          <w:color w:val="auto"/>
          <w:highlight w:val="none"/>
        </w:rPr>
        <w:fldChar w:fldCharType="separate"/>
      </w:r>
      <w:r>
        <w:rPr>
          <w:rStyle w:val="27"/>
          <w:rFonts w:hint="eastAsia" w:ascii="仿宋" w:hAnsi="仿宋" w:eastAsia="仿宋"/>
          <w:color w:val="auto"/>
          <w:sz w:val="24"/>
          <w:szCs w:val="24"/>
          <w:highlight w:val="none"/>
        </w:rPr>
        <w:t>www.ceghqxz.com</w:t>
      </w:r>
      <w:r>
        <w:rPr>
          <w:rStyle w:val="27"/>
          <w:rFonts w:hint="eastAsia" w:ascii="仿宋" w:hAnsi="仿宋" w:eastAsia="仿宋"/>
          <w:color w:val="auto"/>
          <w:sz w:val="24"/>
          <w:szCs w:val="24"/>
          <w:highlight w:val="none"/>
        </w:rPr>
        <w:fldChar w:fldCharType="end"/>
      </w:r>
      <w:r>
        <w:rPr>
          <w:rFonts w:hint="eastAsia" w:ascii="仿宋" w:hAnsi="仿宋" w:eastAsia="仿宋"/>
          <w:color w:val="auto"/>
          <w:sz w:val="24"/>
          <w:szCs w:val="24"/>
          <w:highlight w:val="none"/>
        </w:rPr>
        <w:t>。参加本项目的参与人如对</w:t>
      </w:r>
      <w:r>
        <w:rPr>
          <w:rFonts w:hint="eastAsia" w:ascii="仿宋" w:hAnsi="仿宋" w:eastAsia="仿宋"/>
          <w:b/>
          <w:bCs/>
          <w:color w:val="auto"/>
          <w:sz w:val="24"/>
          <w:szCs w:val="24"/>
          <w:highlight w:val="none"/>
        </w:rPr>
        <w:t>采购过程和成交结果有异议的，</w:t>
      </w:r>
      <w:bookmarkEnd w:id="46"/>
      <w:r>
        <w:rPr>
          <w:rFonts w:hint="eastAsia" w:ascii="仿宋" w:hAnsi="仿宋" w:eastAsia="仿宋"/>
          <w:color w:val="auto"/>
          <w:sz w:val="24"/>
          <w:szCs w:val="24"/>
          <w:highlight w:val="none"/>
        </w:rPr>
        <w:t>请以书面形式（有效签署的原件并加盖公章），并附有相关的证据材料，提交至集团</w:t>
      </w:r>
      <w:r>
        <w:rPr>
          <w:rFonts w:hint="eastAsia" w:ascii="仿宋" w:hAnsi="仿宋" w:eastAsia="仿宋"/>
          <w:color w:val="auto"/>
          <w:sz w:val="24"/>
          <w:szCs w:val="24"/>
          <w:highlight w:val="none"/>
          <w:lang w:val="en-US" w:eastAsia="zh-CN"/>
        </w:rPr>
        <w:t>监察审计部</w:t>
      </w:r>
      <w:r>
        <w:rPr>
          <w:rFonts w:hint="eastAsia" w:ascii="仿宋" w:hAnsi="仿宋" w:eastAsia="仿宋"/>
          <w:color w:val="auto"/>
          <w:sz w:val="24"/>
          <w:szCs w:val="24"/>
          <w:highlight w:val="none"/>
        </w:rPr>
        <w:t>。投诉受理部门：中教集团</w:t>
      </w:r>
      <w:r>
        <w:rPr>
          <w:rFonts w:hint="eastAsia" w:ascii="仿宋" w:hAnsi="仿宋" w:eastAsia="仿宋"/>
          <w:color w:val="auto"/>
          <w:sz w:val="24"/>
          <w:szCs w:val="24"/>
          <w:highlight w:val="none"/>
          <w:lang w:val="en-US" w:eastAsia="zh-CN"/>
        </w:rPr>
        <w:t>监察审计部</w:t>
      </w:r>
      <w:r>
        <w:rPr>
          <w:rFonts w:hint="eastAsia" w:ascii="仿宋" w:hAnsi="仿宋" w:eastAsia="仿宋"/>
          <w:color w:val="auto"/>
          <w:sz w:val="24"/>
          <w:szCs w:val="24"/>
          <w:highlight w:val="none"/>
        </w:rPr>
        <w:t>，投诉电话： 0791-88106510 /0791-88102608</w:t>
      </w:r>
    </w:p>
    <w:p>
      <w:pPr>
        <w:widowControl w:val="0"/>
        <w:tabs>
          <w:tab w:val="left" w:pos="839"/>
        </w:tabs>
        <w:spacing w:after="0" w:line="460" w:lineRule="exact"/>
        <w:ind w:left="420"/>
        <w:rPr>
          <w:rFonts w:ascii="仿宋" w:hAnsi="仿宋" w:eastAsia="仿宋"/>
          <w:b/>
          <w:bCs/>
          <w:color w:val="auto"/>
          <w:sz w:val="24"/>
          <w:szCs w:val="24"/>
          <w:highlight w:val="none"/>
        </w:rPr>
      </w:pPr>
      <w:r>
        <w:rPr>
          <w:rFonts w:hint="eastAsia" w:ascii="仿宋" w:hAnsi="仿宋" w:eastAsia="仿宋"/>
          <w:color w:val="auto"/>
          <w:sz w:val="24"/>
          <w:szCs w:val="24"/>
          <w:highlight w:val="none"/>
        </w:rPr>
        <w:t>二、参与人须知</w:t>
      </w:r>
    </w:p>
    <w:p>
      <w:pPr>
        <w:widowControl w:val="0"/>
        <w:numPr>
          <w:ilvl w:val="1"/>
          <w:numId w:val="3"/>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所有货物均以人民币报价；</w:t>
      </w:r>
    </w:p>
    <w:p>
      <w:pPr>
        <w:widowControl w:val="0"/>
        <w:numPr>
          <w:ilvl w:val="1"/>
          <w:numId w:val="3"/>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报价响应文件</w:t>
      </w:r>
      <w:r>
        <w:rPr>
          <w:rFonts w:ascii="仿宋" w:hAnsi="仿宋" w:eastAsia="仿宋"/>
          <w:color w:val="auto"/>
          <w:sz w:val="24"/>
          <w:szCs w:val="24"/>
          <w:highlight w:val="none"/>
        </w:rPr>
        <w:t>必须用A4幅面纸张打印</w:t>
      </w:r>
      <w:r>
        <w:rPr>
          <w:rFonts w:hint="eastAsia" w:ascii="仿宋" w:hAnsi="仿宋" w:eastAsia="仿宋"/>
          <w:color w:val="auto"/>
          <w:sz w:val="24"/>
          <w:szCs w:val="24"/>
          <w:highlight w:val="none"/>
        </w:rPr>
        <w:t>，须由参与人填写并加盖公章；</w:t>
      </w:r>
    </w:p>
    <w:p>
      <w:pPr>
        <w:widowControl w:val="0"/>
        <w:numPr>
          <w:ilvl w:val="1"/>
          <w:numId w:val="3"/>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一个参与人只能提交一个报价响应文件，本项目不接受联合体报价。</w:t>
      </w:r>
    </w:p>
    <w:p>
      <w:pPr>
        <w:spacing w:after="0" w:line="500" w:lineRule="exact"/>
        <w:ind w:firstLine="364" w:firstLineChars="152"/>
        <w:jc w:val="left"/>
        <w:rPr>
          <w:rFonts w:ascii="仿宋" w:hAnsi="仿宋" w:eastAsia="仿宋"/>
          <w:color w:val="auto"/>
          <w:sz w:val="24"/>
          <w:szCs w:val="24"/>
          <w:highlight w:val="none"/>
        </w:rPr>
      </w:pPr>
      <w:r>
        <w:rPr>
          <w:rFonts w:hint="eastAsia" w:ascii="仿宋" w:hAnsi="仿宋" w:eastAsia="仿宋"/>
          <w:color w:val="auto"/>
          <w:sz w:val="24"/>
          <w:szCs w:val="24"/>
          <w:highlight w:val="none"/>
        </w:rPr>
        <w:t>三、售后服务要求（根据项目情况各成员学校可自行修改）</w:t>
      </w:r>
    </w:p>
    <w:p>
      <w:pPr>
        <w:pStyle w:val="54"/>
        <w:widowControl w:val="0"/>
        <w:numPr>
          <w:ilvl w:val="3"/>
          <w:numId w:val="4"/>
        </w:numPr>
        <w:spacing w:after="0" w:line="500" w:lineRule="exact"/>
        <w:ind w:left="851" w:hanging="425"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免费保修期:</w:t>
      </w:r>
      <w:r>
        <w:rPr>
          <w:rFonts w:hint="eastAsia" w:ascii="仿宋" w:hAnsi="仿宋" w:eastAsia="仿宋"/>
          <w:color w:val="auto"/>
          <w:sz w:val="24"/>
          <w:szCs w:val="24"/>
          <w:highlight w:val="none"/>
          <w:lang w:val="en-US" w:eastAsia="zh-CN"/>
        </w:rPr>
        <w:t>36</w:t>
      </w:r>
      <w:r>
        <w:rPr>
          <w:rFonts w:hint="eastAsia" w:ascii="仿宋" w:hAnsi="仿宋" w:eastAsia="仿宋"/>
          <w:color w:val="auto"/>
          <w:sz w:val="24"/>
          <w:szCs w:val="24"/>
          <w:highlight w:val="none"/>
        </w:rPr>
        <w:t>个月</w:t>
      </w:r>
    </w:p>
    <w:p>
      <w:pPr>
        <w:pStyle w:val="54"/>
        <w:widowControl w:val="0"/>
        <w:numPr>
          <w:ilvl w:val="0"/>
          <w:numId w:val="4"/>
        </w:numPr>
        <w:spacing w:after="0" w:line="500" w:lineRule="exact"/>
        <w:ind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应急维修时间安排：</w:t>
      </w:r>
      <w:r>
        <w:rPr>
          <w:rFonts w:hint="eastAsia" w:ascii="仿宋" w:hAnsi="仿宋" w:eastAsia="仿宋"/>
          <w:color w:val="auto"/>
          <w:sz w:val="24"/>
          <w:szCs w:val="24"/>
          <w:highlight w:val="none"/>
          <w:lang w:val="en-US" w:eastAsia="zh-CN"/>
        </w:rPr>
        <w:t>7*24小时</w:t>
      </w:r>
    </w:p>
    <w:p>
      <w:pPr>
        <w:pStyle w:val="54"/>
        <w:widowControl w:val="0"/>
        <w:numPr>
          <w:ilvl w:val="0"/>
          <w:numId w:val="4"/>
        </w:numPr>
        <w:spacing w:after="0" w:line="500" w:lineRule="exact"/>
        <w:ind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培训计划及人员安排：</w:t>
      </w:r>
      <w:r>
        <w:rPr>
          <w:rFonts w:hint="eastAsia" w:ascii="仿宋" w:hAnsi="仿宋" w:eastAsia="仿宋"/>
          <w:color w:val="auto"/>
          <w:sz w:val="24"/>
          <w:szCs w:val="24"/>
          <w:highlight w:val="none"/>
          <w:lang w:val="en-US" w:eastAsia="zh-CN"/>
        </w:rPr>
        <w:t>需供应商提供使用及保养方面的培训</w:t>
      </w:r>
    </w:p>
    <w:p>
      <w:pPr>
        <w:pStyle w:val="54"/>
        <w:widowControl w:val="0"/>
        <w:numPr>
          <w:ilvl w:val="0"/>
          <w:numId w:val="4"/>
        </w:numPr>
        <w:spacing w:after="0" w:line="500" w:lineRule="exact"/>
        <w:ind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rPr>
        <w:t>维修联系电话及联系人员：</w:t>
      </w:r>
      <w:r>
        <w:rPr>
          <w:rFonts w:hint="eastAsia" w:ascii="仿宋" w:hAnsi="仿宋" w:eastAsia="仿宋"/>
          <w:color w:val="auto"/>
          <w:sz w:val="24"/>
          <w:szCs w:val="24"/>
          <w:highlight w:val="none"/>
          <w:lang w:val="en-US" w:eastAsia="zh-CN"/>
        </w:rPr>
        <w:t>王薪凯  15653331888</w:t>
      </w:r>
    </w:p>
    <w:p>
      <w:pPr>
        <w:pStyle w:val="54"/>
        <w:widowControl w:val="0"/>
        <w:numPr>
          <w:ilvl w:val="0"/>
          <w:numId w:val="4"/>
        </w:numPr>
        <w:spacing w:after="0" w:line="500" w:lineRule="exact"/>
        <w:ind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rPr>
        <w:t>维修服务收费标准：免费保修期</w:t>
      </w:r>
      <w:r>
        <w:rPr>
          <w:rFonts w:hint="eastAsia" w:ascii="仿宋" w:hAnsi="仿宋" w:eastAsia="仿宋"/>
          <w:color w:val="auto"/>
          <w:sz w:val="24"/>
          <w:szCs w:val="24"/>
          <w:highlight w:val="none"/>
          <w:lang w:val="en-US" w:eastAsia="zh-CN"/>
        </w:rPr>
        <w:t>内免费。</w:t>
      </w:r>
    </w:p>
    <w:p>
      <w:pPr>
        <w:spacing w:after="0" w:line="500" w:lineRule="exact"/>
        <w:ind w:firstLine="364" w:firstLineChars="152"/>
        <w:jc w:val="left"/>
        <w:rPr>
          <w:rFonts w:ascii="仿宋" w:hAnsi="仿宋" w:eastAsia="仿宋"/>
          <w:color w:val="auto"/>
          <w:sz w:val="24"/>
          <w:szCs w:val="24"/>
          <w:highlight w:val="none"/>
        </w:rPr>
      </w:pPr>
      <w:r>
        <w:rPr>
          <w:rFonts w:hint="eastAsia" w:ascii="仿宋" w:hAnsi="仿宋" w:eastAsia="仿宋"/>
          <w:color w:val="auto"/>
          <w:sz w:val="24"/>
          <w:szCs w:val="24"/>
          <w:highlight w:val="none"/>
        </w:rPr>
        <w:t>四、确定成交参与人标准及原则：</w:t>
      </w:r>
    </w:p>
    <w:p>
      <w:pPr>
        <w:pStyle w:val="54"/>
        <w:numPr>
          <w:ilvl w:val="0"/>
          <w:numId w:val="5"/>
        </w:numPr>
        <w:spacing w:after="0" w:line="500" w:lineRule="exact"/>
        <w:ind w:left="851" w:hanging="425"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本项目为自有资金而非财政性资金采购，采购人按企业内部规定的标准进行评定</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w:t>
      </w:r>
    </w:p>
    <w:p>
      <w:pPr>
        <w:pStyle w:val="54"/>
        <w:numPr>
          <w:ilvl w:val="0"/>
          <w:numId w:val="5"/>
        </w:numPr>
        <w:spacing w:after="0" w:line="500" w:lineRule="exact"/>
        <w:ind w:left="851" w:hanging="425"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参与人所投物品符合需求、质量和服务等的要求,经过磋商所报价格为合理价格的参与人为成交参与人。</w:t>
      </w:r>
    </w:p>
    <w:p>
      <w:pPr>
        <w:pStyle w:val="54"/>
        <w:numPr>
          <w:ilvl w:val="0"/>
          <w:numId w:val="5"/>
        </w:numPr>
        <w:spacing w:after="0" w:line="500" w:lineRule="exact"/>
        <w:ind w:left="851" w:hanging="425"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最低报价不作为成交的保证。</w:t>
      </w:r>
    </w:p>
    <w:p>
      <w:pPr>
        <w:pStyle w:val="54"/>
        <w:spacing w:after="0" w:line="500" w:lineRule="exact"/>
        <w:ind w:left="851" w:firstLine="0" w:firstLineChars="0"/>
        <w:jc w:val="left"/>
        <w:rPr>
          <w:rFonts w:ascii="仿宋" w:hAnsi="仿宋" w:eastAsia="仿宋"/>
          <w:color w:val="auto"/>
          <w:sz w:val="24"/>
          <w:szCs w:val="24"/>
          <w:highlight w:val="none"/>
        </w:rPr>
      </w:pPr>
    </w:p>
    <w:p>
      <w:pPr>
        <w:pStyle w:val="54"/>
        <w:spacing w:after="0" w:line="500" w:lineRule="exact"/>
        <w:ind w:left="851" w:firstLine="0" w:firstLineChars="0"/>
        <w:jc w:val="left"/>
        <w:rPr>
          <w:rFonts w:ascii="仿宋" w:hAnsi="仿宋" w:eastAsia="仿宋"/>
          <w:color w:val="auto"/>
          <w:sz w:val="24"/>
          <w:szCs w:val="24"/>
          <w:highlight w:val="none"/>
        </w:rPr>
      </w:pPr>
    </w:p>
    <w:p>
      <w:pPr>
        <w:pStyle w:val="54"/>
        <w:spacing w:after="0" w:line="500" w:lineRule="exact"/>
        <w:ind w:left="851" w:firstLine="0" w:firstLineChars="0"/>
        <w:jc w:val="left"/>
        <w:rPr>
          <w:rFonts w:ascii="仿宋" w:hAnsi="仿宋" w:eastAsia="仿宋"/>
          <w:color w:val="auto"/>
          <w:sz w:val="24"/>
          <w:szCs w:val="24"/>
          <w:highlight w:val="none"/>
        </w:rPr>
      </w:pPr>
    </w:p>
    <w:p>
      <w:pPr>
        <w:pStyle w:val="54"/>
        <w:spacing w:after="0" w:line="500" w:lineRule="exact"/>
        <w:ind w:left="851" w:firstLine="0" w:firstLineChars="0"/>
        <w:jc w:val="left"/>
        <w:rPr>
          <w:rFonts w:ascii="仿宋" w:hAnsi="仿宋" w:eastAsia="仿宋"/>
          <w:color w:val="auto"/>
          <w:sz w:val="24"/>
          <w:szCs w:val="24"/>
          <w:highlight w:val="none"/>
        </w:rPr>
      </w:pPr>
    </w:p>
    <w:p>
      <w:pPr>
        <w:pStyle w:val="54"/>
        <w:spacing w:after="0" w:line="500" w:lineRule="exact"/>
        <w:ind w:left="7371" w:firstLine="0" w:firstLineChars="0"/>
        <w:jc w:val="left"/>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烟台科技学院</w:t>
      </w:r>
    </w:p>
    <w:p>
      <w:pPr>
        <w:pStyle w:val="54"/>
        <w:spacing w:after="0" w:line="500" w:lineRule="exact"/>
        <w:ind w:left="7371" w:firstLine="0" w:firstLineChars="0"/>
        <w:jc w:val="left"/>
        <w:rPr>
          <w:rFonts w:hint="eastAsia"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2022</w:t>
      </w:r>
      <w:r>
        <w:rPr>
          <w:rFonts w:hint="eastAsia" w:ascii="仿宋" w:hAnsi="仿宋" w:eastAsia="仿宋"/>
          <w:color w:val="auto"/>
          <w:sz w:val="24"/>
          <w:szCs w:val="24"/>
          <w:highlight w:val="none"/>
        </w:rPr>
        <w:t>年</w:t>
      </w:r>
      <w:r>
        <w:rPr>
          <w:rFonts w:hint="eastAsia" w:ascii="仿宋" w:hAnsi="仿宋" w:eastAsia="仿宋"/>
          <w:color w:val="auto"/>
          <w:sz w:val="24"/>
          <w:szCs w:val="24"/>
          <w:highlight w:val="none"/>
          <w:lang w:val="en-US" w:eastAsia="zh-CN"/>
        </w:rPr>
        <w:t>12</w:t>
      </w:r>
      <w:r>
        <w:rPr>
          <w:rFonts w:hint="eastAsia" w:ascii="仿宋" w:hAnsi="仿宋" w:eastAsia="仿宋"/>
          <w:color w:val="auto"/>
          <w:sz w:val="24"/>
          <w:szCs w:val="24"/>
          <w:highlight w:val="none"/>
        </w:rPr>
        <w:t>月</w:t>
      </w:r>
      <w:r>
        <w:rPr>
          <w:rFonts w:hint="eastAsia" w:ascii="仿宋" w:hAnsi="仿宋" w:eastAsia="仿宋"/>
          <w:color w:val="auto"/>
          <w:sz w:val="24"/>
          <w:szCs w:val="24"/>
          <w:highlight w:val="none"/>
          <w:lang w:val="en-US" w:eastAsia="zh-CN"/>
        </w:rPr>
        <w:t>26</w:t>
      </w:r>
      <w:r>
        <w:rPr>
          <w:rFonts w:hint="eastAsia" w:ascii="仿宋" w:hAnsi="仿宋" w:eastAsia="仿宋"/>
          <w:color w:val="auto"/>
          <w:sz w:val="24"/>
          <w:szCs w:val="24"/>
          <w:highlight w:val="none"/>
        </w:rPr>
        <w:t>日</w:t>
      </w:r>
    </w:p>
    <w:p>
      <w:pPr>
        <w:pStyle w:val="54"/>
        <w:spacing w:after="0" w:line="500" w:lineRule="exact"/>
        <w:ind w:left="851" w:firstLine="0" w:firstLineChars="0"/>
        <w:jc w:val="center"/>
        <w:rPr>
          <w:rFonts w:ascii="仿宋" w:hAnsi="仿宋" w:eastAsia="仿宋"/>
          <w:color w:val="auto"/>
          <w:sz w:val="24"/>
          <w:szCs w:val="24"/>
          <w:highlight w:val="none"/>
        </w:rPr>
      </w:pPr>
      <w:r>
        <w:rPr>
          <w:rFonts w:ascii="仿宋" w:hAnsi="仿宋" w:eastAsia="仿宋"/>
          <w:color w:val="auto"/>
          <w:sz w:val="28"/>
          <w:szCs w:val="28"/>
          <w:highlight w:val="none"/>
        </w:rPr>
        <w:br w:type="page"/>
      </w:r>
      <w:r>
        <w:rPr>
          <w:rFonts w:hint="eastAsia" w:ascii="仿宋" w:hAnsi="仿宋" w:eastAsia="仿宋"/>
          <w:b/>
          <w:color w:val="auto"/>
          <w:sz w:val="44"/>
          <w:szCs w:val="44"/>
          <w:highlight w:val="none"/>
        </w:rPr>
        <w:t>公开询价货物一览表</w:t>
      </w:r>
      <w:bookmarkEnd w:id="45"/>
    </w:p>
    <w:tbl>
      <w:tblPr>
        <w:tblStyle w:val="23"/>
        <w:tblW w:w="5000" w:type="pct"/>
        <w:tblInd w:w="0" w:type="dxa"/>
        <w:tblLayout w:type="autofit"/>
        <w:tblCellMar>
          <w:top w:w="0" w:type="dxa"/>
          <w:left w:w="108" w:type="dxa"/>
          <w:bottom w:w="0" w:type="dxa"/>
          <w:right w:w="108" w:type="dxa"/>
        </w:tblCellMar>
      </w:tblPr>
      <w:tblGrid>
        <w:gridCol w:w="630"/>
        <w:gridCol w:w="1064"/>
        <w:gridCol w:w="2992"/>
        <w:gridCol w:w="612"/>
        <w:gridCol w:w="642"/>
        <w:gridCol w:w="898"/>
        <w:gridCol w:w="1026"/>
        <w:gridCol w:w="1068"/>
        <w:gridCol w:w="1064"/>
      </w:tblGrid>
      <w:tr>
        <w:tblPrEx>
          <w:tblCellMar>
            <w:top w:w="0" w:type="dxa"/>
            <w:left w:w="108" w:type="dxa"/>
            <w:bottom w:w="0" w:type="dxa"/>
            <w:right w:w="108" w:type="dxa"/>
          </w:tblCellMar>
        </w:tblPrEx>
        <w:trPr>
          <w:trHeight w:val="492" w:hRule="atLeast"/>
        </w:trPr>
        <w:tc>
          <w:tcPr>
            <w:tcW w:w="31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序号</w:t>
            </w:r>
          </w:p>
        </w:tc>
        <w:tc>
          <w:tcPr>
            <w:tcW w:w="532"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设备名称</w:t>
            </w:r>
          </w:p>
        </w:tc>
        <w:tc>
          <w:tcPr>
            <w:tcW w:w="1496"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bookmarkStart w:id="47" w:name="_Hlk78721021"/>
            <w:r>
              <w:rPr>
                <w:rFonts w:hint="eastAsia" w:ascii="仿宋" w:hAnsi="仿宋" w:eastAsia="仿宋" w:cs="Tahoma"/>
                <w:b/>
                <w:bCs/>
                <w:color w:val="auto"/>
                <w:sz w:val="20"/>
                <w:szCs w:val="20"/>
                <w:highlight w:val="none"/>
              </w:rPr>
              <w:t>规格型号（技术参数）</w:t>
            </w:r>
            <w:bookmarkEnd w:id="47"/>
          </w:p>
        </w:tc>
        <w:tc>
          <w:tcPr>
            <w:tcW w:w="306"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单位</w:t>
            </w:r>
          </w:p>
        </w:tc>
        <w:tc>
          <w:tcPr>
            <w:tcW w:w="3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数量</w:t>
            </w:r>
          </w:p>
        </w:tc>
        <w:tc>
          <w:tcPr>
            <w:tcW w:w="449"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单价（元）</w:t>
            </w:r>
          </w:p>
        </w:tc>
        <w:tc>
          <w:tcPr>
            <w:tcW w:w="513"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总价（元）</w:t>
            </w:r>
          </w:p>
        </w:tc>
        <w:tc>
          <w:tcPr>
            <w:tcW w:w="534"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是否提供样品</w:t>
            </w:r>
          </w:p>
        </w:tc>
        <w:tc>
          <w:tcPr>
            <w:tcW w:w="53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备注</w:t>
            </w:r>
          </w:p>
        </w:tc>
      </w:tr>
      <w:tr>
        <w:tblPrEx>
          <w:tblCellMar>
            <w:top w:w="0" w:type="dxa"/>
            <w:left w:w="108" w:type="dxa"/>
            <w:bottom w:w="0" w:type="dxa"/>
            <w:right w:w="108" w:type="dxa"/>
          </w:tblCellMar>
        </w:tblPrEx>
        <w:trPr>
          <w:trHeight w:val="794" w:hRule="atLeast"/>
        </w:trPr>
        <w:tc>
          <w:tcPr>
            <w:tcW w:w="31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1</w:t>
            </w:r>
          </w:p>
        </w:tc>
        <w:tc>
          <w:tcPr>
            <w:tcW w:w="532" w:type="pct"/>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身高测试仪</w:t>
            </w:r>
          </w:p>
        </w:tc>
        <w:tc>
          <w:tcPr>
            <w:tcW w:w="1496" w:type="pct"/>
            <w:vMerge w:val="restart"/>
            <w:tcBorders>
              <w:top w:val="nil"/>
              <w:left w:val="nil"/>
              <w:right w:val="single" w:color="auto" w:sz="4" w:space="0"/>
            </w:tcBorders>
            <w:shd w:val="clear" w:color="000000" w:fill="FFFFFF"/>
            <w:vAlign w:val="center"/>
          </w:tcPr>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1.设备需满足正常测试需求，质量良好，使用年限较长。</w:t>
            </w:r>
          </w:p>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2.测试时，教师可使用手机扫描学生手机二维码或准考证，无需借助其他外设，数据实时上传到云平台。</w:t>
            </w:r>
          </w:p>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3.支持一键连接微信小程序，自动获取体测数据，同样支持扫描身份后手动录入体测数据。</w:t>
            </w:r>
          </w:p>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4.测试完成，教师可立即通过微信小程序查看所有测试成绩，支持模糊搜索，条件筛选</w:t>
            </w:r>
          </w:p>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5.测试完成后，学生可立即通过微信小程序查看个人测试成绩。</w:t>
            </w:r>
          </w:p>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6.</w:t>
            </w:r>
            <w:r>
              <w:rPr>
                <w:rFonts w:hint="eastAsia" w:ascii="仿宋" w:hAnsi="仿宋" w:eastAsia="仿宋" w:cs="Tahoma"/>
                <w:color w:val="auto"/>
                <w:sz w:val="20"/>
                <w:szCs w:val="20"/>
                <w:highlight w:val="none"/>
                <w:lang w:val="en-US" w:eastAsia="zh-CN"/>
              </w:rPr>
              <w:tab/>
            </w:r>
            <w:r>
              <w:rPr>
                <w:rFonts w:hint="eastAsia" w:ascii="仿宋" w:hAnsi="仿宋" w:eastAsia="仿宋" w:cs="Tahoma"/>
                <w:color w:val="auto"/>
                <w:sz w:val="20"/>
                <w:szCs w:val="20"/>
                <w:highlight w:val="none"/>
                <w:lang w:val="en-US" w:eastAsia="zh-CN"/>
              </w:rPr>
              <w:t>支持多次测试，云平台自动选取最佳成绩。</w:t>
            </w:r>
          </w:p>
        </w:tc>
        <w:tc>
          <w:tcPr>
            <w:tcW w:w="306" w:type="pct"/>
            <w:tcBorders>
              <w:top w:val="nil"/>
              <w:left w:val="nil"/>
              <w:bottom w:val="single" w:color="auto" w:sz="4" w:space="0"/>
              <w:right w:val="single" w:color="auto" w:sz="4" w:space="0"/>
            </w:tcBorders>
            <w:vAlign w:val="center"/>
          </w:tcPr>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台</w:t>
            </w:r>
          </w:p>
        </w:tc>
        <w:tc>
          <w:tcPr>
            <w:tcW w:w="321" w:type="pct"/>
            <w:tcBorders>
              <w:top w:val="nil"/>
              <w:left w:val="nil"/>
              <w:bottom w:val="single" w:color="auto" w:sz="4" w:space="0"/>
              <w:right w:val="single" w:color="auto" w:sz="4" w:space="0"/>
            </w:tcBorders>
            <w:vAlign w:val="center"/>
          </w:tcPr>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1</w:t>
            </w:r>
          </w:p>
        </w:tc>
        <w:tc>
          <w:tcPr>
            <w:tcW w:w="449"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1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34"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否</w:t>
            </w:r>
          </w:p>
        </w:tc>
        <w:tc>
          <w:tcPr>
            <w:tcW w:w="53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r>
      <w:tr>
        <w:tblPrEx>
          <w:tblCellMar>
            <w:top w:w="0" w:type="dxa"/>
            <w:left w:w="108" w:type="dxa"/>
            <w:bottom w:w="0" w:type="dxa"/>
            <w:right w:w="108" w:type="dxa"/>
          </w:tblCellMar>
        </w:tblPrEx>
        <w:trPr>
          <w:trHeight w:val="794" w:hRule="atLeast"/>
        </w:trPr>
        <w:tc>
          <w:tcPr>
            <w:tcW w:w="31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2</w:t>
            </w:r>
          </w:p>
        </w:tc>
        <w:tc>
          <w:tcPr>
            <w:tcW w:w="532" w:type="pct"/>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立定跳远测试仪</w:t>
            </w:r>
          </w:p>
        </w:tc>
        <w:tc>
          <w:tcPr>
            <w:tcW w:w="1496" w:type="pct"/>
            <w:vMerge w:val="continue"/>
            <w:tcBorders>
              <w:left w:val="nil"/>
              <w:right w:val="single" w:color="auto" w:sz="4" w:space="0"/>
            </w:tcBorders>
            <w:shd w:val="clear" w:color="000000" w:fill="FFFFFF"/>
            <w:vAlign w:val="center"/>
          </w:tcPr>
          <w:p>
            <w:pPr>
              <w:jc w:val="center"/>
              <w:rPr>
                <w:rFonts w:hint="eastAsia" w:ascii="仿宋" w:hAnsi="仿宋" w:eastAsia="仿宋" w:cs="Tahoma"/>
                <w:color w:val="auto"/>
                <w:sz w:val="20"/>
                <w:szCs w:val="20"/>
                <w:highlight w:val="none"/>
                <w:lang w:val="en-US" w:eastAsia="zh-CN"/>
              </w:rPr>
            </w:pPr>
          </w:p>
        </w:tc>
        <w:tc>
          <w:tcPr>
            <w:tcW w:w="306" w:type="pct"/>
            <w:tcBorders>
              <w:top w:val="nil"/>
              <w:left w:val="nil"/>
              <w:bottom w:val="single" w:color="auto" w:sz="4" w:space="0"/>
              <w:right w:val="single" w:color="auto" w:sz="4" w:space="0"/>
            </w:tcBorders>
            <w:vAlign w:val="center"/>
          </w:tcPr>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台</w:t>
            </w:r>
          </w:p>
        </w:tc>
        <w:tc>
          <w:tcPr>
            <w:tcW w:w="321"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lang w:val="en-US" w:eastAsia="zh-CN"/>
              </w:rPr>
              <w:t>1</w:t>
            </w:r>
          </w:p>
        </w:tc>
        <w:tc>
          <w:tcPr>
            <w:tcW w:w="449"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1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34"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否</w:t>
            </w:r>
          </w:p>
        </w:tc>
        <w:tc>
          <w:tcPr>
            <w:tcW w:w="53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r>
      <w:tr>
        <w:tblPrEx>
          <w:tblCellMar>
            <w:top w:w="0" w:type="dxa"/>
            <w:left w:w="108" w:type="dxa"/>
            <w:bottom w:w="0" w:type="dxa"/>
            <w:right w:w="108" w:type="dxa"/>
          </w:tblCellMar>
        </w:tblPrEx>
        <w:trPr>
          <w:trHeight w:val="794" w:hRule="atLeast"/>
        </w:trPr>
        <w:tc>
          <w:tcPr>
            <w:tcW w:w="31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3</w:t>
            </w:r>
          </w:p>
        </w:tc>
        <w:tc>
          <w:tcPr>
            <w:tcW w:w="532" w:type="pct"/>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体重测试仪</w:t>
            </w:r>
          </w:p>
        </w:tc>
        <w:tc>
          <w:tcPr>
            <w:tcW w:w="1496" w:type="pct"/>
            <w:vMerge w:val="continue"/>
            <w:tcBorders>
              <w:left w:val="nil"/>
              <w:right w:val="single" w:color="auto" w:sz="4" w:space="0"/>
            </w:tcBorders>
            <w:shd w:val="clear" w:color="000000" w:fill="FFFFFF"/>
            <w:vAlign w:val="center"/>
          </w:tcPr>
          <w:p>
            <w:pPr>
              <w:jc w:val="center"/>
              <w:rPr>
                <w:rFonts w:hint="eastAsia" w:ascii="仿宋" w:hAnsi="仿宋" w:eastAsia="仿宋" w:cs="Tahoma"/>
                <w:color w:val="auto"/>
                <w:sz w:val="20"/>
                <w:szCs w:val="20"/>
                <w:highlight w:val="none"/>
                <w:lang w:val="en-US" w:eastAsia="zh-CN"/>
              </w:rPr>
            </w:pPr>
          </w:p>
        </w:tc>
        <w:tc>
          <w:tcPr>
            <w:tcW w:w="306"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lang w:val="en-US" w:eastAsia="zh-CN"/>
              </w:rPr>
              <w:t>台</w:t>
            </w:r>
          </w:p>
        </w:tc>
        <w:tc>
          <w:tcPr>
            <w:tcW w:w="321"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lang w:val="en-US" w:eastAsia="zh-CN"/>
              </w:rPr>
              <w:t>1</w:t>
            </w:r>
          </w:p>
        </w:tc>
        <w:tc>
          <w:tcPr>
            <w:tcW w:w="449"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1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34"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否</w:t>
            </w:r>
          </w:p>
        </w:tc>
        <w:tc>
          <w:tcPr>
            <w:tcW w:w="53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r>
      <w:tr>
        <w:tblPrEx>
          <w:tblCellMar>
            <w:top w:w="0" w:type="dxa"/>
            <w:left w:w="108" w:type="dxa"/>
            <w:bottom w:w="0" w:type="dxa"/>
            <w:right w:w="108" w:type="dxa"/>
          </w:tblCellMar>
        </w:tblPrEx>
        <w:trPr>
          <w:trHeight w:val="794" w:hRule="atLeast"/>
        </w:trPr>
        <w:tc>
          <w:tcPr>
            <w:tcW w:w="31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4</w:t>
            </w:r>
          </w:p>
        </w:tc>
        <w:tc>
          <w:tcPr>
            <w:tcW w:w="532" w:type="pct"/>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肺活量测试仪</w:t>
            </w:r>
          </w:p>
        </w:tc>
        <w:tc>
          <w:tcPr>
            <w:tcW w:w="1496" w:type="pct"/>
            <w:vMerge w:val="continue"/>
            <w:tcBorders>
              <w:left w:val="nil"/>
              <w:right w:val="single" w:color="auto" w:sz="4" w:space="0"/>
            </w:tcBorders>
            <w:shd w:val="clear" w:color="000000" w:fill="FFFFFF"/>
            <w:vAlign w:val="center"/>
          </w:tcPr>
          <w:p>
            <w:pPr>
              <w:jc w:val="center"/>
              <w:rPr>
                <w:rFonts w:hint="eastAsia" w:ascii="仿宋" w:hAnsi="仿宋" w:eastAsia="仿宋" w:cs="Tahoma"/>
                <w:color w:val="auto"/>
                <w:sz w:val="20"/>
                <w:szCs w:val="20"/>
                <w:highlight w:val="none"/>
                <w:lang w:val="en-US" w:eastAsia="zh-CN"/>
              </w:rPr>
            </w:pPr>
          </w:p>
        </w:tc>
        <w:tc>
          <w:tcPr>
            <w:tcW w:w="306"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lang w:val="en-US" w:eastAsia="zh-CN"/>
              </w:rPr>
              <w:t>台</w:t>
            </w:r>
          </w:p>
        </w:tc>
        <w:tc>
          <w:tcPr>
            <w:tcW w:w="321"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lang w:val="en-US" w:eastAsia="zh-CN"/>
              </w:rPr>
              <w:t>1</w:t>
            </w:r>
          </w:p>
        </w:tc>
        <w:tc>
          <w:tcPr>
            <w:tcW w:w="449"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1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34"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否</w:t>
            </w:r>
          </w:p>
        </w:tc>
        <w:tc>
          <w:tcPr>
            <w:tcW w:w="53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r>
      <w:tr>
        <w:tblPrEx>
          <w:tblCellMar>
            <w:top w:w="0" w:type="dxa"/>
            <w:left w:w="108" w:type="dxa"/>
            <w:bottom w:w="0" w:type="dxa"/>
            <w:right w:w="108" w:type="dxa"/>
          </w:tblCellMar>
        </w:tblPrEx>
        <w:trPr>
          <w:trHeight w:val="794" w:hRule="atLeast"/>
        </w:trPr>
        <w:tc>
          <w:tcPr>
            <w:tcW w:w="31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5</w:t>
            </w:r>
          </w:p>
        </w:tc>
        <w:tc>
          <w:tcPr>
            <w:tcW w:w="532" w:type="pct"/>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坐位体前屈测试仪</w:t>
            </w:r>
          </w:p>
        </w:tc>
        <w:tc>
          <w:tcPr>
            <w:tcW w:w="1496" w:type="pct"/>
            <w:vMerge w:val="continue"/>
            <w:tcBorders>
              <w:left w:val="nil"/>
              <w:bottom w:val="single" w:color="auto" w:sz="4" w:space="0"/>
              <w:right w:val="single" w:color="auto" w:sz="4" w:space="0"/>
            </w:tcBorders>
            <w:shd w:val="clear" w:color="000000" w:fill="FFFFFF"/>
            <w:vAlign w:val="center"/>
          </w:tcPr>
          <w:p>
            <w:pPr>
              <w:jc w:val="center"/>
              <w:rPr>
                <w:rFonts w:hint="eastAsia" w:ascii="仿宋" w:hAnsi="仿宋" w:eastAsia="仿宋" w:cs="Tahoma"/>
                <w:color w:val="auto"/>
                <w:sz w:val="20"/>
                <w:szCs w:val="20"/>
                <w:highlight w:val="none"/>
                <w:lang w:val="en-US" w:eastAsia="zh-CN"/>
              </w:rPr>
            </w:pPr>
          </w:p>
        </w:tc>
        <w:tc>
          <w:tcPr>
            <w:tcW w:w="306"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lang w:val="en-US" w:eastAsia="zh-CN"/>
              </w:rPr>
              <w:t>台</w:t>
            </w:r>
          </w:p>
        </w:tc>
        <w:tc>
          <w:tcPr>
            <w:tcW w:w="321"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lang w:val="en-US" w:eastAsia="zh-CN"/>
              </w:rPr>
              <w:t>1</w:t>
            </w:r>
          </w:p>
        </w:tc>
        <w:tc>
          <w:tcPr>
            <w:tcW w:w="449"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1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34"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否</w:t>
            </w:r>
          </w:p>
        </w:tc>
        <w:tc>
          <w:tcPr>
            <w:tcW w:w="53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r>
      <w:tr>
        <w:tblPrEx>
          <w:tblCellMar>
            <w:top w:w="0" w:type="dxa"/>
            <w:left w:w="108" w:type="dxa"/>
            <w:bottom w:w="0" w:type="dxa"/>
            <w:right w:w="108" w:type="dxa"/>
          </w:tblCellMar>
        </w:tblPrEx>
        <w:trPr>
          <w:trHeight w:val="794" w:hRule="atLeast"/>
        </w:trPr>
        <w:tc>
          <w:tcPr>
            <w:tcW w:w="31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6</w:t>
            </w:r>
          </w:p>
        </w:tc>
        <w:tc>
          <w:tcPr>
            <w:tcW w:w="532" w:type="pct"/>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微信小程序</w:t>
            </w:r>
          </w:p>
        </w:tc>
        <w:tc>
          <w:tcPr>
            <w:tcW w:w="2992" w:type="dxa"/>
            <w:tcBorders>
              <w:top w:val="nil"/>
              <w:left w:val="nil"/>
              <w:bottom w:val="single" w:color="auto" w:sz="4" w:space="0"/>
              <w:right w:val="single" w:color="auto" w:sz="4" w:space="0"/>
            </w:tcBorders>
            <w:shd w:val="clear" w:color="000000" w:fill="FFFFFF"/>
            <w:vAlign w:val="center"/>
          </w:tcPr>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1. 基于微信公众平台，轻量易获取。</w:t>
            </w:r>
          </w:p>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2. 支持扫描附近体测设备，并一键连接设备，操作设备进行体测，应支持所有项目。</w:t>
            </w:r>
          </w:p>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3. 一键从设备获取体测成绩，一键扫描准考证识别学生身份，数据实时上传云平台。</w:t>
            </w:r>
          </w:p>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4. 支持个别同学未携带准考证时，通过学号等信息检索学生信息进行身份录入。</w:t>
            </w:r>
          </w:p>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5. 支持对数据的预判断，筛选并提示不合理数据。</w:t>
            </w:r>
          </w:p>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6. 支持教师端查看所有测试记录与测试成绩，支持模糊搜索与条件筛选。</w:t>
            </w:r>
          </w:p>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7. 支持教师端实时同步学生名单与照片信息。</w:t>
            </w:r>
          </w:p>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8. 支持教师端授权学生小程序临时连接体测设备，进行辅助测试。</w:t>
            </w:r>
          </w:p>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9. 支持学生端自动生成准考证，准考证二维码加密防伪。</w:t>
            </w:r>
          </w:p>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10. 支持学生端实时查看个人体测成绩与历史体测记录。</w:t>
            </w:r>
          </w:p>
        </w:tc>
        <w:tc>
          <w:tcPr>
            <w:tcW w:w="306"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lang w:val="en-US" w:eastAsia="zh-CN"/>
              </w:rPr>
              <w:t>个</w:t>
            </w:r>
          </w:p>
        </w:tc>
        <w:tc>
          <w:tcPr>
            <w:tcW w:w="321"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lang w:val="en-US" w:eastAsia="zh-CN"/>
              </w:rPr>
              <w:t>1</w:t>
            </w:r>
          </w:p>
        </w:tc>
        <w:tc>
          <w:tcPr>
            <w:tcW w:w="449"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1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34"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否</w:t>
            </w:r>
          </w:p>
        </w:tc>
        <w:tc>
          <w:tcPr>
            <w:tcW w:w="532" w:type="pct"/>
            <w:vMerge w:val="restart"/>
            <w:tcBorders>
              <w:top w:val="single" w:color="auto" w:sz="4" w:space="0"/>
              <w:left w:val="single" w:color="auto" w:sz="4" w:space="0"/>
              <w:right w:val="single" w:color="auto" w:sz="4" w:space="0"/>
            </w:tcBorders>
            <w:vAlign w:val="center"/>
          </w:tcPr>
          <w:p>
            <w:pPr>
              <w:jc w:val="center"/>
              <w:rPr>
                <w:rFonts w:hint="default"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免费</w:t>
            </w:r>
          </w:p>
        </w:tc>
      </w:tr>
      <w:tr>
        <w:tblPrEx>
          <w:tblCellMar>
            <w:top w:w="0" w:type="dxa"/>
            <w:left w:w="108" w:type="dxa"/>
            <w:bottom w:w="0" w:type="dxa"/>
            <w:right w:w="108" w:type="dxa"/>
          </w:tblCellMar>
        </w:tblPrEx>
        <w:trPr>
          <w:trHeight w:val="794" w:hRule="atLeast"/>
        </w:trPr>
        <w:tc>
          <w:tcPr>
            <w:tcW w:w="31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7</w:t>
            </w:r>
          </w:p>
        </w:tc>
        <w:tc>
          <w:tcPr>
            <w:tcW w:w="532" w:type="pct"/>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云平台</w:t>
            </w:r>
          </w:p>
        </w:tc>
        <w:tc>
          <w:tcPr>
            <w:tcW w:w="2992" w:type="dxa"/>
            <w:tcBorders>
              <w:top w:val="nil"/>
              <w:left w:val="nil"/>
              <w:bottom w:val="single" w:color="auto" w:sz="4" w:space="0"/>
              <w:right w:val="single" w:color="auto" w:sz="4" w:space="0"/>
            </w:tcBorders>
            <w:shd w:val="clear" w:color="000000" w:fill="FFFFFF"/>
            <w:vAlign w:val="center"/>
          </w:tcPr>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1. 基于网络云平台，访问方便快捷。</w:t>
            </w:r>
          </w:p>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2. 支持通过excel表自动导入学院、班级、教师、学生等信息以及其对应关系，并可在线编辑管理。</w:t>
            </w:r>
          </w:p>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3. 支持对接配套微信小程序、App，实时上传学生成绩。</w:t>
            </w:r>
          </w:p>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4. 支持对上传成绩的自动筛选，按项目自动选取最佳或最新成绩作为学生最终测试成绩</w:t>
            </w:r>
          </w:p>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5. 支持通过学生性别、年级等信息，实时处理计算学生成绩，获取学生体测各项与总体的分数与评级。</w:t>
            </w:r>
          </w:p>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6. 保存所有测试记录的详细信息（受测者、测试项、测试成绩、测试教师、测试方式、辅助学生、测试设备等），保证数据可追溯。</w:t>
            </w:r>
          </w:p>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7. 支持查看所有学生的测试记录与最终成绩，并支持多方位的模糊搜索与筛选检索。</w:t>
            </w:r>
          </w:p>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8. 支持按学院、年级等对数据进行多方位图表分析。</w:t>
            </w:r>
          </w:p>
          <w:p>
            <w:pPr>
              <w:jc w:val="center"/>
              <w:rPr>
                <w:rFonts w:hint="eastAsia"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9. 支持一键导出与学生体质健康网要求格式一致的学生体测成绩表格，直接上传。</w:t>
            </w:r>
          </w:p>
          <w:p>
            <w:pPr>
              <w:jc w:val="center"/>
              <w:rPr>
                <w:rFonts w:hint="default" w:ascii="仿宋" w:hAnsi="仿宋" w:eastAsia="仿宋" w:cs="Tahoma"/>
                <w:color w:val="auto"/>
                <w:sz w:val="20"/>
                <w:szCs w:val="20"/>
                <w:highlight w:val="none"/>
                <w:lang w:val="en-US" w:eastAsia="zh-CN"/>
              </w:rPr>
            </w:pPr>
            <w:r>
              <w:rPr>
                <w:rFonts w:hint="eastAsia" w:ascii="仿宋" w:hAnsi="仿宋" w:eastAsia="仿宋" w:cs="Tahoma"/>
                <w:color w:val="auto"/>
                <w:sz w:val="20"/>
                <w:szCs w:val="20"/>
                <w:highlight w:val="none"/>
                <w:lang w:val="en-US" w:eastAsia="zh-CN"/>
              </w:rPr>
              <w:t>10. 支持一键导出未测试以及测试不及格学生名单，方便通知测试。</w:t>
            </w:r>
          </w:p>
        </w:tc>
        <w:tc>
          <w:tcPr>
            <w:tcW w:w="306"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lang w:val="en-US" w:eastAsia="zh-CN"/>
              </w:rPr>
              <w:t>台</w:t>
            </w:r>
          </w:p>
        </w:tc>
        <w:tc>
          <w:tcPr>
            <w:tcW w:w="321"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lang w:val="en-US" w:eastAsia="zh-CN"/>
              </w:rPr>
              <w:t>1</w:t>
            </w:r>
          </w:p>
        </w:tc>
        <w:tc>
          <w:tcPr>
            <w:tcW w:w="449"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1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34"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否</w:t>
            </w:r>
          </w:p>
        </w:tc>
        <w:tc>
          <w:tcPr>
            <w:tcW w:w="532" w:type="pct"/>
            <w:vMerge w:val="continue"/>
            <w:tcBorders>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r>
    </w:tbl>
    <w:p>
      <w:pPr>
        <w:spacing w:line="4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注：</w:t>
      </w:r>
    </w:p>
    <w:p>
      <w:pPr>
        <w:numPr>
          <w:ilvl w:val="0"/>
          <w:numId w:val="6"/>
        </w:numPr>
        <w:spacing w:after="0" w:line="440" w:lineRule="exact"/>
        <w:rPr>
          <w:rFonts w:ascii="仿宋" w:hAnsi="仿宋" w:eastAsia="仿宋"/>
          <w:bCs/>
          <w:color w:val="auto"/>
          <w:sz w:val="24"/>
          <w:szCs w:val="24"/>
          <w:highlight w:val="none"/>
        </w:rPr>
      </w:pPr>
      <w:r>
        <w:rPr>
          <w:rFonts w:hint="eastAsia" w:ascii="仿宋" w:hAnsi="仿宋" w:eastAsia="仿宋"/>
          <w:bCs/>
          <w:color w:val="auto"/>
          <w:sz w:val="24"/>
          <w:szCs w:val="24"/>
          <w:highlight w:val="none"/>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p>
    <w:p>
      <w:pPr>
        <w:numPr>
          <w:ilvl w:val="0"/>
          <w:numId w:val="6"/>
        </w:numPr>
        <w:spacing w:after="0" w:line="440" w:lineRule="exact"/>
        <w:rPr>
          <w:rFonts w:ascii="仿宋" w:hAnsi="仿宋" w:eastAsia="仿宋"/>
          <w:bCs/>
          <w:color w:val="auto"/>
          <w:sz w:val="24"/>
          <w:szCs w:val="24"/>
          <w:highlight w:val="none"/>
        </w:rPr>
      </w:pPr>
      <w:r>
        <w:rPr>
          <w:rFonts w:hint="eastAsia" w:ascii="仿宋" w:hAnsi="仿宋" w:eastAsia="仿宋"/>
          <w:bCs/>
          <w:color w:val="auto"/>
          <w:sz w:val="24"/>
          <w:szCs w:val="24"/>
          <w:highlight w:val="none"/>
        </w:rPr>
        <w:t>参与人所投商品需要提供品牌、规格型号等真实详细信息，禁止复制采购人所提供的参考参数。</w:t>
      </w:r>
    </w:p>
    <w:p>
      <w:pPr>
        <w:numPr>
          <w:ilvl w:val="0"/>
          <w:numId w:val="6"/>
        </w:numPr>
        <w:spacing w:after="0" w:line="440" w:lineRule="exact"/>
        <w:rPr>
          <w:rFonts w:ascii="仿宋" w:hAnsi="仿宋" w:eastAsia="仿宋"/>
          <w:bCs/>
          <w:color w:val="auto"/>
          <w:sz w:val="24"/>
          <w:szCs w:val="24"/>
          <w:highlight w:val="none"/>
        </w:rPr>
      </w:pPr>
      <w:r>
        <w:rPr>
          <w:rFonts w:hint="eastAsia" w:ascii="仿宋" w:hAnsi="仿宋" w:eastAsia="仿宋"/>
          <w:bCs/>
          <w:color w:val="auto"/>
          <w:sz w:val="24"/>
          <w:szCs w:val="24"/>
          <w:highlight w:val="none"/>
        </w:rPr>
        <w:t>参与人所投商品报价应包含税费、运输费、搬运费、整体实施、安装调试费、售后服务等一切费用。</w:t>
      </w:r>
    </w:p>
    <w:p>
      <w:pPr>
        <w:spacing w:line="500" w:lineRule="exact"/>
        <w:jc w:val="left"/>
        <w:rPr>
          <w:rFonts w:ascii="仿宋" w:hAnsi="仿宋" w:eastAsia="仿宋"/>
          <w:b/>
          <w:color w:val="auto"/>
          <w:sz w:val="36"/>
          <w:szCs w:val="36"/>
          <w:highlight w:val="none"/>
        </w:rPr>
      </w:pPr>
    </w:p>
    <w:p>
      <w:pPr>
        <w:rPr>
          <w:rFonts w:ascii="仿宋" w:hAnsi="仿宋" w:eastAsia="仿宋"/>
          <w:b/>
          <w:color w:val="auto"/>
          <w:sz w:val="36"/>
          <w:szCs w:val="36"/>
          <w:highlight w:val="none"/>
        </w:rPr>
        <w:sectPr>
          <w:pgSz w:w="11906" w:h="16838"/>
          <w:pgMar w:top="1440" w:right="1133" w:bottom="1440" w:left="993" w:header="851" w:footer="227" w:gutter="0"/>
          <w:cols w:space="425" w:num="1"/>
          <w:titlePg/>
          <w:docGrid w:type="lines" w:linePitch="312" w:charSpace="0"/>
        </w:sectPr>
      </w:pPr>
    </w:p>
    <w:p>
      <w:pPr>
        <w:spacing w:line="1000" w:lineRule="exact"/>
        <w:jc w:val="both"/>
        <w:rPr>
          <w:rFonts w:ascii="仿宋" w:hAnsi="仿宋" w:eastAsia="仿宋"/>
          <w:b/>
          <w:color w:val="auto"/>
          <w:sz w:val="72"/>
          <w:szCs w:val="72"/>
          <w:highlight w:val="none"/>
        </w:rPr>
      </w:pPr>
    </w:p>
    <w:p>
      <w:pPr>
        <w:spacing w:line="1000" w:lineRule="exact"/>
        <w:jc w:val="both"/>
        <w:rPr>
          <w:rFonts w:ascii="仿宋" w:hAnsi="仿宋" w:eastAsia="仿宋"/>
          <w:b/>
          <w:color w:val="auto"/>
          <w:sz w:val="72"/>
          <w:szCs w:val="72"/>
          <w:highlight w:val="none"/>
        </w:rPr>
      </w:pPr>
    </w:p>
    <w:p>
      <w:pPr>
        <w:spacing w:line="1000" w:lineRule="exact"/>
        <w:jc w:val="both"/>
        <w:rPr>
          <w:rFonts w:ascii="仿宋" w:hAnsi="仿宋" w:eastAsia="仿宋"/>
          <w:b/>
          <w:color w:val="auto"/>
          <w:sz w:val="72"/>
          <w:szCs w:val="72"/>
          <w:highlight w:val="none"/>
        </w:rPr>
      </w:pPr>
    </w:p>
    <w:p>
      <w:pPr>
        <w:spacing w:line="1000" w:lineRule="exact"/>
        <w:jc w:val="both"/>
        <w:rPr>
          <w:rFonts w:ascii="仿宋" w:hAnsi="仿宋" w:eastAsia="仿宋"/>
          <w:b/>
          <w:color w:val="auto"/>
          <w:sz w:val="72"/>
          <w:szCs w:val="72"/>
          <w:highlight w:val="none"/>
        </w:rPr>
      </w:pPr>
    </w:p>
    <w:p>
      <w:pPr>
        <w:spacing w:line="1000" w:lineRule="exact"/>
        <w:jc w:val="both"/>
        <w:rPr>
          <w:rFonts w:ascii="仿宋" w:hAnsi="仿宋" w:eastAsia="仿宋"/>
          <w:b/>
          <w:color w:val="auto"/>
          <w:sz w:val="72"/>
          <w:szCs w:val="72"/>
          <w:highlight w:val="none"/>
        </w:rPr>
      </w:pPr>
    </w:p>
    <w:p>
      <w:pPr>
        <w:spacing w:line="1000" w:lineRule="exact"/>
        <w:jc w:val="both"/>
        <w:rPr>
          <w:rFonts w:ascii="仿宋" w:hAnsi="仿宋" w:eastAsia="仿宋"/>
          <w:b/>
          <w:color w:val="auto"/>
          <w:sz w:val="72"/>
          <w:szCs w:val="72"/>
          <w:highlight w:val="none"/>
        </w:rPr>
      </w:pPr>
    </w:p>
    <w:p>
      <w:pPr>
        <w:spacing w:line="1000" w:lineRule="exact"/>
        <w:jc w:val="both"/>
        <w:rPr>
          <w:rFonts w:ascii="仿宋" w:hAnsi="仿宋" w:eastAsia="仿宋"/>
          <w:b/>
          <w:color w:val="auto"/>
          <w:sz w:val="72"/>
          <w:szCs w:val="72"/>
          <w:highlight w:val="none"/>
        </w:rPr>
      </w:pPr>
    </w:p>
    <w:p>
      <w:pPr>
        <w:spacing w:line="1000" w:lineRule="exact"/>
        <w:jc w:val="both"/>
        <w:rPr>
          <w:rFonts w:ascii="仿宋" w:hAnsi="仿宋" w:eastAsia="仿宋"/>
          <w:b/>
          <w:color w:val="auto"/>
          <w:sz w:val="72"/>
          <w:szCs w:val="72"/>
          <w:highlight w:val="none"/>
        </w:rPr>
      </w:pPr>
    </w:p>
    <w:p>
      <w:pPr>
        <w:spacing w:line="1000" w:lineRule="exact"/>
        <w:jc w:val="both"/>
        <w:rPr>
          <w:rFonts w:ascii="仿宋" w:hAnsi="仿宋" w:eastAsia="仿宋"/>
          <w:b/>
          <w:color w:val="auto"/>
          <w:sz w:val="72"/>
          <w:szCs w:val="72"/>
          <w:highlight w:val="none"/>
        </w:rPr>
      </w:pPr>
    </w:p>
    <w:p>
      <w:pPr>
        <w:spacing w:line="1000" w:lineRule="exact"/>
        <w:jc w:val="both"/>
        <w:rPr>
          <w:rFonts w:ascii="仿宋" w:hAnsi="仿宋" w:eastAsia="仿宋"/>
          <w:b/>
          <w:color w:val="auto"/>
          <w:sz w:val="72"/>
          <w:szCs w:val="72"/>
          <w:highlight w:val="none"/>
        </w:rPr>
      </w:pPr>
    </w:p>
    <w:p>
      <w:pPr>
        <w:spacing w:line="1000" w:lineRule="exact"/>
        <w:ind w:firstLine="1325" w:firstLineChars="300"/>
        <w:jc w:val="both"/>
        <w:rPr>
          <w:rFonts w:ascii="仿宋" w:hAnsi="仿宋" w:eastAsia="仿宋"/>
          <w:b/>
          <w:color w:val="auto"/>
          <w:sz w:val="44"/>
          <w:szCs w:val="44"/>
          <w:highlight w:val="none"/>
        </w:rPr>
      </w:pPr>
      <w:r>
        <w:rPr>
          <w:rFonts w:hint="eastAsia" w:ascii="仿宋" w:hAnsi="仿宋" w:eastAsia="仿宋"/>
          <w:b/>
          <w:color w:val="auto"/>
          <w:sz w:val="44"/>
          <w:szCs w:val="44"/>
          <w:highlight w:val="none"/>
          <w:lang w:val="en-US" w:eastAsia="zh-CN"/>
        </w:rPr>
        <w:t>烟台科技学院</w:t>
      </w:r>
      <w:r>
        <w:rPr>
          <w:rFonts w:hint="eastAsia" w:ascii="仿宋" w:hAnsi="仿宋" w:eastAsia="仿宋"/>
          <w:b/>
          <w:color w:val="auto"/>
          <w:sz w:val="44"/>
          <w:szCs w:val="44"/>
          <w:highlight w:val="none"/>
        </w:rPr>
        <w:t>关于体质测试仪器</w:t>
      </w:r>
      <w:r>
        <w:rPr>
          <w:rFonts w:hint="eastAsia" w:ascii="仿宋" w:hAnsi="仿宋" w:eastAsia="仿宋"/>
          <w:b/>
          <w:color w:val="auto"/>
          <w:sz w:val="44"/>
          <w:szCs w:val="44"/>
          <w:highlight w:val="none"/>
          <w:lang w:val="en-US" w:eastAsia="zh-CN"/>
        </w:rPr>
        <w:t>采购</w:t>
      </w:r>
      <w:r>
        <w:rPr>
          <w:rFonts w:hint="eastAsia" w:ascii="仿宋" w:hAnsi="仿宋" w:eastAsia="仿宋"/>
          <w:b/>
          <w:color w:val="auto"/>
          <w:sz w:val="44"/>
          <w:szCs w:val="44"/>
          <w:highlight w:val="none"/>
        </w:rPr>
        <w:t>项目</w:t>
      </w:r>
    </w:p>
    <w:p>
      <w:pPr>
        <w:spacing w:line="580" w:lineRule="exact"/>
        <w:jc w:val="center"/>
        <w:rPr>
          <w:rFonts w:ascii="仿宋" w:hAnsi="仿宋" w:eastAsia="仿宋"/>
          <w:b/>
          <w:color w:val="auto"/>
          <w:sz w:val="52"/>
          <w:szCs w:val="52"/>
          <w:highlight w:val="none"/>
        </w:rPr>
      </w:pPr>
    </w:p>
    <w:p>
      <w:pPr>
        <w:spacing w:line="580" w:lineRule="exact"/>
        <w:jc w:val="center"/>
        <w:rPr>
          <w:rFonts w:ascii="仿宋" w:hAnsi="仿宋" w:eastAsia="仿宋"/>
          <w:b/>
          <w:color w:val="auto"/>
          <w:sz w:val="52"/>
          <w:szCs w:val="52"/>
          <w:highlight w:val="none"/>
        </w:rPr>
      </w:pPr>
      <w:r>
        <w:rPr>
          <w:rFonts w:hint="eastAsia" w:ascii="仿宋" w:hAnsi="仿宋" w:eastAsia="仿宋"/>
          <w:b/>
          <w:color w:val="auto"/>
          <w:sz w:val="52"/>
          <w:szCs w:val="52"/>
          <w:highlight w:val="none"/>
        </w:rPr>
        <w:t>报</w:t>
      </w:r>
    </w:p>
    <w:p>
      <w:pPr>
        <w:spacing w:line="580" w:lineRule="exact"/>
        <w:jc w:val="center"/>
        <w:rPr>
          <w:rFonts w:ascii="仿宋" w:hAnsi="仿宋" w:eastAsia="仿宋"/>
          <w:b/>
          <w:color w:val="auto"/>
          <w:sz w:val="52"/>
          <w:szCs w:val="52"/>
          <w:highlight w:val="none"/>
        </w:rPr>
      </w:pPr>
      <w:r>
        <w:rPr>
          <w:rFonts w:hint="eastAsia" w:ascii="仿宋" w:hAnsi="仿宋" w:eastAsia="仿宋"/>
          <w:b/>
          <w:color w:val="auto"/>
          <w:sz w:val="52"/>
          <w:szCs w:val="52"/>
          <w:highlight w:val="none"/>
        </w:rPr>
        <w:t>价</w:t>
      </w:r>
    </w:p>
    <w:p>
      <w:pPr>
        <w:spacing w:line="580" w:lineRule="exact"/>
        <w:jc w:val="center"/>
        <w:rPr>
          <w:rFonts w:ascii="仿宋" w:hAnsi="仿宋" w:eastAsia="仿宋"/>
          <w:b/>
          <w:color w:val="auto"/>
          <w:sz w:val="52"/>
          <w:szCs w:val="52"/>
          <w:highlight w:val="none"/>
        </w:rPr>
      </w:pPr>
      <w:r>
        <w:rPr>
          <w:rFonts w:hint="eastAsia" w:ascii="仿宋" w:hAnsi="仿宋" w:eastAsia="仿宋"/>
          <w:b/>
          <w:color w:val="auto"/>
          <w:sz w:val="52"/>
          <w:szCs w:val="52"/>
          <w:highlight w:val="none"/>
        </w:rPr>
        <w:t>响</w:t>
      </w:r>
    </w:p>
    <w:p>
      <w:pPr>
        <w:spacing w:line="580" w:lineRule="exact"/>
        <w:jc w:val="center"/>
        <w:rPr>
          <w:rFonts w:ascii="仿宋" w:hAnsi="仿宋" w:eastAsia="仿宋"/>
          <w:b/>
          <w:color w:val="auto"/>
          <w:sz w:val="52"/>
          <w:szCs w:val="52"/>
          <w:highlight w:val="none"/>
        </w:rPr>
      </w:pPr>
      <w:r>
        <w:rPr>
          <w:rFonts w:hint="eastAsia" w:ascii="仿宋" w:hAnsi="仿宋" w:eastAsia="仿宋"/>
          <w:b/>
          <w:color w:val="auto"/>
          <w:sz w:val="52"/>
          <w:szCs w:val="52"/>
          <w:highlight w:val="none"/>
        </w:rPr>
        <w:t>应</w:t>
      </w:r>
    </w:p>
    <w:p>
      <w:pPr>
        <w:spacing w:line="580" w:lineRule="exact"/>
        <w:jc w:val="center"/>
        <w:rPr>
          <w:rFonts w:ascii="仿宋" w:hAnsi="仿宋" w:eastAsia="仿宋"/>
          <w:b/>
          <w:color w:val="auto"/>
          <w:sz w:val="52"/>
          <w:szCs w:val="52"/>
          <w:highlight w:val="none"/>
        </w:rPr>
      </w:pPr>
      <w:r>
        <w:rPr>
          <w:rFonts w:hint="eastAsia" w:ascii="仿宋" w:hAnsi="仿宋" w:eastAsia="仿宋"/>
          <w:b/>
          <w:color w:val="auto"/>
          <w:sz w:val="52"/>
          <w:szCs w:val="52"/>
          <w:highlight w:val="none"/>
        </w:rPr>
        <w:t>文</w:t>
      </w:r>
    </w:p>
    <w:p>
      <w:pPr>
        <w:spacing w:line="580" w:lineRule="exact"/>
        <w:jc w:val="center"/>
        <w:rPr>
          <w:rFonts w:ascii="仿宋" w:hAnsi="仿宋" w:eastAsia="仿宋"/>
          <w:b/>
          <w:color w:val="auto"/>
          <w:sz w:val="52"/>
          <w:szCs w:val="52"/>
          <w:highlight w:val="none"/>
        </w:rPr>
      </w:pPr>
      <w:r>
        <w:rPr>
          <w:rFonts w:hint="eastAsia" w:ascii="仿宋" w:hAnsi="仿宋" w:eastAsia="仿宋"/>
          <w:b/>
          <w:color w:val="auto"/>
          <w:sz w:val="52"/>
          <w:szCs w:val="52"/>
          <w:highlight w:val="none"/>
        </w:rPr>
        <w:t>件</w:t>
      </w:r>
    </w:p>
    <w:p>
      <w:pPr>
        <w:spacing w:line="580" w:lineRule="exact"/>
        <w:jc w:val="center"/>
        <w:rPr>
          <w:rFonts w:ascii="仿宋" w:hAnsi="仿宋" w:eastAsia="仿宋"/>
          <w:b/>
          <w:color w:val="auto"/>
          <w:sz w:val="72"/>
          <w:szCs w:val="72"/>
          <w:highlight w:val="none"/>
        </w:rPr>
      </w:pPr>
    </w:p>
    <w:p>
      <w:pPr>
        <w:spacing w:line="500" w:lineRule="exact"/>
        <w:ind w:firstLine="2331" w:firstLineChars="645"/>
        <w:rPr>
          <w:rFonts w:ascii="仿宋" w:hAnsi="仿宋" w:eastAsia="仿宋"/>
          <w:b/>
          <w:color w:val="auto"/>
          <w:sz w:val="36"/>
          <w:szCs w:val="36"/>
          <w:highlight w:val="none"/>
        </w:rPr>
      </w:pPr>
      <w:r>
        <w:rPr>
          <w:rFonts w:hint="eastAsia" w:ascii="仿宋" w:hAnsi="仿宋" w:eastAsia="仿宋"/>
          <w:b/>
          <w:color w:val="auto"/>
          <w:sz w:val="36"/>
          <w:szCs w:val="36"/>
          <w:highlight w:val="none"/>
        </w:rPr>
        <w:t>参与人名称（公司全称）：</w:t>
      </w:r>
      <w:r>
        <w:rPr>
          <w:rFonts w:ascii="仿宋" w:hAnsi="仿宋" w:eastAsia="仿宋"/>
          <w:b/>
          <w:color w:val="auto"/>
          <w:sz w:val="36"/>
          <w:szCs w:val="36"/>
          <w:highlight w:val="none"/>
        </w:rPr>
        <w:t>XXXX</w:t>
      </w:r>
    </w:p>
    <w:p>
      <w:pPr>
        <w:spacing w:line="500" w:lineRule="exact"/>
        <w:ind w:firstLine="2331" w:firstLineChars="645"/>
        <w:rPr>
          <w:rFonts w:ascii="仿宋" w:hAnsi="仿宋" w:eastAsia="仿宋"/>
          <w:b/>
          <w:color w:val="auto"/>
          <w:sz w:val="36"/>
          <w:szCs w:val="36"/>
          <w:highlight w:val="none"/>
        </w:rPr>
      </w:pPr>
      <w:r>
        <w:rPr>
          <w:rFonts w:hint="eastAsia" w:ascii="仿宋" w:hAnsi="仿宋" w:eastAsia="仿宋"/>
          <w:b/>
          <w:color w:val="auto"/>
          <w:sz w:val="36"/>
          <w:szCs w:val="36"/>
          <w:highlight w:val="none"/>
        </w:rPr>
        <w:t>参与人授权代表：X</w:t>
      </w:r>
      <w:r>
        <w:rPr>
          <w:rFonts w:ascii="仿宋" w:hAnsi="仿宋" w:eastAsia="仿宋"/>
          <w:b/>
          <w:color w:val="auto"/>
          <w:sz w:val="36"/>
          <w:szCs w:val="36"/>
          <w:highlight w:val="none"/>
        </w:rPr>
        <w:t>XXX</w:t>
      </w:r>
    </w:p>
    <w:p>
      <w:pPr>
        <w:jc w:val="center"/>
        <w:rPr>
          <w:rFonts w:ascii="仿宋" w:hAnsi="仿宋" w:eastAsia="仿宋"/>
          <w:b/>
          <w:color w:val="auto"/>
          <w:sz w:val="36"/>
          <w:szCs w:val="36"/>
          <w:highlight w:val="none"/>
        </w:rPr>
      </w:pPr>
    </w:p>
    <w:p>
      <w:pPr>
        <w:jc w:val="center"/>
        <w:rPr>
          <w:rFonts w:ascii="仿宋" w:hAnsi="仿宋" w:eastAsia="仿宋"/>
          <w:b/>
          <w:bCs/>
          <w:color w:val="auto"/>
          <w:sz w:val="30"/>
          <w:szCs w:val="30"/>
          <w:highlight w:val="none"/>
        </w:rPr>
      </w:pPr>
    </w:p>
    <w:p>
      <w:pPr>
        <w:jc w:val="center"/>
        <w:rPr>
          <w:rFonts w:ascii="仿宋" w:hAnsi="仿宋" w:eastAsia="仿宋"/>
          <w:b/>
          <w:bCs/>
          <w:color w:val="auto"/>
          <w:sz w:val="30"/>
          <w:szCs w:val="30"/>
          <w:highlight w:val="none"/>
        </w:rPr>
      </w:pPr>
      <w:r>
        <w:rPr>
          <w:rFonts w:hint="eastAsia" w:ascii="仿宋" w:hAnsi="仿宋" w:eastAsia="仿宋"/>
          <w:b/>
          <w:bCs/>
          <w:color w:val="auto"/>
          <w:sz w:val="30"/>
          <w:szCs w:val="30"/>
          <w:highlight w:val="none"/>
        </w:rPr>
        <w:t>此封面应作为报价响应文件封面</w:t>
      </w:r>
    </w:p>
    <w:p>
      <w:pPr>
        <w:rPr>
          <w:rFonts w:ascii="仿宋" w:hAnsi="仿宋" w:eastAsia="仿宋"/>
          <w:b/>
          <w:bCs/>
          <w:color w:val="auto"/>
          <w:sz w:val="30"/>
          <w:szCs w:val="30"/>
          <w:highlight w:val="none"/>
        </w:rPr>
        <w:sectPr>
          <w:headerReference r:id="rId6" w:type="first"/>
          <w:headerReference r:id="rId5"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color w:val="auto"/>
          <w:sz w:val="24"/>
          <w:szCs w:val="24"/>
          <w:highlight w:val="none"/>
        </w:rPr>
      </w:pPr>
      <w:bookmarkStart w:id="48" w:name="_Toc182372782"/>
      <w:bookmarkStart w:id="49" w:name="_Toc267059181"/>
      <w:bookmarkStart w:id="50" w:name="_Toc169332949"/>
      <w:bookmarkStart w:id="51" w:name="_Toc169332838"/>
      <w:bookmarkStart w:id="52" w:name="_Toc259520865"/>
      <w:bookmarkStart w:id="53" w:name="_Toc192996338"/>
      <w:bookmarkStart w:id="54" w:name="_Toc219800243"/>
      <w:bookmarkStart w:id="55" w:name="_Toc227058530"/>
      <w:bookmarkStart w:id="56" w:name="_Toc193160448"/>
      <w:bookmarkStart w:id="57" w:name="_Toc160880529"/>
      <w:bookmarkStart w:id="58" w:name="_Toc213755939"/>
      <w:bookmarkStart w:id="59" w:name="_Toc180302913"/>
      <w:bookmarkStart w:id="60" w:name="_Toc266870833"/>
      <w:bookmarkStart w:id="61" w:name="_Toc267060321"/>
      <w:bookmarkStart w:id="62" w:name="_Toc235437991"/>
      <w:bookmarkStart w:id="63" w:name="_Toc267059653"/>
      <w:bookmarkStart w:id="64" w:name="_Toc182805217"/>
      <w:bookmarkStart w:id="65" w:name="_Toc235438344"/>
      <w:bookmarkStart w:id="66" w:name="_Toc177985469"/>
      <w:bookmarkStart w:id="67" w:name="_Toc181436461"/>
      <w:bookmarkStart w:id="68" w:name="_Toc181436565"/>
      <w:bookmarkStart w:id="69" w:name="_Toc225669322"/>
      <w:bookmarkStart w:id="70" w:name="_Toc211917116"/>
      <w:bookmarkStart w:id="71" w:name="_Toc192663686"/>
      <w:bookmarkStart w:id="72" w:name="_Toc192663835"/>
      <w:bookmarkStart w:id="73" w:name="_Toc213755858"/>
      <w:bookmarkStart w:id="74" w:name="_Toc191802690"/>
      <w:bookmarkStart w:id="75" w:name="_Toc191789329"/>
      <w:bookmarkStart w:id="76" w:name="_Toc251613829"/>
      <w:bookmarkStart w:id="77" w:name="_Toc235438274"/>
      <w:bookmarkStart w:id="78" w:name="_Toc251586231"/>
      <w:bookmarkStart w:id="79" w:name="_Toc213208766"/>
      <w:bookmarkStart w:id="80" w:name="_Toc266868670"/>
      <w:bookmarkStart w:id="81" w:name="_Toc255975007"/>
      <w:bookmarkStart w:id="82" w:name="_Toc259692647"/>
      <w:bookmarkStart w:id="83" w:name="_Toc191783222"/>
      <w:bookmarkStart w:id="84" w:name="_Toc160880160"/>
      <w:bookmarkStart w:id="85" w:name="_Toc203355733"/>
      <w:bookmarkStart w:id="86" w:name="_Toc266870907"/>
      <w:bookmarkStart w:id="87" w:name="_Toc170798793"/>
      <w:bookmarkStart w:id="88" w:name="_Toc213756051"/>
      <w:bookmarkStart w:id="89" w:name="_Toc258401256"/>
      <w:bookmarkStart w:id="90" w:name="_Toc266870432"/>
      <w:bookmarkStart w:id="91" w:name="_Toc192996446"/>
      <w:bookmarkStart w:id="92" w:name="_Toc213755995"/>
      <w:bookmarkStart w:id="93" w:name="_Toc273178698"/>
      <w:bookmarkStart w:id="94" w:name="_Toc223146608"/>
      <w:bookmarkStart w:id="95" w:name="_Toc267059539"/>
      <w:bookmarkStart w:id="96" w:name="_Toc267060208"/>
      <w:bookmarkStart w:id="97" w:name="_Toc192664153"/>
      <w:bookmarkStart w:id="98" w:name="_Toc193165734"/>
      <w:bookmarkStart w:id="99" w:name="_Toc191803626"/>
      <w:bookmarkStart w:id="100" w:name="_Toc267059919"/>
      <w:bookmarkStart w:id="101" w:name="_Toc267060068"/>
      <w:bookmarkStart w:id="102" w:name="_Toc267059030"/>
      <w:bookmarkStart w:id="103" w:name="_Toc217891402"/>
      <w:bookmarkStart w:id="104" w:name="_Toc267060453"/>
      <w:bookmarkStart w:id="105" w:name="_Toc236021449"/>
      <w:bookmarkStart w:id="106" w:name="_Toc259692740"/>
      <w:bookmarkStart w:id="107" w:name="_Toc249325711"/>
      <w:bookmarkStart w:id="108" w:name="_Toc253066614"/>
      <w:bookmarkStart w:id="109" w:name="_Toc267059806"/>
      <w:bookmarkStart w:id="110" w:name="_Toc232302115"/>
      <w:bookmarkStart w:id="111" w:name="_Toc230071147"/>
      <w:bookmarkStart w:id="112" w:name="_Toc254790899"/>
      <w:bookmarkStart w:id="113" w:name="_Toc266868937"/>
    </w:p>
    <w:p>
      <w:pPr>
        <w:jc w:val="center"/>
        <w:outlineLvl w:val="1"/>
        <w:rPr>
          <w:rFonts w:hint="eastAsia" w:ascii="仿宋" w:hAnsi="仿宋" w:eastAsia="仿宋"/>
          <w:b/>
          <w:bCs/>
          <w:color w:val="auto"/>
          <w:sz w:val="24"/>
          <w:szCs w:val="24"/>
          <w:highlight w:val="none"/>
        </w:rPr>
      </w:pPr>
    </w:p>
    <w:p>
      <w:pPr>
        <w:jc w:val="center"/>
        <w:outlineLvl w:val="1"/>
        <w:rPr>
          <w:rFonts w:ascii="仿宋" w:hAnsi="仿宋" w:eastAsia="仿宋"/>
          <w:b/>
          <w:bCs/>
          <w:color w:val="auto"/>
          <w:sz w:val="24"/>
          <w:szCs w:val="24"/>
          <w:highlight w:val="none"/>
        </w:rPr>
      </w:pPr>
      <w:r>
        <w:rPr>
          <w:rFonts w:hint="eastAsia" w:ascii="仿宋" w:hAnsi="仿宋" w:eastAsia="仿宋"/>
          <w:b/>
          <w:bCs/>
          <w:color w:val="auto"/>
          <w:sz w:val="24"/>
          <w:szCs w:val="24"/>
          <w:highlight w:val="none"/>
        </w:rPr>
        <w:t>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hint="eastAsia" w:ascii="仿宋" w:hAnsi="仿宋" w:eastAsia="仿宋"/>
          <w:b/>
          <w:bCs/>
          <w:color w:val="auto"/>
          <w:sz w:val="24"/>
          <w:szCs w:val="24"/>
          <w:highlight w:val="none"/>
        </w:rPr>
        <w:t>询价响应函</w:t>
      </w:r>
    </w:p>
    <w:p>
      <w:pPr>
        <w:spacing w:after="0" w:line="48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致：X</w:t>
      </w:r>
      <w:r>
        <w:rPr>
          <w:rFonts w:ascii="仿宋" w:hAnsi="仿宋" w:eastAsia="仿宋"/>
          <w:color w:val="auto"/>
          <w:sz w:val="24"/>
          <w:szCs w:val="24"/>
          <w:highlight w:val="none"/>
        </w:rPr>
        <w:t>XX</w:t>
      </w:r>
      <w:r>
        <w:rPr>
          <w:rFonts w:hint="eastAsia" w:ascii="仿宋" w:hAnsi="仿宋" w:eastAsia="仿宋"/>
          <w:color w:val="auto"/>
          <w:sz w:val="24"/>
          <w:szCs w:val="24"/>
          <w:highlight w:val="none"/>
        </w:rPr>
        <w:t>学校</w:t>
      </w:r>
    </w:p>
    <w:p>
      <w:pPr>
        <w:spacing w:after="0" w:line="48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根据贵学校编号为</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项目名称为</w:t>
      </w:r>
      <w:r>
        <w:rPr>
          <w:rFonts w:hint="eastAsia" w:ascii="仿宋" w:hAnsi="仿宋" w:eastAsia="仿宋"/>
          <w:color w:val="auto"/>
          <w:sz w:val="24"/>
          <w:szCs w:val="24"/>
          <w:highlight w:val="none"/>
          <w:u w:val="single"/>
        </w:rPr>
        <w:t xml:space="preserve">     </w:t>
      </w:r>
      <w:r>
        <w:rPr>
          <w:rFonts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的公开询价邀请，本签字代表</w:t>
      </w:r>
      <w:r>
        <w:rPr>
          <w:rFonts w:hint="eastAsia" w:ascii="仿宋" w:hAnsi="仿宋" w:eastAsia="仿宋"/>
          <w:color w:val="auto"/>
          <w:sz w:val="24"/>
          <w:szCs w:val="24"/>
          <w:highlight w:val="none"/>
          <w:u w:val="single"/>
        </w:rPr>
        <w:t xml:space="preserve"> </w:t>
      </w:r>
      <w:r>
        <w:rPr>
          <w:rFonts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（全名、职务）正式授权并代表我方</w:t>
      </w:r>
      <w:r>
        <w:rPr>
          <w:rFonts w:hint="eastAsia" w:ascii="仿宋" w:hAnsi="仿宋" w:eastAsia="仿宋"/>
          <w:color w:val="auto"/>
          <w:sz w:val="24"/>
          <w:szCs w:val="24"/>
          <w:highlight w:val="none"/>
          <w:u w:val="single"/>
        </w:rPr>
        <w:t xml:space="preserve"> </w:t>
      </w:r>
      <w:r>
        <w:rPr>
          <w:rFonts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（参与人公司名称）提交下述文件。</w:t>
      </w:r>
    </w:p>
    <w:p>
      <w:pPr>
        <w:spacing w:after="0" w:line="48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1</w:t>
      </w:r>
      <w:r>
        <w:rPr>
          <w:rFonts w:hint="eastAsia" w:ascii="仿宋" w:hAnsi="仿宋" w:eastAsia="仿宋"/>
          <w:color w:val="auto"/>
          <w:sz w:val="24"/>
          <w:szCs w:val="24"/>
          <w:highlight w:val="none"/>
        </w:rPr>
        <w:t>) 报价一览表</w:t>
      </w:r>
    </w:p>
    <w:p>
      <w:pPr>
        <w:spacing w:after="0" w:line="480" w:lineRule="exact"/>
        <w:ind w:firstLine="364" w:firstLineChars="152"/>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w:t>
      </w:r>
      <w:r>
        <w:rPr>
          <w:rFonts w:ascii="仿宋" w:hAnsi="仿宋" w:eastAsia="仿宋"/>
          <w:color w:val="auto"/>
          <w:sz w:val="24"/>
          <w:szCs w:val="24"/>
          <w:highlight w:val="none"/>
        </w:rPr>
        <w:t>2</w:t>
      </w:r>
      <w:r>
        <w:rPr>
          <w:rFonts w:hint="eastAsia" w:ascii="仿宋" w:hAnsi="仿宋" w:eastAsia="仿宋"/>
          <w:color w:val="auto"/>
          <w:sz w:val="24"/>
          <w:szCs w:val="24"/>
          <w:highlight w:val="none"/>
        </w:rPr>
        <w:t>) 参与人资质证明</w:t>
      </w:r>
    </w:p>
    <w:p>
      <w:pPr>
        <w:spacing w:after="0" w:line="48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据此函，签字代表宣布同意如下：</w:t>
      </w:r>
    </w:p>
    <w:p>
      <w:pPr>
        <w:spacing w:after="0" w:line="48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1.所附详细报价表中规定的应提供和交付的货物及服务报价总价（国内现场交货价）为人民币 </w:t>
      </w:r>
      <w:r>
        <w:rPr>
          <w:rFonts w:hint="eastAsia" w:ascii="仿宋" w:hAnsi="仿宋" w:eastAsia="仿宋"/>
          <w:color w:val="auto"/>
          <w:sz w:val="24"/>
          <w:szCs w:val="24"/>
          <w:highlight w:val="none"/>
          <w:u w:val="single"/>
        </w:rPr>
        <w:t xml:space="preserve">  </w:t>
      </w:r>
      <w:r>
        <w:rPr>
          <w:rFonts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，即 </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（中文表述），交货期为</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天</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w:t>
      </w:r>
    </w:p>
    <w:p>
      <w:pPr>
        <w:spacing w:after="0" w:line="48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3.保证遵守公开询价文件的全部规定，所提交的材料中所含的信息均为真实、准确、完整，且不具有任何误导性。</w:t>
      </w:r>
    </w:p>
    <w:p>
      <w:pPr>
        <w:spacing w:after="0" w:line="48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4.同意按公开询价文件的规定履行合同责任和义务。</w:t>
      </w:r>
    </w:p>
    <w:p>
      <w:pPr>
        <w:spacing w:after="0" w:line="480" w:lineRule="exact"/>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5</w:t>
      </w:r>
      <w:r>
        <w:rPr>
          <w:rFonts w:hint="eastAsia" w:ascii="仿宋" w:hAnsi="仿宋" w:eastAsia="仿宋"/>
          <w:color w:val="auto"/>
          <w:sz w:val="24"/>
          <w:szCs w:val="24"/>
          <w:highlight w:val="none"/>
        </w:rPr>
        <w:t>.同意提供按照贵方可能要求的与其公开询价有关的一切数据或资料</w:t>
      </w:r>
    </w:p>
    <w:p>
      <w:pPr>
        <w:spacing w:after="0" w:line="480" w:lineRule="exact"/>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6.</w:t>
      </w:r>
      <w:r>
        <w:rPr>
          <w:rFonts w:hint="eastAsia" w:ascii="仿宋" w:hAnsi="仿宋" w:eastAsia="仿宋"/>
          <w:color w:val="auto"/>
          <w:sz w:val="24"/>
          <w:szCs w:val="24"/>
          <w:highlight w:val="none"/>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color w:val="auto"/>
          <w:sz w:val="24"/>
          <w:szCs w:val="24"/>
          <w:highlight w:val="none"/>
        </w:rPr>
      </w:pPr>
    </w:p>
    <w:p>
      <w:pPr>
        <w:spacing w:after="0" w:line="480" w:lineRule="exact"/>
        <w:rPr>
          <w:rFonts w:ascii="仿宋" w:hAnsi="仿宋" w:eastAsia="仿宋"/>
          <w:color w:val="auto"/>
          <w:sz w:val="24"/>
          <w:szCs w:val="24"/>
          <w:highlight w:val="none"/>
          <w:u w:val="single"/>
        </w:rPr>
      </w:pPr>
      <w:r>
        <w:rPr>
          <w:rFonts w:hint="eastAsia" w:ascii="仿宋" w:hAnsi="仿宋" w:eastAsia="仿宋"/>
          <w:color w:val="auto"/>
          <w:sz w:val="24"/>
          <w:szCs w:val="24"/>
          <w:highlight w:val="none"/>
        </w:rPr>
        <w:t xml:space="preserve">      </w:t>
      </w:r>
    </w:p>
    <w:p>
      <w:pPr>
        <w:spacing w:after="0" w:line="480" w:lineRule="exact"/>
        <w:rPr>
          <w:rFonts w:ascii="仿宋" w:hAnsi="仿宋" w:eastAsia="仿宋"/>
          <w:color w:val="auto"/>
          <w:sz w:val="24"/>
          <w:szCs w:val="24"/>
          <w:highlight w:val="none"/>
          <w:u w:val="single"/>
        </w:rPr>
      </w:pPr>
      <w:r>
        <w:rPr>
          <w:rFonts w:hint="eastAsia" w:ascii="仿宋" w:hAnsi="仿宋" w:eastAsia="仿宋"/>
          <w:color w:val="auto"/>
          <w:sz w:val="24"/>
          <w:szCs w:val="24"/>
          <w:highlight w:val="none"/>
        </w:rPr>
        <w:t xml:space="preserve">      </w:t>
      </w:r>
    </w:p>
    <w:p>
      <w:pPr>
        <w:spacing w:after="0" w:line="480" w:lineRule="exact"/>
        <w:ind w:left="284" w:leftChars="129" w:firstLine="242" w:firstLineChars="101"/>
        <w:rPr>
          <w:rFonts w:ascii="仿宋" w:hAnsi="仿宋" w:eastAsia="仿宋"/>
          <w:color w:val="auto"/>
          <w:sz w:val="24"/>
          <w:szCs w:val="24"/>
          <w:highlight w:val="none"/>
          <w:u w:val="single"/>
        </w:rPr>
      </w:pPr>
      <w:r>
        <w:rPr>
          <w:rFonts w:hint="eastAsia" w:ascii="仿宋" w:hAnsi="仿宋" w:eastAsia="仿宋"/>
          <w:color w:val="auto"/>
          <w:sz w:val="24"/>
          <w:szCs w:val="24"/>
          <w:highlight w:val="none"/>
        </w:rPr>
        <w:t>参与人（公司全称并加盖公章）：</w:t>
      </w:r>
      <w:r>
        <w:rPr>
          <w:rFonts w:hint="eastAsia" w:ascii="仿宋" w:hAnsi="仿宋" w:eastAsia="仿宋"/>
          <w:color w:val="auto"/>
          <w:sz w:val="24"/>
          <w:szCs w:val="24"/>
          <w:highlight w:val="none"/>
          <w:u w:val="single"/>
        </w:rPr>
        <w:t xml:space="preserve">                       </w:t>
      </w:r>
    </w:p>
    <w:p>
      <w:pPr>
        <w:spacing w:after="0" w:line="480" w:lineRule="exact"/>
        <w:ind w:left="284" w:leftChars="129" w:firstLine="242" w:firstLineChars="101"/>
        <w:rPr>
          <w:rFonts w:ascii="仿宋" w:hAnsi="仿宋" w:eastAsia="仿宋"/>
          <w:color w:val="auto"/>
          <w:sz w:val="24"/>
          <w:szCs w:val="24"/>
          <w:highlight w:val="none"/>
          <w:u w:val="single"/>
        </w:rPr>
      </w:pPr>
      <w:r>
        <w:rPr>
          <w:rFonts w:hint="eastAsia" w:ascii="仿宋" w:hAnsi="仿宋" w:eastAsia="仿宋"/>
          <w:color w:val="auto"/>
          <w:sz w:val="24"/>
          <w:szCs w:val="24"/>
          <w:highlight w:val="none"/>
        </w:rPr>
        <w:t xml:space="preserve">参与人授权代表签字： </w:t>
      </w:r>
      <w:r>
        <w:rPr>
          <w:rFonts w:hint="eastAsia" w:ascii="仿宋" w:hAnsi="仿宋" w:eastAsia="仿宋"/>
          <w:color w:val="auto"/>
          <w:sz w:val="24"/>
          <w:szCs w:val="24"/>
          <w:highlight w:val="none"/>
          <w:u w:val="single"/>
        </w:rPr>
        <w:t xml:space="preserve">                </w:t>
      </w:r>
    </w:p>
    <w:p>
      <w:pPr>
        <w:spacing w:after="0" w:line="480" w:lineRule="exact"/>
        <w:ind w:left="284" w:leftChars="129" w:firstLine="242" w:firstLineChars="101"/>
        <w:rPr>
          <w:rFonts w:ascii="仿宋" w:hAnsi="仿宋" w:eastAsia="仿宋"/>
          <w:color w:val="auto"/>
          <w:sz w:val="24"/>
          <w:szCs w:val="24"/>
          <w:highlight w:val="none"/>
          <w:u w:val="single"/>
        </w:rPr>
      </w:pPr>
      <w:r>
        <w:rPr>
          <w:rFonts w:hint="eastAsia" w:ascii="仿宋" w:hAnsi="仿宋" w:eastAsia="仿宋"/>
          <w:color w:val="auto"/>
          <w:sz w:val="24"/>
          <w:szCs w:val="24"/>
          <w:highlight w:val="none"/>
        </w:rPr>
        <w:t xml:space="preserve">电 </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 xml:space="preserve">话： </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w:t>
      </w:r>
      <w:r>
        <w:rPr>
          <w:rFonts w:hint="eastAsia" w:ascii="仿宋" w:hAnsi="仿宋" w:eastAsia="仿宋"/>
          <w:b/>
          <w:bCs/>
          <w:color w:val="auto"/>
          <w:sz w:val="24"/>
          <w:szCs w:val="24"/>
          <w:highlight w:val="none"/>
        </w:rPr>
        <w:t>（手机号码）</w:t>
      </w:r>
    </w:p>
    <w:p>
      <w:pPr>
        <w:pStyle w:val="56"/>
        <w:spacing w:line="480" w:lineRule="exact"/>
        <w:ind w:firstLine="480" w:firstLineChars="200"/>
        <w:jc w:val="left"/>
        <w:outlineLvl w:val="9"/>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日  期： </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年 </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月 </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日</w:t>
      </w:r>
    </w:p>
    <w:p>
      <w:pPr>
        <w:rPr>
          <w:rFonts w:ascii="仿宋" w:hAnsi="仿宋" w:eastAsia="仿宋" w:cs="Times New Roman"/>
          <w:color w:val="auto"/>
          <w:kern w:val="2"/>
          <w:sz w:val="24"/>
          <w:szCs w:val="24"/>
          <w:highlight w:val="none"/>
        </w:rPr>
      </w:pPr>
      <w:r>
        <w:rPr>
          <w:rFonts w:ascii="仿宋" w:hAnsi="仿宋" w:eastAsia="仿宋"/>
          <w:color w:val="auto"/>
          <w:sz w:val="24"/>
          <w:szCs w:val="24"/>
          <w:highlight w:val="none"/>
        </w:rPr>
        <w:br w:type="page"/>
      </w:r>
    </w:p>
    <w:p>
      <w:pPr>
        <w:jc w:val="center"/>
        <w:outlineLvl w:val="1"/>
        <w:rPr>
          <w:rFonts w:ascii="仿宋" w:hAnsi="仿宋" w:eastAsia="仿宋"/>
          <w:b/>
          <w:bCs/>
          <w:color w:val="auto"/>
          <w:sz w:val="24"/>
          <w:szCs w:val="24"/>
          <w:highlight w:val="none"/>
        </w:rPr>
      </w:pPr>
      <w:r>
        <w:rPr>
          <w:rFonts w:ascii="仿宋" w:hAnsi="仿宋" w:eastAsia="仿宋"/>
          <w:b/>
          <w:bCs/>
          <w:color w:val="auto"/>
          <w:sz w:val="24"/>
          <w:szCs w:val="24"/>
          <w:highlight w:val="none"/>
        </w:rPr>
        <w:t>2</w:t>
      </w:r>
      <w:r>
        <w:rPr>
          <w:rFonts w:hint="eastAsia" w:ascii="仿宋" w:hAnsi="仿宋" w:eastAsia="仿宋"/>
          <w:b/>
          <w:bCs/>
          <w:color w:val="auto"/>
          <w:sz w:val="24"/>
          <w:szCs w:val="24"/>
          <w:highlight w:val="none"/>
        </w:rPr>
        <w:t>、报价一览表</w:t>
      </w:r>
    </w:p>
    <w:p>
      <w:pPr>
        <w:jc w:val="center"/>
        <w:outlineLvl w:val="1"/>
        <w:rPr>
          <w:rFonts w:ascii="仿宋" w:hAnsi="仿宋" w:eastAsia="仿宋"/>
          <w:b/>
          <w:bCs/>
          <w:color w:val="auto"/>
          <w:sz w:val="24"/>
          <w:szCs w:val="24"/>
          <w:highlight w:val="none"/>
        </w:rPr>
      </w:pPr>
      <w:r>
        <w:rPr>
          <w:rFonts w:hint="eastAsia" w:ascii="仿宋" w:hAnsi="仿宋" w:eastAsia="仿宋"/>
          <w:b/>
          <w:bCs/>
          <w:color w:val="auto"/>
          <w:sz w:val="24"/>
          <w:szCs w:val="24"/>
          <w:highlight w:val="none"/>
        </w:rPr>
        <w:t>（根据项目情况各成员学校可自行修改）</w:t>
      </w:r>
    </w:p>
    <w:p>
      <w:pPr>
        <w:spacing w:line="380" w:lineRule="exact"/>
        <w:ind w:left="147" w:leftChars="67"/>
        <w:rPr>
          <w:rFonts w:ascii="仿宋" w:hAnsi="仿宋" w:eastAsia="仿宋"/>
          <w:color w:val="auto"/>
          <w:sz w:val="24"/>
          <w:szCs w:val="24"/>
          <w:highlight w:val="none"/>
        </w:rPr>
      </w:pPr>
      <w:r>
        <w:rPr>
          <w:rFonts w:hint="eastAsia" w:ascii="仿宋" w:hAnsi="仿宋" w:eastAsia="仿宋"/>
          <w:color w:val="auto"/>
          <w:sz w:val="24"/>
          <w:szCs w:val="24"/>
          <w:highlight w:val="none"/>
        </w:rPr>
        <w:t>参与人：</w:t>
      </w:r>
      <w:r>
        <w:rPr>
          <w:rFonts w:hint="eastAsia" w:ascii="仿宋" w:hAnsi="仿宋" w:eastAsia="仿宋"/>
          <w:color w:val="auto"/>
          <w:sz w:val="24"/>
          <w:szCs w:val="24"/>
          <w:highlight w:val="none"/>
          <w:lang w:val="zh-CN"/>
        </w:rPr>
        <w:t>（公司全称并加盖公章）</w:t>
      </w:r>
      <w:r>
        <w:rPr>
          <w:rFonts w:hint="eastAsia" w:ascii="仿宋" w:hAnsi="仿宋" w:eastAsia="仿宋"/>
          <w:color w:val="auto"/>
          <w:sz w:val="24"/>
          <w:szCs w:val="24"/>
          <w:highlight w:val="none"/>
        </w:rPr>
        <w:t xml:space="preserve">                   项目编号：</w:t>
      </w:r>
    </w:p>
    <w:p>
      <w:pPr>
        <w:spacing w:line="380" w:lineRule="exact"/>
        <w:ind w:left="147" w:leftChars="67"/>
        <w:rPr>
          <w:rFonts w:ascii="仿宋" w:hAnsi="仿宋" w:eastAsia="仿宋"/>
          <w:color w:val="auto"/>
          <w:sz w:val="24"/>
          <w:szCs w:val="24"/>
          <w:highlight w:val="none"/>
        </w:rPr>
      </w:pPr>
      <w:r>
        <w:rPr>
          <w:rFonts w:hint="eastAsia" w:ascii="仿宋" w:hAnsi="仿宋" w:eastAsia="仿宋"/>
          <w:color w:val="auto"/>
          <w:sz w:val="24"/>
          <w:szCs w:val="24"/>
          <w:highlight w:val="none"/>
        </w:rPr>
        <w:t>货币单位：</w:t>
      </w:r>
    </w:p>
    <w:tbl>
      <w:tblPr>
        <w:tblStyle w:val="23"/>
        <w:tblW w:w="5134" w:type="pct"/>
        <w:tblInd w:w="0" w:type="dxa"/>
        <w:tblLayout w:type="autofit"/>
        <w:tblCellMar>
          <w:top w:w="0" w:type="dxa"/>
          <w:left w:w="108" w:type="dxa"/>
          <w:bottom w:w="0" w:type="dxa"/>
          <w:right w:w="108" w:type="dxa"/>
        </w:tblCellMar>
      </w:tblPr>
      <w:tblGrid>
        <w:gridCol w:w="721"/>
        <w:gridCol w:w="1160"/>
        <w:gridCol w:w="2713"/>
        <w:gridCol w:w="739"/>
        <w:gridCol w:w="615"/>
        <w:gridCol w:w="859"/>
        <w:gridCol w:w="983"/>
        <w:gridCol w:w="1024"/>
        <w:gridCol w:w="1015"/>
      </w:tblGrid>
      <w:tr>
        <w:tblPrEx>
          <w:tblCellMar>
            <w:top w:w="0" w:type="dxa"/>
            <w:left w:w="108" w:type="dxa"/>
            <w:bottom w:w="0" w:type="dxa"/>
            <w:right w:w="108" w:type="dxa"/>
          </w:tblCellMar>
        </w:tblPrEx>
        <w:trPr>
          <w:trHeight w:val="492" w:hRule="atLeast"/>
        </w:trPr>
        <w:tc>
          <w:tcPr>
            <w:tcW w:w="36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序号</w:t>
            </w:r>
          </w:p>
        </w:tc>
        <w:tc>
          <w:tcPr>
            <w:tcW w:w="59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设备名称</w:t>
            </w:r>
          </w:p>
        </w:tc>
        <w:tc>
          <w:tcPr>
            <w:tcW w:w="138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规格型号（技术参数）</w:t>
            </w:r>
          </w:p>
        </w:tc>
        <w:tc>
          <w:tcPr>
            <w:tcW w:w="376"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单位</w:t>
            </w:r>
          </w:p>
        </w:tc>
        <w:tc>
          <w:tcPr>
            <w:tcW w:w="313"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数量</w:t>
            </w:r>
          </w:p>
        </w:tc>
        <w:tc>
          <w:tcPr>
            <w:tcW w:w="437"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单价（元）</w:t>
            </w:r>
          </w:p>
        </w:tc>
        <w:tc>
          <w:tcPr>
            <w:tcW w:w="50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总价（元）</w:t>
            </w: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是否提供样品</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备注</w:t>
            </w: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1</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highlight w:val="none"/>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highlight w:val="none"/>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2</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highlight w:val="none"/>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highlight w:val="none"/>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3</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highlight w:val="none"/>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highlight w:val="none"/>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4</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highlight w:val="none"/>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highlight w:val="none"/>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5</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highlight w:val="none"/>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highlight w:val="none"/>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6</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highlight w:val="none"/>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highlight w:val="none"/>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7</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highlight w:val="none"/>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highlight w:val="none"/>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8</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highlight w:val="none"/>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highlight w:val="none"/>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r>
    </w:tbl>
    <w:p>
      <w:pPr>
        <w:spacing w:line="380" w:lineRule="exact"/>
        <w:ind w:left="147" w:leftChars="67"/>
        <w:rPr>
          <w:rFonts w:ascii="仿宋" w:hAnsi="仿宋" w:eastAsia="仿宋"/>
          <w:color w:val="auto"/>
          <w:sz w:val="24"/>
          <w:szCs w:val="24"/>
          <w:highlight w:val="none"/>
        </w:rPr>
      </w:pPr>
    </w:p>
    <w:p>
      <w:pPr>
        <w:spacing w:line="380" w:lineRule="exact"/>
        <w:ind w:left="147" w:leftChars="67"/>
        <w:rPr>
          <w:rFonts w:ascii="仿宋" w:hAnsi="仿宋" w:eastAsia="仿宋"/>
          <w:color w:val="auto"/>
          <w:sz w:val="24"/>
          <w:szCs w:val="24"/>
          <w:highlight w:val="none"/>
        </w:rPr>
      </w:pPr>
      <w:r>
        <w:rPr>
          <w:rFonts w:ascii="仿宋" w:hAnsi="仿宋" w:eastAsia="仿宋"/>
          <w:color w:val="auto"/>
          <w:sz w:val="24"/>
          <w:szCs w:val="24"/>
          <w:highlight w:val="none"/>
        </w:rPr>
        <w:t>注：1.如果按单价计算的结果与总价不一致,以单价为准修正总价。</w:t>
      </w:r>
    </w:p>
    <w:p>
      <w:pPr>
        <w:spacing w:line="380" w:lineRule="exact"/>
        <w:ind w:left="147" w:leftChars="67"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2.如果不提供详细参数和报价将视为没有实质性响应</w:t>
      </w:r>
      <w:r>
        <w:rPr>
          <w:rFonts w:hint="eastAsia" w:ascii="仿宋" w:hAnsi="仿宋" w:eastAsia="仿宋"/>
          <w:color w:val="auto"/>
          <w:sz w:val="24"/>
          <w:szCs w:val="24"/>
          <w:highlight w:val="none"/>
        </w:rPr>
        <w:t>公开询价</w:t>
      </w:r>
      <w:r>
        <w:rPr>
          <w:rFonts w:ascii="仿宋" w:hAnsi="仿宋" w:eastAsia="仿宋"/>
          <w:color w:val="auto"/>
          <w:sz w:val="24"/>
          <w:szCs w:val="24"/>
          <w:highlight w:val="none"/>
        </w:rPr>
        <w:t>文件。</w:t>
      </w:r>
    </w:p>
    <w:p>
      <w:pPr>
        <w:spacing w:after="0" w:line="300" w:lineRule="exact"/>
        <w:ind w:firstLine="480" w:firstLineChars="200"/>
        <w:rPr>
          <w:rFonts w:ascii="仿宋" w:hAnsi="仿宋" w:eastAsia="仿宋"/>
          <w:color w:val="auto"/>
          <w:sz w:val="24"/>
          <w:szCs w:val="24"/>
          <w:highlight w:val="none"/>
          <w:lang w:val="zh-CN"/>
        </w:rPr>
      </w:pPr>
    </w:p>
    <w:p>
      <w:pPr>
        <w:spacing w:line="380" w:lineRule="exact"/>
        <w:rPr>
          <w:rFonts w:ascii="仿宋" w:hAnsi="仿宋" w:eastAsia="仿宋"/>
          <w:color w:val="auto"/>
          <w:sz w:val="24"/>
          <w:szCs w:val="24"/>
          <w:highlight w:val="none"/>
          <w:lang w:val="zh-CN"/>
        </w:rPr>
      </w:pPr>
    </w:p>
    <w:p>
      <w:pPr>
        <w:spacing w:line="360" w:lineRule="auto"/>
        <w:ind w:right="960"/>
        <w:jc w:val="right"/>
        <w:rPr>
          <w:rFonts w:ascii="仿宋" w:hAnsi="仿宋" w:eastAsia="仿宋"/>
          <w:color w:val="auto"/>
          <w:sz w:val="24"/>
          <w:szCs w:val="24"/>
          <w:highlight w:val="none"/>
          <w:lang w:val="zh-CN"/>
        </w:rPr>
      </w:pPr>
    </w:p>
    <w:p>
      <w:pPr>
        <w:spacing w:line="360" w:lineRule="auto"/>
        <w:ind w:right="1440"/>
        <w:jc w:val="right"/>
        <w:rPr>
          <w:rFonts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参与人授权代表</w:t>
      </w:r>
      <w:r>
        <w:rPr>
          <w:rFonts w:ascii="仿宋" w:hAnsi="仿宋" w:eastAsia="仿宋"/>
          <w:color w:val="auto"/>
          <w:sz w:val="24"/>
          <w:szCs w:val="24"/>
          <w:highlight w:val="none"/>
          <w:lang w:val="zh-CN"/>
        </w:rPr>
        <w:t>（签字</w:t>
      </w:r>
      <w:r>
        <w:rPr>
          <w:rFonts w:hint="eastAsia" w:ascii="仿宋" w:hAnsi="仿宋" w:eastAsia="仿宋"/>
          <w:color w:val="auto"/>
          <w:sz w:val="24"/>
          <w:szCs w:val="24"/>
          <w:highlight w:val="none"/>
          <w:lang w:val="zh-CN"/>
        </w:rPr>
        <w:t>或盖章</w:t>
      </w:r>
      <w:r>
        <w:rPr>
          <w:rFonts w:ascii="仿宋" w:hAnsi="仿宋" w:eastAsia="仿宋"/>
          <w:color w:val="auto"/>
          <w:sz w:val="24"/>
          <w:szCs w:val="24"/>
          <w:highlight w:val="none"/>
          <w:lang w:val="zh-CN"/>
        </w:rPr>
        <w:t>）：</w:t>
      </w:r>
    </w:p>
    <w:p>
      <w:pPr>
        <w:spacing w:line="360" w:lineRule="auto"/>
        <w:ind w:right="1406"/>
        <w:jc w:val="right"/>
        <w:rPr>
          <w:rFonts w:ascii="仿宋" w:hAnsi="仿宋" w:eastAsia="仿宋"/>
          <w:color w:val="auto"/>
          <w:sz w:val="24"/>
          <w:szCs w:val="24"/>
          <w:highlight w:val="none"/>
          <w:lang w:val="zh-CN"/>
        </w:rPr>
        <w:sectPr>
          <w:headerReference r:id="rId8" w:type="first"/>
          <w:headerReference r:id="rId7" w:type="default"/>
          <w:footerReference r:id="rId9"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color w:val="auto"/>
          <w:sz w:val="24"/>
          <w:szCs w:val="24"/>
          <w:highlight w:val="none"/>
          <w:lang w:val="zh-CN"/>
        </w:rPr>
        <w:t xml:space="preserve">日 </w:t>
      </w:r>
      <w:r>
        <w:rPr>
          <w:rFonts w:ascii="仿宋" w:hAnsi="仿宋" w:eastAsia="仿宋"/>
          <w:color w:val="auto"/>
          <w:sz w:val="24"/>
          <w:szCs w:val="24"/>
          <w:highlight w:val="none"/>
          <w:lang w:val="zh-CN"/>
        </w:rPr>
        <w:t xml:space="preserve">        </w:t>
      </w:r>
      <w:r>
        <w:rPr>
          <w:rFonts w:hint="eastAsia" w:ascii="仿宋" w:hAnsi="仿宋" w:eastAsia="仿宋"/>
          <w:color w:val="auto"/>
          <w:sz w:val="24"/>
          <w:szCs w:val="24"/>
          <w:highlight w:val="none"/>
          <w:lang w:val="zh-CN"/>
        </w:rPr>
        <w:t>期：</w:t>
      </w:r>
      <w:bookmarkStart w:id="114" w:name="_Toc181436466"/>
      <w:bookmarkStart w:id="115" w:name="_Toc267060461"/>
      <w:bookmarkStart w:id="116" w:name="_Toc230071153"/>
      <w:bookmarkStart w:id="117" w:name="_Toc217891408"/>
      <w:bookmarkStart w:id="118" w:name="_Toc191802695"/>
      <w:bookmarkStart w:id="119" w:name="_Toc213208771"/>
      <w:bookmarkStart w:id="120" w:name="_Toc191783227"/>
      <w:bookmarkStart w:id="121" w:name="_Toc192663840"/>
      <w:bookmarkStart w:id="122" w:name="_Toc181436570"/>
      <w:bookmarkStart w:id="123" w:name="_Toc267060216"/>
      <w:bookmarkStart w:id="124" w:name="_Toc192663691"/>
      <w:bookmarkStart w:id="125" w:name="_Toc219800249"/>
      <w:bookmarkStart w:id="126" w:name="_Toc267059924"/>
      <w:bookmarkStart w:id="127" w:name="_Toc267060326"/>
      <w:bookmarkStart w:id="128" w:name="_Toc267059035"/>
      <w:bookmarkStart w:id="129" w:name="_Toc236021457"/>
      <w:bookmarkStart w:id="130" w:name="_Toc267059186"/>
      <w:bookmarkStart w:id="131" w:name="_Toc235438352"/>
      <w:bookmarkStart w:id="132" w:name="_Toc193160453"/>
      <w:bookmarkStart w:id="133" w:name="_Toc169332954"/>
      <w:bookmarkStart w:id="134" w:name="_Toc213756057"/>
      <w:bookmarkStart w:id="135" w:name="_Toc180302918"/>
      <w:bookmarkStart w:id="136" w:name="_Toc170798798"/>
      <w:bookmarkStart w:id="137" w:name="_Toc182805222"/>
      <w:bookmarkStart w:id="138" w:name="_Toc182372787"/>
      <w:bookmarkStart w:id="139" w:name="_Toc267059658"/>
      <w:bookmarkStart w:id="140" w:name="_Toc251613839"/>
      <w:bookmarkStart w:id="141" w:name="_Toc193165739"/>
      <w:bookmarkStart w:id="142" w:name="_Toc255975016"/>
      <w:bookmarkStart w:id="143" w:name="_Toc177985474"/>
      <w:bookmarkStart w:id="144" w:name="_Toc213755864"/>
      <w:bookmarkStart w:id="145" w:name="_Toc235438281"/>
      <w:bookmarkStart w:id="146" w:name="_Toc266870916"/>
      <w:bookmarkStart w:id="147" w:name="_Toc266870839"/>
      <w:bookmarkStart w:id="148" w:name="_Toc213755945"/>
      <w:bookmarkStart w:id="149" w:name="_Toc169332843"/>
      <w:bookmarkStart w:id="150" w:name="_Toc251586241"/>
      <w:bookmarkStart w:id="151" w:name="_Toc267060076"/>
      <w:bookmarkStart w:id="152" w:name="_Toc266870441"/>
      <w:bookmarkStart w:id="153" w:name="_Toc267059811"/>
      <w:bookmarkStart w:id="154" w:name="_Toc232302122"/>
      <w:bookmarkStart w:id="155" w:name="_Toc191803631"/>
      <w:bookmarkStart w:id="156" w:name="_Toc259692656"/>
      <w:bookmarkStart w:id="157" w:name="_Toc227058536"/>
      <w:bookmarkStart w:id="158" w:name="_Toc259520874"/>
      <w:bookmarkStart w:id="159" w:name="_Toc254790909"/>
      <w:bookmarkStart w:id="160" w:name="_Toc249325720"/>
      <w:bookmarkStart w:id="161" w:name="_Toc253066624"/>
      <w:bookmarkStart w:id="162" w:name="_Toc235437998"/>
      <w:bookmarkStart w:id="163" w:name="_Toc223146614"/>
      <w:bookmarkStart w:id="164" w:name="_Toc258401265"/>
      <w:bookmarkStart w:id="165" w:name="_Toc266868679"/>
      <w:bookmarkStart w:id="166" w:name="_Toc267059544"/>
      <w:bookmarkStart w:id="167" w:name="_Toc192996343"/>
      <w:bookmarkStart w:id="168" w:name="_Toc191789334"/>
      <w:bookmarkStart w:id="169" w:name="_Toc211917121"/>
      <w:bookmarkStart w:id="170" w:name="_Toc259692749"/>
      <w:bookmarkStart w:id="171" w:name="_Toc266868943"/>
      <w:bookmarkStart w:id="172" w:name="_Toc192664158"/>
      <w:bookmarkStart w:id="173" w:name="_Toc213756001"/>
      <w:bookmarkStart w:id="174" w:name="_Toc160880165"/>
      <w:bookmarkStart w:id="175" w:name="_Toc225669328"/>
      <w:bookmarkStart w:id="176" w:name="_Toc192996451"/>
      <w:bookmarkStart w:id="177" w:name="_Toc273178703"/>
      <w:bookmarkStart w:id="178" w:name="_Toc203355738"/>
      <w:bookmarkStart w:id="179" w:name="_Toc160880534"/>
    </w:p>
    <w:p>
      <w:pPr>
        <w:jc w:val="center"/>
        <w:outlineLvl w:val="1"/>
        <w:rPr>
          <w:rFonts w:ascii="仿宋" w:hAnsi="仿宋" w:eastAsia="仿宋"/>
          <w:b/>
          <w:bCs/>
          <w:color w:val="auto"/>
          <w:sz w:val="24"/>
          <w:szCs w:val="24"/>
          <w:highlight w:val="none"/>
        </w:rPr>
      </w:pPr>
      <w:r>
        <w:rPr>
          <w:rFonts w:ascii="仿宋" w:hAnsi="仿宋" w:eastAsia="仿宋"/>
          <w:b/>
          <w:bCs/>
          <w:color w:val="auto"/>
          <w:sz w:val="24"/>
          <w:szCs w:val="24"/>
          <w:highlight w:val="none"/>
        </w:rPr>
        <w:t>3</w:t>
      </w:r>
      <w:r>
        <w:rPr>
          <w:rFonts w:hint="eastAsia" w:ascii="仿宋" w:hAnsi="仿宋" w:eastAsia="仿宋"/>
          <w:b/>
          <w:bCs/>
          <w:color w:val="auto"/>
          <w:sz w:val="24"/>
          <w:szCs w:val="24"/>
          <w:highlight w:val="none"/>
        </w:rPr>
        <w:t>、</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Fonts w:hint="eastAsia" w:ascii="仿宋" w:hAnsi="仿宋" w:eastAsia="仿宋"/>
          <w:b/>
          <w:bCs/>
          <w:color w:val="auto"/>
          <w:sz w:val="24"/>
          <w:szCs w:val="24"/>
          <w:highlight w:val="none"/>
        </w:rPr>
        <w:t>参与人资质材料</w:t>
      </w:r>
    </w:p>
    <w:p>
      <w:pPr>
        <w:pStyle w:val="39"/>
        <w:rPr>
          <w:color w:val="auto"/>
          <w:sz w:val="24"/>
          <w:szCs w:val="24"/>
          <w:highlight w:val="none"/>
        </w:rPr>
      </w:pPr>
    </w:p>
    <w:p>
      <w:p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参与人需要提供以下材料：</w:t>
      </w:r>
    </w:p>
    <w:p>
      <w:pPr>
        <w:pStyle w:val="54"/>
        <w:numPr>
          <w:ilvl w:val="0"/>
          <w:numId w:val="7"/>
        </w:numPr>
        <w:spacing w:after="0" w:line="500" w:lineRule="exact"/>
        <w:ind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营业执照复印件</w:t>
      </w:r>
    </w:p>
    <w:p>
      <w:pPr>
        <w:pStyle w:val="54"/>
        <w:numPr>
          <w:ilvl w:val="0"/>
          <w:numId w:val="7"/>
        </w:numPr>
        <w:spacing w:after="0" w:line="500" w:lineRule="exact"/>
        <w:ind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授权经销商或代理商证明材料复印件</w:t>
      </w:r>
    </w:p>
    <w:p>
      <w:pPr>
        <w:pStyle w:val="54"/>
        <w:numPr>
          <w:ilvl w:val="0"/>
          <w:numId w:val="7"/>
        </w:numPr>
        <w:spacing w:after="0" w:line="500" w:lineRule="exact"/>
        <w:ind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质保期和售后服务承诺书（参与人自行起草）</w:t>
      </w:r>
    </w:p>
    <w:p>
      <w:pPr>
        <w:spacing w:line="380" w:lineRule="exact"/>
        <w:rPr>
          <w:rFonts w:ascii="仿宋" w:hAnsi="仿宋" w:eastAsia="仿宋"/>
          <w:color w:val="auto"/>
          <w:sz w:val="24"/>
          <w:szCs w:val="24"/>
          <w:highlight w:val="none"/>
        </w:rPr>
      </w:pPr>
    </w:p>
    <w:p>
      <w:pPr>
        <w:spacing w:line="380" w:lineRule="exact"/>
        <w:rPr>
          <w:rFonts w:ascii="仿宋" w:hAnsi="仿宋" w:eastAsia="仿宋"/>
          <w:b/>
          <w:bCs/>
          <w:color w:val="auto"/>
          <w:sz w:val="24"/>
          <w:szCs w:val="24"/>
          <w:highlight w:val="none"/>
        </w:rPr>
      </w:pPr>
      <w:r>
        <w:rPr>
          <w:rFonts w:hint="eastAsia" w:ascii="仿宋" w:hAnsi="仿宋" w:eastAsia="仿宋"/>
          <w:b/>
          <w:bCs/>
          <w:color w:val="auto"/>
          <w:sz w:val="24"/>
          <w:szCs w:val="24"/>
          <w:highlight w:val="none"/>
        </w:rPr>
        <w:t>以上材料复印件须加盖参与人公司公章，并与报价一览表一同密封</w:t>
      </w:r>
    </w:p>
    <w:p>
      <w:pPr>
        <w:spacing w:line="380" w:lineRule="exact"/>
        <w:rPr>
          <w:rFonts w:ascii="仿宋" w:hAnsi="仿宋" w:eastAsia="仿宋"/>
          <w:color w:val="auto"/>
          <w:sz w:val="24"/>
          <w:szCs w:val="24"/>
          <w:highlight w:val="none"/>
        </w:rPr>
      </w:pPr>
    </w:p>
    <w:p>
      <w:pPr>
        <w:spacing w:line="380" w:lineRule="exact"/>
        <w:rPr>
          <w:rFonts w:ascii="仿宋" w:hAnsi="仿宋" w:eastAsia="仿宋"/>
          <w:color w:val="auto"/>
          <w:sz w:val="24"/>
          <w:szCs w:val="24"/>
          <w:highlight w:val="none"/>
        </w:rPr>
      </w:pPr>
    </w:p>
    <w:p>
      <w:pPr>
        <w:spacing w:line="380" w:lineRule="exact"/>
        <w:rPr>
          <w:rFonts w:ascii="仿宋" w:hAnsi="仿宋" w:eastAsia="仿宋"/>
          <w:color w:val="auto"/>
          <w:sz w:val="24"/>
          <w:szCs w:val="24"/>
          <w:highlight w:val="none"/>
        </w:rPr>
      </w:pPr>
    </w:p>
    <w:sectPr>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
    <w:nsid w:val="687F21A7"/>
    <w:multiLevelType w:val="multilevel"/>
    <w:tmpl w:val="687F21A7"/>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NkYWUyY2YxZGZlMmQxNmIzZjAzOTJlMmM1NTQ4YzMifQ=="/>
  </w:docVars>
  <w:rsids>
    <w:rsidRoot w:val="007B0F09"/>
    <w:rsid w:val="0000490C"/>
    <w:rsid w:val="000569E1"/>
    <w:rsid w:val="00074B20"/>
    <w:rsid w:val="00082572"/>
    <w:rsid w:val="000934D4"/>
    <w:rsid w:val="000C3E2B"/>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20C30"/>
    <w:rsid w:val="00334E6F"/>
    <w:rsid w:val="003570A0"/>
    <w:rsid w:val="003C60EF"/>
    <w:rsid w:val="003E6439"/>
    <w:rsid w:val="003F20A6"/>
    <w:rsid w:val="00404FA2"/>
    <w:rsid w:val="004242F4"/>
    <w:rsid w:val="0043243C"/>
    <w:rsid w:val="00441955"/>
    <w:rsid w:val="00447890"/>
    <w:rsid w:val="004B66B1"/>
    <w:rsid w:val="004F6AE0"/>
    <w:rsid w:val="00502F52"/>
    <w:rsid w:val="00582530"/>
    <w:rsid w:val="00590957"/>
    <w:rsid w:val="005914DC"/>
    <w:rsid w:val="005A5A4D"/>
    <w:rsid w:val="005F125A"/>
    <w:rsid w:val="005F1FC8"/>
    <w:rsid w:val="00630374"/>
    <w:rsid w:val="0069669C"/>
    <w:rsid w:val="006D2FCE"/>
    <w:rsid w:val="006F3C71"/>
    <w:rsid w:val="006F5FBA"/>
    <w:rsid w:val="00754818"/>
    <w:rsid w:val="007B0F09"/>
    <w:rsid w:val="007B2319"/>
    <w:rsid w:val="00820908"/>
    <w:rsid w:val="00820F76"/>
    <w:rsid w:val="00865B30"/>
    <w:rsid w:val="00874219"/>
    <w:rsid w:val="0087518C"/>
    <w:rsid w:val="008902DC"/>
    <w:rsid w:val="009123D7"/>
    <w:rsid w:val="00916532"/>
    <w:rsid w:val="00923C7E"/>
    <w:rsid w:val="00936704"/>
    <w:rsid w:val="0094170D"/>
    <w:rsid w:val="009606BC"/>
    <w:rsid w:val="00967E57"/>
    <w:rsid w:val="00994E59"/>
    <w:rsid w:val="009B7DAD"/>
    <w:rsid w:val="00A148CE"/>
    <w:rsid w:val="00A24465"/>
    <w:rsid w:val="00A40610"/>
    <w:rsid w:val="00A4220E"/>
    <w:rsid w:val="00A44A63"/>
    <w:rsid w:val="00A45704"/>
    <w:rsid w:val="00A64A5B"/>
    <w:rsid w:val="00AD29A3"/>
    <w:rsid w:val="00AF3C2A"/>
    <w:rsid w:val="00B14C37"/>
    <w:rsid w:val="00B51EE9"/>
    <w:rsid w:val="00B54440"/>
    <w:rsid w:val="00B554E7"/>
    <w:rsid w:val="00B556FC"/>
    <w:rsid w:val="00B7278F"/>
    <w:rsid w:val="00B83714"/>
    <w:rsid w:val="00BD49FB"/>
    <w:rsid w:val="00BD51D2"/>
    <w:rsid w:val="00BD7232"/>
    <w:rsid w:val="00BE1921"/>
    <w:rsid w:val="00C035B5"/>
    <w:rsid w:val="00C66E1E"/>
    <w:rsid w:val="00C676BA"/>
    <w:rsid w:val="00C81AB4"/>
    <w:rsid w:val="00C857BF"/>
    <w:rsid w:val="00CA25CB"/>
    <w:rsid w:val="00CA6CB6"/>
    <w:rsid w:val="00CA786D"/>
    <w:rsid w:val="00D2102C"/>
    <w:rsid w:val="00D260D0"/>
    <w:rsid w:val="00D36D52"/>
    <w:rsid w:val="00D56DEA"/>
    <w:rsid w:val="00D60F0E"/>
    <w:rsid w:val="00E11567"/>
    <w:rsid w:val="00E3310A"/>
    <w:rsid w:val="00E33B9E"/>
    <w:rsid w:val="00E33C1C"/>
    <w:rsid w:val="00E34C27"/>
    <w:rsid w:val="00E47041"/>
    <w:rsid w:val="00E77225"/>
    <w:rsid w:val="00E95973"/>
    <w:rsid w:val="00ED2437"/>
    <w:rsid w:val="00EE3803"/>
    <w:rsid w:val="00F0149B"/>
    <w:rsid w:val="00F21640"/>
    <w:rsid w:val="00F8646A"/>
    <w:rsid w:val="00F876DE"/>
    <w:rsid w:val="00FF1750"/>
    <w:rsid w:val="00FF655F"/>
    <w:rsid w:val="09886379"/>
    <w:rsid w:val="10A8403B"/>
    <w:rsid w:val="16A31043"/>
    <w:rsid w:val="44305A58"/>
    <w:rsid w:val="444213F8"/>
    <w:rsid w:val="44A412B9"/>
    <w:rsid w:val="483B0BA6"/>
    <w:rsid w:val="4F790949"/>
    <w:rsid w:val="51FE2F72"/>
    <w:rsid w:val="74B1732B"/>
    <w:rsid w:val="7CFB0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9"/>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0"/>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1"/>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2"/>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3"/>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4"/>
    <w:semiHidden/>
    <w:unhideWhenUsed/>
    <w:qFormat/>
    <w:uiPriority w:val="9"/>
    <w:pPr>
      <w:keepNext/>
      <w:keepLines/>
      <w:spacing w:before="120" w:after="0"/>
      <w:outlineLvl w:val="6"/>
    </w:pPr>
    <w:rPr>
      <w:i/>
      <w:iCs/>
    </w:rPr>
  </w:style>
  <w:style w:type="paragraph" w:styleId="9">
    <w:name w:val="heading 8"/>
    <w:basedOn w:val="1"/>
    <w:next w:val="1"/>
    <w:link w:val="35"/>
    <w:semiHidden/>
    <w:unhideWhenUsed/>
    <w:qFormat/>
    <w:uiPriority w:val="9"/>
    <w:pPr>
      <w:keepNext/>
      <w:keepLines/>
      <w:spacing w:before="120" w:after="0"/>
      <w:outlineLvl w:val="7"/>
    </w:pPr>
    <w:rPr>
      <w:b/>
      <w:bCs/>
    </w:rPr>
  </w:style>
  <w:style w:type="paragraph" w:styleId="10">
    <w:name w:val="heading 9"/>
    <w:basedOn w:val="1"/>
    <w:next w:val="1"/>
    <w:link w:val="36"/>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8"/>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7"/>
    <w:unhideWhenUsed/>
    <w:qFormat/>
    <w:uiPriority w:val="0"/>
    <w:rPr>
      <w:rFonts w:hAnsi="Courier New" w:cs="Courier New" w:asciiTheme="minorEastAsia"/>
    </w:rPr>
  </w:style>
  <w:style w:type="paragraph" w:styleId="16">
    <w:name w:val="footer"/>
    <w:basedOn w:val="1"/>
    <w:link w:val="53"/>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8"/>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7"/>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styleId="27">
    <w:name w:val="Hyperlink"/>
    <w:basedOn w:val="24"/>
    <w:unhideWhenUsed/>
    <w:qFormat/>
    <w:uiPriority w:val="99"/>
    <w:rPr>
      <w:color w:val="F49100" w:themeColor="hyperlink"/>
      <w:u w:val="single"/>
      <w14:textFill>
        <w14:solidFill>
          <w14:schemeClr w14:val="hlink"/>
        </w14:solidFill>
      </w14:textFill>
    </w:rPr>
  </w:style>
  <w:style w:type="character" w:customStyle="1" w:styleId="28">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9">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30">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1">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2">
    <w:name w:val="标题 5 字符"/>
    <w:basedOn w:val="24"/>
    <w:link w:val="6"/>
    <w:semiHidden/>
    <w:qFormat/>
    <w:uiPriority w:val="9"/>
    <w:rPr>
      <w:rFonts w:asciiTheme="majorHAnsi" w:hAnsiTheme="majorHAnsi" w:eastAsiaTheme="majorEastAsia" w:cstheme="majorBidi"/>
      <w:b/>
      <w:bCs/>
    </w:rPr>
  </w:style>
  <w:style w:type="character" w:customStyle="1" w:styleId="33">
    <w:name w:val="标题 6 字符"/>
    <w:basedOn w:val="24"/>
    <w:link w:val="7"/>
    <w:semiHidden/>
    <w:qFormat/>
    <w:uiPriority w:val="9"/>
    <w:rPr>
      <w:rFonts w:asciiTheme="majorHAnsi" w:hAnsiTheme="majorHAnsi" w:eastAsiaTheme="majorEastAsia" w:cstheme="majorBidi"/>
      <w:b/>
      <w:bCs/>
      <w:i/>
      <w:iCs/>
    </w:rPr>
  </w:style>
  <w:style w:type="character" w:customStyle="1" w:styleId="34">
    <w:name w:val="标题 7 字符"/>
    <w:basedOn w:val="24"/>
    <w:link w:val="8"/>
    <w:semiHidden/>
    <w:qFormat/>
    <w:uiPriority w:val="9"/>
    <w:rPr>
      <w:i/>
      <w:iCs/>
    </w:rPr>
  </w:style>
  <w:style w:type="character" w:customStyle="1" w:styleId="35">
    <w:name w:val="标题 8 字符"/>
    <w:basedOn w:val="24"/>
    <w:link w:val="9"/>
    <w:semiHidden/>
    <w:qFormat/>
    <w:uiPriority w:val="9"/>
    <w:rPr>
      <w:b/>
      <w:bCs/>
    </w:rPr>
  </w:style>
  <w:style w:type="character" w:customStyle="1" w:styleId="36">
    <w:name w:val="标题 9 字符"/>
    <w:basedOn w:val="24"/>
    <w:link w:val="10"/>
    <w:semiHidden/>
    <w:qFormat/>
    <w:uiPriority w:val="9"/>
    <w:rPr>
      <w:i/>
      <w:iCs/>
    </w:rPr>
  </w:style>
  <w:style w:type="character" w:customStyle="1" w:styleId="37">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8">
    <w:name w:val="副标题 字符"/>
    <w:basedOn w:val="24"/>
    <w:link w:val="19"/>
    <w:qFormat/>
    <w:uiPriority w:val="11"/>
    <w:rPr>
      <w:rFonts w:asciiTheme="majorHAnsi" w:hAnsiTheme="majorHAnsi" w:eastAsiaTheme="majorEastAsia" w:cstheme="majorBidi"/>
      <w:sz w:val="24"/>
      <w:szCs w:val="24"/>
    </w:rPr>
  </w:style>
  <w:style w:type="paragraph" w:styleId="39">
    <w:name w:val="No Spacing"/>
    <w:link w:val="50"/>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0">
    <w:name w:val="Quote"/>
    <w:basedOn w:val="1"/>
    <w:next w:val="1"/>
    <w:link w:val="41"/>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字符"/>
    <w:basedOn w:val="24"/>
    <w:link w:val="40"/>
    <w:qFormat/>
    <w:uiPriority w:val="29"/>
    <w:rPr>
      <w:rFonts w:asciiTheme="majorHAnsi" w:hAnsiTheme="majorHAnsi" w:eastAsiaTheme="majorEastAsia" w:cstheme="majorBidi"/>
      <w:i/>
      <w:iCs/>
      <w:sz w:val="24"/>
      <w:szCs w:val="24"/>
    </w:rPr>
  </w:style>
  <w:style w:type="paragraph" w:styleId="42">
    <w:name w:val="Intense Quote"/>
    <w:basedOn w:val="1"/>
    <w:next w:val="1"/>
    <w:link w:val="43"/>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字符"/>
    <w:basedOn w:val="24"/>
    <w:link w:val="42"/>
    <w:qFormat/>
    <w:uiPriority w:val="30"/>
    <w:rPr>
      <w:rFonts w:asciiTheme="majorHAnsi" w:hAnsiTheme="majorHAnsi" w:eastAsiaTheme="majorEastAsia" w:cstheme="majorBidi"/>
      <w:sz w:val="26"/>
      <w:szCs w:val="26"/>
    </w:rPr>
  </w:style>
  <w:style w:type="character" w:customStyle="1" w:styleId="44">
    <w:name w:val="Subtle Emphasis"/>
    <w:basedOn w:val="24"/>
    <w:qFormat/>
    <w:uiPriority w:val="19"/>
    <w:rPr>
      <w:i/>
      <w:iCs/>
      <w:color w:val="auto"/>
    </w:rPr>
  </w:style>
  <w:style w:type="character" w:customStyle="1" w:styleId="45">
    <w:name w:val="Intense Emphasis"/>
    <w:basedOn w:val="24"/>
    <w:qFormat/>
    <w:uiPriority w:val="21"/>
    <w:rPr>
      <w:b/>
      <w:bCs/>
      <w:i/>
      <w:iCs/>
      <w:color w:val="auto"/>
    </w:rPr>
  </w:style>
  <w:style w:type="character" w:customStyle="1" w:styleId="46">
    <w:name w:val="Subtle Reference"/>
    <w:basedOn w:val="24"/>
    <w:qFormat/>
    <w:uiPriority w:val="31"/>
    <w:rPr>
      <w:smallCaps/>
      <w:color w:val="auto"/>
      <w:u w:val="single" w:color="7E7E7E" w:themeColor="text1" w:themeTint="80"/>
    </w:rPr>
  </w:style>
  <w:style w:type="character" w:customStyle="1" w:styleId="47">
    <w:name w:val="Intense Reference"/>
    <w:basedOn w:val="24"/>
    <w:qFormat/>
    <w:uiPriority w:val="32"/>
    <w:rPr>
      <w:b/>
      <w:bCs/>
      <w:smallCaps/>
      <w:color w:val="auto"/>
      <w:u w:val="single"/>
    </w:rPr>
  </w:style>
  <w:style w:type="character" w:customStyle="1" w:styleId="48">
    <w:name w:val="Book Title"/>
    <w:basedOn w:val="24"/>
    <w:qFormat/>
    <w:uiPriority w:val="33"/>
    <w:rPr>
      <w:b/>
      <w:bCs/>
      <w:smallCaps/>
      <w:color w:val="auto"/>
    </w:rPr>
  </w:style>
  <w:style w:type="paragraph" w:customStyle="1" w:styleId="49">
    <w:name w:val="TOC Heading"/>
    <w:basedOn w:val="2"/>
    <w:next w:val="1"/>
    <w:unhideWhenUsed/>
    <w:qFormat/>
    <w:uiPriority w:val="39"/>
    <w:pPr>
      <w:outlineLvl w:val="9"/>
    </w:pPr>
  </w:style>
  <w:style w:type="character" w:customStyle="1" w:styleId="50">
    <w:name w:val="无间隔 字符"/>
    <w:basedOn w:val="24"/>
    <w:link w:val="39"/>
    <w:qFormat/>
    <w:uiPriority w:val="1"/>
  </w:style>
  <w:style w:type="paragraph" w:customStyle="1" w:styleId="51">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2">
    <w:name w:val="页眉 字符"/>
    <w:basedOn w:val="24"/>
    <w:link w:val="17"/>
    <w:qFormat/>
    <w:uiPriority w:val="99"/>
    <w:rPr>
      <w:sz w:val="18"/>
      <w:szCs w:val="18"/>
    </w:rPr>
  </w:style>
  <w:style w:type="character" w:customStyle="1" w:styleId="53">
    <w:name w:val="页脚 字符"/>
    <w:basedOn w:val="24"/>
    <w:link w:val="16"/>
    <w:qFormat/>
    <w:uiPriority w:val="99"/>
    <w:rPr>
      <w:sz w:val="18"/>
      <w:szCs w:val="18"/>
    </w:rPr>
  </w:style>
  <w:style w:type="paragraph" w:styleId="54">
    <w:name w:val="List Paragraph"/>
    <w:basedOn w:val="1"/>
    <w:qFormat/>
    <w:uiPriority w:val="34"/>
    <w:pPr>
      <w:ind w:firstLine="420" w:firstLineChars="200"/>
    </w:pPr>
  </w:style>
  <w:style w:type="character" w:customStyle="1" w:styleId="55">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6">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字符"/>
    <w:basedOn w:val="24"/>
    <w:link w:val="15"/>
    <w:semiHidden/>
    <w:qFormat/>
    <w:uiPriority w:val="99"/>
    <w:rPr>
      <w:rFonts w:hAnsi="Courier New" w:cs="Courier New" w:asciiTheme="minorEastAsia"/>
    </w:rPr>
  </w:style>
  <w:style w:type="character" w:customStyle="1" w:styleId="58">
    <w:name w:val="正文文本 字符"/>
    <w:basedOn w:val="24"/>
    <w:link w:val="13"/>
    <w:semiHidden/>
    <w:qFormat/>
    <w:uiPriority w:val="99"/>
  </w:style>
  <w:style w:type="character" w:customStyle="1" w:styleId="59">
    <w:name w:val="纯文本 Char"/>
    <w:qFormat/>
    <w:uiPriority w:val="0"/>
    <w:rPr>
      <w:rFonts w:ascii="宋体" w:hAnsi="Courier New" w:eastAsia="宋体"/>
      <w:kern w:val="2"/>
      <w:sz w:val="21"/>
      <w:lang w:val="en-US" w:eastAsia="zh-CN" w:bidi="ar-SA"/>
    </w:rPr>
  </w:style>
  <w:style w:type="character" w:customStyle="1" w:styleId="60">
    <w:name w:val="font21"/>
    <w:basedOn w:val="24"/>
    <w:qFormat/>
    <w:uiPriority w:val="0"/>
    <w:rPr>
      <w:rFonts w:ascii="Arial" w:hAnsi="Arial" w:cs="Arial"/>
      <w:color w:val="000000"/>
      <w:sz w:val="36"/>
      <w:szCs w:val="36"/>
      <w:u w:val="none"/>
    </w:rPr>
  </w:style>
  <w:style w:type="character" w:customStyle="1" w:styleId="61">
    <w:name w:val="font31"/>
    <w:basedOn w:val="24"/>
    <w:qFormat/>
    <w:uiPriority w:val="0"/>
    <w:rPr>
      <w:rFonts w:hint="eastAsia" w:ascii="宋体" w:hAnsi="宋体" w:eastAsia="宋体" w:cs="宋体"/>
      <w:color w:val="000000"/>
      <w:sz w:val="36"/>
      <w:szCs w:val="36"/>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9</Pages>
  <Words>3021</Words>
  <Characters>3180</Characters>
  <Lines>19</Lines>
  <Paragraphs>5</Paragraphs>
  <TotalTime>6</TotalTime>
  <ScaleCrop>false</ScaleCrop>
  <LinksUpToDate>false</LinksUpToDate>
  <CharactersWithSpaces>3413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鲁海宁</cp:lastModifiedBy>
  <dcterms:modified xsi:type="dcterms:W3CDTF">2022-12-26T03:00:22Z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FAE2DF1FCF844A25BC237D8FBE639CC7</vt:lpwstr>
  </property>
</Properties>
</file>