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eastAsia="zh-CN"/>
        </w:rPr>
      </w:pPr>
      <w:bookmarkStart w:id="0" w:name="_Toc212530253"/>
      <w:bookmarkStart w:id="1" w:name="_Toc219800200"/>
      <w:bookmarkStart w:id="2" w:name="_Toc169332904"/>
      <w:bookmarkStart w:id="3" w:name="_Toc211937196"/>
      <w:bookmarkStart w:id="4" w:name="_Toc216241307"/>
      <w:bookmarkStart w:id="5" w:name="_Toc236021402"/>
      <w:bookmarkStart w:id="6" w:name="_Toc255974963"/>
      <w:bookmarkStart w:id="7" w:name="_Toc251586187"/>
      <w:bookmarkStart w:id="8" w:name="_Toc212456146"/>
      <w:bookmarkStart w:id="9" w:name="_Toc267059161"/>
      <w:bookmarkStart w:id="10" w:name="_Toc267059519"/>
      <w:bookmarkStart w:id="11" w:name="_Toc251613780"/>
      <w:bookmarkStart w:id="12" w:name="_Toc212526081"/>
      <w:bookmarkStart w:id="13" w:name="_Toc235438297"/>
      <w:bookmarkStart w:id="14" w:name="_Toc266868924"/>
      <w:bookmarkStart w:id="15" w:name="_Toc225669277"/>
      <w:bookmarkStart w:id="16" w:name="_Toc235437942"/>
      <w:bookmarkStart w:id="17" w:name="_Toc223146565"/>
      <w:bookmarkStart w:id="18" w:name="_Toc169332794"/>
      <w:bookmarkStart w:id="19" w:name="_Toc267059899"/>
      <w:bookmarkStart w:id="20" w:name="_Toc254790852"/>
      <w:bookmarkStart w:id="21" w:name="_Toc273178686"/>
      <w:bookmarkStart w:id="22" w:name="_Toc212454753"/>
      <w:bookmarkStart w:id="23" w:name="_Toc267059010"/>
      <w:bookmarkStart w:id="24" w:name="_Toc259520819"/>
      <w:bookmarkStart w:id="25" w:name="_Toc253066567"/>
      <w:bookmarkStart w:id="26" w:name="_Toc217891359"/>
      <w:bookmarkStart w:id="27" w:name="_Toc267059633"/>
      <w:bookmarkStart w:id="28" w:name="_Toc227058483"/>
      <w:bookmarkStart w:id="29" w:name="_Toc249325665"/>
      <w:bookmarkStart w:id="30" w:name="_Toc177985424"/>
      <w:bookmarkStart w:id="31" w:name="_Toc258401210"/>
      <w:bookmarkStart w:id="32" w:name="_Toc266870861"/>
      <w:bookmarkStart w:id="33" w:name="_Toc207014580"/>
      <w:bookmarkStart w:id="34" w:name="_Toc170798743"/>
      <w:bookmarkStart w:id="35" w:name="_Toc266870386"/>
      <w:bookmarkStart w:id="36" w:name="_Toc259692693"/>
      <w:bookmarkStart w:id="37" w:name="_Toc267060407"/>
      <w:bookmarkStart w:id="38" w:name="_Toc235438227"/>
      <w:bookmarkStart w:id="39" w:name="_Toc267060022"/>
      <w:bookmarkStart w:id="40" w:name="_Toc267059786"/>
      <w:bookmarkStart w:id="41" w:name="_Toc266868624"/>
      <w:bookmarkStart w:id="42" w:name="_Toc267060162"/>
      <w:bookmarkStart w:id="43" w:name="_Toc160880487"/>
      <w:bookmarkStart w:id="44" w:name="_Toc259692600"/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eastAsia="zh-CN"/>
        </w:rPr>
        <w:t>烟台科技学院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关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于门岗闸机采购与施工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项目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公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开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询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价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邀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请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函</w:t>
      </w:r>
    </w:p>
    <w:p>
      <w:pPr>
        <w:pStyle w:val="8"/>
        <w:snapToGrid/>
        <w:spacing w:before="0" w:beforeAutospacing="0" w:after="0" w:afterAutospacing="0" w:line="360" w:lineRule="auto"/>
        <w:ind w:firstLine="723" w:firstLineChars="200"/>
        <w:jc w:val="both"/>
        <w:textAlignment w:val="baseline"/>
        <w:rPr>
          <w:rFonts w:hint="default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项目编号：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YKC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202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30322</w:t>
      </w:r>
    </w:p>
    <w:p>
      <w:pPr>
        <w:pStyle w:val="8"/>
        <w:snapToGrid/>
        <w:spacing w:before="0" w:beforeAutospacing="0" w:after="0" w:afterAutospacing="0" w:line="360" w:lineRule="auto"/>
        <w:ind w:firstLine="723" w:firstLineChars="200"/>
        <w:jc w:val="both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项目名称：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门岗闸机采购与施工项目公开询价函</w:t>
      </w: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</w:p>
    <w:p>
      <w:pPr>
        <w:pStyle w:val="8"/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公开询价邀请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函</w:t>
      </w:r>
    </w:p>
    <w:p>
      <w:pPr>
        <w:snapToGrid/>
        <w:spacing w:before="0" w:beforeAutospacing="0" w:after="160" w:afterAutospacing="0" w:line="500" w:lineRule="exact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烟台科技学院（原济南大学泉城学院），是国家教育部和山东省人民政府批准成立的全日制普通本科高校。位于人间仙境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山东蓬莱，现有全日制在校生1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000余人，基础设施完备，教学科研条件优越。根据需要，对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8"/>
          <w:szCs w:val="28"/>
        </w:rPr>
        <w:t>烟台科技学院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8"/>
          <w:szCs w:val="28"/>
          <w:lang w:val="en-US" w:eastAsia="zh-CN"/>
        </w:rPr>
        <w:t>门岗闸机采购与施工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8"/>
          <w:szCs w:val="28"/>
        </w:rPr>
        <w:t>项目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公开询价函进行公开询价，欢迎国内合格参与人参与。</w:t>
      </w:r>
    </w:p>
    <w:p>
      <w:pPr>
        <w:snapToGrid/>
        <w:spacing w:before="0" w:beforeAutospacing="0" w:after="0" w:afterAutospacing="0" w:line="500" w:lineRule="exact"/>
        <w:ind w:firstLine="364" w:firstLineChars="152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一、项目说明</w:t>
      </w:r>
    </w:p>
    <w:p>
      <w:pPr>
        <w:pStyle w:val="9"/>
        <w:numPr>
          <w:ilvl w:val="0"/>
          <w:numId w:val="0"/>
        </w:numPr>
        <w:snapToGrid/>
        <w:spacing w:before="0" w:beforeAutospacing="0" w:after="0" w:afterAutospacing="0" w:line="500" w:lineRule="exact"/>
        <w:ind w:left="660" w:leftChars="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项目编号：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YKC20230322</w:t>
      </w:r>
    </w:p>
    <w:p>
      <w:pPr>
        <w:pStyle w:val="9"/>
        <w:numPr>
          <w:ilvl w:val="0"/>
          <w:numId w:val="0"/>
        </w:numPr>
        <w:snapToGrid/>
        <w:spacing w:before="0" w:beforeAutospacing="0" w:after="0" w:afterAutospacing="0" w:line="500" w:lineRule="exact"/>
        <w:ind w:left="660" w:leftChars="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项目名称：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烟台科技学院门岗闸机采购与施工项目公开询价函</w:t>
      </w:r>
    </w:p>
    <w:p>
      <w:pPr>
        <w:pStyle w:val="9"/>
        <w:numPr>
          <w:ilvl w:val="0"/>
          <w:numId w:val="0"/>
        </w:numPr>
        <w:snapToGrid/>
        <w:spacing w:before="0" w:beforeAutospacing="0" w:after="0" w:afterAutospacing="0" w:line="500" w:lineRule="exact"/>
        <w:ind w:left="660" w:leftChars="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数量及主要技术要求: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zh-CN"/>
        </w:rPr>
        <w:t>魔点D3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 xml:space="preserve"> 、魔点 S5 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详见《公开询价货物一览表》。</w:t>
      </w:r>
    </w:p>
    <w:p>
      <w:pPr>
        <w:pStyle w:val="9"/>
        <w:numPr>
          <w:ilvl w:val="0"/>
          <w:numId w:val="0"/>
        </w:numPr>
        <w:snapToGrid/>
        <w:spacing w:before="0" w:beforeAutospacing="0" w:after="0" w:afterAutospacing="0" w:line="500" w:lineRule="exact"/>
        <w:ind w:left="660" w:left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参与人资格标准：</w:t>
      </w:r>
    </w:p>
    <w:p>
      <w:pPr>
        <w:pStyle w:val="9"/>
        <w:numPr>
          <w:ilvl w:val="0"/>
          <w:numId w:val="0"/>
        </w:numPr>
        <w:snapToGrid/>
        <w:spacing w:before="0" w:beforeAutospacing="0" w:after="0" w:afterAutospacing="0" w:line="500" w:lineRule="exact"/>
        <w:ind w:left="959" w:leftChars="327" w:hanging="240" w:hangingChars="1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参与人应具有合法有效的营业执照，经营范围应包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门岗闸采购及安装。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参与人应具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有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供货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及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安装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能力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，具备相应的维护保养能力。</w:t>
      </w:r>
    </w:p>
    <w:p>
      <w:pPr>
        <w:pStyle w:val="9"/>
        <w:numPr>
          <w:ilvl w:val="0"/>
          <w:numId w:val="0"/>
        </w:numPr>
        <w:snapToGrid/>
        <w:spacing w:before="0" w:beforeAutospacing="0" w:after="0" w:afterAutospacing="0" w:line="500" w:lineRule="exact"/>
        <w:ind w:left="959" w:leftChars="327" w:hanging="240" w:hangingChars="1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（2）参与人需提供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年至今不少于</w:t>
      </w:r>
      <w:r>
        <w:rPr>
          <w:rFonts w:hint="eastAsia" w:ascii="仿宋" w:hAnsi="仿宋" w:eastAsia="仿宋"/>
          <w:b/>
          <w:bCs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个（或3个以上）类似业绩的合同复印件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。提供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财务审计报告（现金流量表、负债表、利润表）。</w:t>
      </w:r>
    </w:p>
    <w:p>
      <w:pPr>
        <w:widowControl w:val="0"/>
        <w:numPr>
          <w:ilvl w:val="0"/>
          <w:numId w:val="0"/>
        </w:numPr>
        <w:snapToGrid/>
        <w:spacing w:before="0" w:beforeAutospacing="0" w:after="0" w:afterAutospacing="0" w:line="500" w:lineRule="exact"/>
        <w:ind w:left="-419" w:leftChars="0" w:firstLine="1200" w:firstLineChars="500"/>
        <w:jc w:val="both"/>
        <w:textAlignment w:val="baseline"/>
        <w:rPr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  <w:t>5.报价响应文件递交方式：价格、资质分别密封，按规定时间送达或邮寄。</w:t>
      </w:r>
    </w:p>
    <w:p>
      <w:pPr>
        <w:widowControl w:val="0"/>
        <w:numPr>
          <w:ilvl w:val="0"/>
          <w:numId w:val="0"/>
        </w:numPr>
        <w:snapToGrid/>
        <w:spacing w:before="0" w:beforeAutospacing="0" w:after="0" w:afterAutospacing="0" w:line="500" w:lineRule="exact"/>
        <w:ind w:firstLine="960" w:firstLineChars="400"/>
        <w:jc w:val="both"/>
        <w:textAlignment w:val="baseline"/>
        <w:rPr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  <w:t>报价响应文件递交截止时间：2023年03月29日下午16:00前。</w:t>
      </w:r>
    </w:p>
    <w:p>
      <w:pPr>
        <w:pStyle w:val="9"/>
        <w:numPr>
          <w:ilvl w:val="0"/>
          <w:numId w:val="0"/>
        </w:numPr>
        <w:snapToGrid/>
        <w:spacing w:before="0" w:beforeAutospacing="0" w:after="0" w:afterAutospacing="0" w:line="500" w:lineRule="exact"/>
        <w:ind w:firstLine="960" w:firstLineChars="400"/>
        <w:jc w:val="both"/>
        <w:textAlignment w:val="baseline"/>
        <w:rPr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  <w:t>报价响应文件递交地点：烟台市蓬莱区仙境西路34号（烟台科技学院）。</w:t>
      </w:r>
    </w:p>
    <w:p>
      <w:pPr>
        <w:pStyle w:val="9"/>
        <w:numPr>
          <w:ilvl w:val="0"/>
          <w:numId w:val="0"/>
        </w:numPr>
        <w:snapToGrid/>
        <w:spacing w:before="0" w:beforeAutospacing="0" w:after="0" w:afterAutospacing="0" w:line="500" w:lineRule="exact"/>
        <w:ind w:firstLine="960" w:firstLineChars="400"/>
        <w:jc w:val="both"/>
        <w:textAlignment w:val="baseline"/>
        <w:rPr>
          <w:rFonts w:hint="default"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  <w:t>联系人：邵阳；联系电话：18754518111</w:t>
      </w:r>
    </w:p>
    <w:p>
      <w:pPr>
        <w:widowControl w:val="0"/>
        <w:snapToGrid/>
        <w:spacing w:before="0" w:beforeAutospacing="0" w:after="0" w:afterAutospacing="0" w:line="500" w:lineRule="exact"/>
        <w:ind w:left="959" w:leftChars="327" w:hanging="240" w:hangingChars="1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，请在报价响应文件递交截止之日前，将问题以书面形式（有效签署的原件并加盖公章）提交至学校业务对接人，联系人：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王和俊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，电话：1350700250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。采购人不对超时提交及未加盖公章的质疑文件进行回复。</w:t>
      </w:r>
    </w:p>
    <w:p>
      <w:pPr>
        <w:widowControl w:val="0"/>
        <w:snapToGrid/>
        <w:spacing w:before="0" w:beforeAutospacing="0" w:after="0" w:afterAutospacing="0" w:line="460" w:lineRule="exact"/>
        <w:ind w:left="959" w:leftChars="327" w:hanging="240" w:hangingChars="1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bookmarkStart w:id="45" w:name="_Hlk97917519"/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本项目最终成交结果会在中教集团后勤贤知平台“中标信息公示”板块公示，网址：</w:t>
      </w:r>
      <w:r>
        <w:rPr>
          <w:b w:val="0"/>
          <w:i w:val="0"/>
          <w:caps w:val="0"/>
          <w:color w:val="00000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color w:val="000000"/>
          <w:spacing w:val="0"/>
          <w:w w:val="100"/>
          <w:sz w:val="20"/>
        </w:rPr>
        <w:instrText xml:space="preserve"> HYPERLINK "http://www.ceghqxz.com" </w:instrText>
      </w:r>
      <w:r>
        <w:rPr>
          <w:b w:val="0"/>
          <w:i w:val="0"/>
          <w:caps w:val="0"/>
          <w:color w:val="000000"/>
          <w:spacing w:val="0"/>
          <w:w w:val="100"/>
          <w:sz w:val="20"/>
        </w:rPr>
        <w:fldChar w:fldCharType="separate"/>
      </w:r>
      <w:r>
        <w:rPr>
          <w:rStyle w:val="7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www.ceghqxz.com</w:t>
      </w:r>
      <w:r>
        <w:rPr>
          <w:rStyle w:val="7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563C1"/>
        </w:rPr>
        <w:fldChar w:fldCharType="end"/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采购过程和成交结果有异议的，</w:t>
      </w:r>
      <w:bookmarkEnd w:id="45"/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请以书面形式（有效签署的原件并加盖公章），并附有相关的证据材料，提交至集团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监察审计部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widowControl w:val="0"/>
        <w:tabs>
          <w:tab w:val="left" w:pos="839"/>
        </w:tabs>
        <w:snapToGrid/>
        <w:spacing w:before="0" w:beforeAutospacing="0" w:after="0" w:afterAutospacing="0" w:line="460" w:lineRule="exact"/>
        <w:ind w:left="42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投诉受理部门：中教集团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监察审计部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，投诉电话： 0791-88106510 /0791-88102608</w:t>
      </w:r>
    </w:p>
    <w:p>
      <w:pPr>
        <w:widowControl w:val="0"/>
        <w:tabs>
          <w:tab w:val="left" w:pos="839"/>
        </w:tabs>
        <w:snapToGrid/>
        <w:spacing w:before="0" w:beforeAutospacing="0" w:after="0" w:afterAutospacing="0" w:line="460" w:lineRule="exact"/>
        <w:ind w:left="42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所有货物均以人民币报价；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必须用A4幅面纸张打印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，须由参与人填写并加盖公章；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一个参与人只能提交一个报价响应文件，本项目不接受联合体报价。</w:t>
      </w:r>
    </w:p>
    <w:p>
      <w:pPr>
        <w:snapToGrid/>
        <w:spacing w:before="0" w:beforeAutospacing="0" w:after="0" w:afterAutospacing="0" w:line="500" w:lineRule="exact"/>
        <w:ind w:firstLine="364" w:firstLineChars="152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、确定成交参与人标准及原则：</w:t>
      </w:r>
    </w:p>
    <w:p>
      <w:pPr>
        <w:pStyle w:val="9"/>
        <w:numPr>
          <w:ilvl w:val="0"/>
          <w:numId w:val="2"/>
        </w:numPr>
        <w:snapToGrid/>
        <w:spacing w:before="0" w:beforeAutospacing="0" w:after="0" w:afterAutospacing="0" w:line="500" w:lineRule="exact"/>
        <w:ind w:left="1745" w:leftChars="0" w:hanging="425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9"/>
        <w:numPr>
          <w:ilvl w:val="0"/>
          <w:numId w:val="2"/>
        </w:numPr>
        <w:snapToGrid/>
        <w:spacing w:before="0" w:beforeAutospacing="0" w:after="0" w:afterAutospacing="0" w:line="500" w:lineRule="exact"/>
        <w:ind w:left="1745" w:leftChars="0" w:hanging="425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参与人所投物品符合需求、质量和服务等的要求,经过磋商所报价格为合理价格的参与人为成交参与人。</w:t>
      </w:r>
    </w:p>
    <w:p>
      <w:pPr>
        <w:pStyle w:val="9"/>
        <w:numPr>
          <w:ilvl w:val="0"/>
          <w:numId w:val="2"/>
        </w:numPr>
        <w:snapToGrid/>
        <w:spacing w:before="0" w:beforeAutospacing="0" w:after="0" w:afterAutospacing="0" w:line="500" w:lineRule="exact"/>
        <w:ind w:left="1745" w:leftChars="0" w:hanging="425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最低报价不作为成交的保证。</w:t>
      </w:r>
    </w:p>
    <w:p>
      <w:pPr>
        <w:pStyle w:val="9"/>
        <w:snapToGrid/>
        <w:spacing w:before="0" w:beforeAutospacing="0" w:after="0" w:afterAutospacing="0" w:line="500" w:lineRule="exact"/>
        <w:ind w:left="851" w:firstLine="0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9"/>
        <w:snapToGrid/>
        <w:spacing w:before="0" w:beforeAutospacing="0" w:after="0" w:afterAutospacing="0" w:line="500" w:lineRule="exact"/>
        <w:ind w:left="0" w:leftChars="0" w:firstLine="0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9"/>
        <w:snapToGrid/>
        <w:spacing w:before="0" w:beforeAutospacing="0" w:after="0" w:afterAutospacing="0" w:line="500" w:lineRule="exact"/>
        <w:ind w:left="7371" w:firstLine="0" w:firstLineChars="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烟台科技学院</w:t>
      </w:r>
    </w:p>
    <w:p>
      <w:pPr>
        <w:pStyle w:val="9"/>
        <w:snapToGrid/>
        <w:spacing w:before="0" w:beforeAutospacing="0" w:after="0" w:afterAutospacing="0" w:line="500" w:lineRule="exact"/>
        <w:ind w:left="7371" w:firstLine="0" w:firstLineChars="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年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月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日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sectPr>
          <w:pgSz w:w="11906" w:h="16838"/>
          <w:pgMar w:top="1440" w:right="1416" w:bottom="1440" w:left="1134" w:header="851" w:footer="227" w:gutter="0"/>
          <w:cols w:space="720" w:num="1"/>
          <w:titlePg/>
          <w:docGrid w:type="lines" w:linePitch="312" w:charSpace="0"/>
        </w:sect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4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 xml:space="preserve">       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eastAsia="zh-CN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val="en-US" w:eastAsia="zh-CN"/>
        </w:rPr>
        <w:t>烟台科技学院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44"/>
          <w:szCs w:val="44"/>
          <w:lang w:val="en-US" w:eastAsia="zh-CN"/>
        </w:rPr>
        <w:t>门岗闸机采购与施工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44"/>
          <w:szCs w:val="44"/>
        </w:rPr>
        <w:t>项目</w:t>
      </w:r>
    </w:p>
    <w:p>
      <w:pPr>
        <w:snapToGrid/>
        <w:spacing w:before="0" w:beforeAutospacing="0" w:after="160" w:afterAutospacing="0" w:line="580" w:lineRule="exact"/>
        <w:jc w:val="both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报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价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响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应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文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件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</w:p>
    <w:p>
      <w:pPr>
        <w:snapToGrid/>
        <w:spacing w:before="0" w:beforeAutospacing="0" w:after="160" w:afterAutospacing="0" w:line="500" w:lineRule="exact"/>
        <w:ind w:firstLine="2331" w:firstLineChars="645"/>
        <w:jc w:val="both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</w:rPr>
        <w:t>参与人名称（公司全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称）：</w:t>
      </w:r>
      <w:r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XXXX</w:t>
      </w:r>
    </w:p>
    <w:p>
      <w:pPr>
        <w:snapToGrid/>
        <w:spacing w:before="0" w:beforeAutospacing="0" w:after="160" w:afterAutospacing="0" w:line="500" w:lineRule="exact"/>
        <w:ind w:firstLine="2331" w:firstLineChars="645"/>
        <w:jc w:val="both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参与人授权代表：X</w:t>
      </w:r>
      <w:r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XXX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此封面应作为报价响应文件封面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sectPr>
          <w:footerReference r:id="rId6" w:type="first"/>
          <w:footerReference r:id="rId5" w:type="default"/>
          <w:pgSz w:w="11906" w:h="16838"/>
          <w:pgMar w:top="1440" w:right="1416" w:bottom="1440" w:left="1134" w:header="851" w:footer="227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bookmarkStart w:id="46" w:name="_Toc235437991"/>
      <w:bookmarkStart w:id="47" w:name="_Toc193160448"/>
      <w:bookmarkStart w:id="48" w:name="_Toc213755939"/>
      <w:bookmarkStart w:id="49" w:name="_Toc169332838"/>
      <w:bookmarkStart w:id="50" w:name="_Toc273178698"/>
      <w:bookmarkStart w:id="51" w:name="_Toc191789329"/>
      <w:bookmarkStart w:id="52" w:name="_Toc258401256"/>
      <w:bookmarkStart w:id="53" w:name="_Toc182372782"/>
      <w:bookmarkStart w:id="54" w:name="_Toc192663835"/>
      <w:bookmarkStart w:id="55" w:name="_Toc251586231"/>
      <w:bookmarkStart w:id="56" w:name="_Toc213755858"/>
      <w:bookmarkStart w:id="57" w:name="_Toc267059806"/>
      <w:bookmarkStart w:id="58" w:name="_Toc181436565"/>
      <w:bookmarkStart w:id="59" w:name="_Toc191783222"/>
      <w:bookmarkStart w:id="60" w:name="_Toc259692647"/>
      <w:bookmarkStart w:id="61" w:name="_Toc169332949"/>
      <w:bookmarkStart w:id="62" w:name="_Toc267060068"/>
      <w:bookmarkStart w:id="63" w:name="_Toc230071147"/>
      <w:bookmarkStart w:id="64" w:name="_Toc251613829"/>
      <w:bookmarkStart w:id="65" w:name="_Toc223146608"/>
      <w:bookmarkStart w:id="66" w:name="_Toc266870833"/>
      <w:bookmarkStart w:id="67" w:name="_Toc213756051"/>
      <w:bookmarkStart w:id="68" w:name="_Toc266870907"/>
      <w:bookmarkStart w:id="69" w:name="_Toc219800243"/>
      <w:bookmarkStart w:id="70" w:name="_Toc217891402"/>
      <w:bookmarkStart w:id="71" w:name="_Toc235438344"/>
      <w:bookmarkStart w:id="72" w:name="_Toc259520865"/>
      <w:bookmarkStart w:id="73" w:name="_Toc182805217"/>
      <w:bookmarkStart w:id="74" w:name="_Toc267060321"/>
      <w:bookmarkStart w:id="75" w:name="_Toc266868670"/>
      <w:bookmarkStart w:id="76" w:name="_Toc213208766"/>
      <w:bookmarkStart w:id="77" w:name="_Toc235438274"/>
      <w:bookmarkStart w:id="78" w:name="_Toc254790899"/>
      <w:bookmarkStart w:id="79" w:name="_Toc266868937"/>
      <w:bookmarkStart w:id="80" w:name="_Toc192663686"/>
      <w:bookmarkStart w:id="81" w:name="_Toc249325711"/>
      <w:bookmarkStart w:id="82" w:name="_Toc236021449"/>
      <w:bookmarkStart w:id="83" w:name="_Toc267060453"/>
      <w:bookmarkStart w:id="84" w:name="_Toc191803626"/>
      <w:bookmarkStart w:id="85" w:name="_Toc193165734"/>
      <w:bookmarkStart w:id="86" w:name="_Toc181436461"/>
      <w:bookmarkStart w:id="87" w:name="_Toc211917116"/>
      <w:bookmarkStart w:id="88" w:name="_Toc267059919"/>
      <w:bookmarkStart w:id="89" w:name="_Toc192664153"/>
      <w:bookmarkStart w:id="90" w:name="_Toc192996338"/>
      <w:bookmarkStart w:id="91" w:name="_Toc267060208"/>
      <w:bookmarkStart w:id="92" w:name="_Toc255975007"/>
      <w:bookmarkStart w:id="93" w:name="_Toc266870432"/>
      <w:bookmarkStart w:id="94" w:name="_Toc177985469"/>
      <w:bookmarkStart w:id="95" w:name="_Toc227058530"/>
      <w:bookmarkStart w:id="96" w:name="_Toc180302913"/>
      <w:bookmarkStart w:id="97" w:name="_Toc253066614"/>
      <w:bookmarkStart w:id="98" w:name="_Toc170798793"/>
      <w:bookmarkStart w:id="99" w:name="_Toc259692740"/>
      <w:bookmarkStart w:id="100" w:name="_Toc232302115"/>
      <w:bookmarkStart w:id="101" w:name="_Toc267059181"/>
      <w:bookmarkStart w:id="102" w:name="_Toc267059653"/>
      <w:bookmarkStart w:id="103" w:name="_Toc213755995"/>
      <w:bookmarkStart w:id="104" w:name="_Toc267059030"/>
      <w:bookmarkStart w:id="105" w:name="_Toc192996446"/>
      <w:bookmarkStart w:id="106" w:name="_Toc160880160"/>
      <w:bookmarkStart w:id="107" w:name="_Toc160880529"/>
      <w:bookmarkStart w:id="108" w:name="_Toc191802690"/>
      <w:bookmarkStart w:id="109" w:name="_Toc267059539"/>
      <w:bookmarkStart w:id="110" w:name="_Toc225669322"/>
      <w:bookmarkStart w:id="111" w:name="_Toc203355733"/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1、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询价响应函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致：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烟台科技学院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（参与人公司名称）提交下述文件。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(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1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) 报价一览表</w:t>
      </w:r>
    </w:p>
    <w:p>
      <w:pPr>
        <w:snapToGrid/>
        <w:spacing w:before="0" w:beforeAutospacing="0" w:after="0" w:afterAutospacing="0" w:line="480" w:lineRule="exact"/>
        <w:ind w:firstLine="364" w:firstLineChars="152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(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) 参与人资质证明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据此函，签字代表宣布同意如下：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，即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天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4.同意按公开询价文件的规定履行合同责任和义务。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5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.同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意提供按照贵方可能要求的与其公开询价有关的一切数据或资料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6.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</w:p>
    <w:p>
      <w:pPr>
        <w:snapToGrid/>
        <w:spacing w:before="0" w:beforeAutospacing="0" w:after="0" w:afterAutospacing="0" w:line="480" w:lineRule="exact"/>
        <w:ind w:left="284" w:leftChars="129" w:firstLine="242" w:firstLineChars="10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          </w:t>
      </w:r>
    </w:p>
    <w:p>
      <w:pPr>
        <w:snapToGrid/>
        <w:spacing w:before="0" w:beforeAutospacing="0" w:after="0" w:afterAutospacing="0" w:line="480" w:lineRule="exact"/>
        <w:ind w:left="284" w:leftChars="129" w:firstLine="242" w:firstLineChars="10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   </w:t>
      </w:r>
    </w:p>
    <w:p>
      <w:pPr>
        <w:snapToGrid/>
        <w:spacing w:before="0" w:beforeAutospacing="0" w:after="0" w:afterAutospacing="0" w:line="480" w:lineRule="exact"/>
        <w:ind w:left="284" w:leftChars="129" w:firstLine="242" w:firstLineChars="10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电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话：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（手机号码）</w:t>
      </w:r>
    </w:p>
    <w:p>
      <w:pPr>
        <w:pStyle w:val="10"/>
        <w:snapToGrid w:val="0"/>
        <w:spacing w:before="0" w:beforeAutospacing="0" w:after="0" w:afterAutospacing="0" w:line="480" w:lineRule="exact"/>
        <w:ind w:firstLine="48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年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月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日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br w:type="page"/>
      </w: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、报价一览表</w:t>
      </w:r>
    </w:p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项目编号：</w:t>
      </w:r>
    </w:p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货币单位：</w:t>
      </w:r>
    </w:p>
    <w:tbl>
      <w:tblPr>
        <w:tblStyle w:val="5"/>
        <w:tblW w:w="10175" w:type="dxa"/>
        <w:tblInd w:w="-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50"/>
        <w:gridCol w:w="2787"/>
        <w:gridCol w:w="675"/>
        <w:gridCol w:w="1313"/>
        <w:gridCol w:w="1200"/>
        <w:gridCol w:w="13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设备名称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设备参数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总计（元）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品牌型号（需备注）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zh-CN"/>
              </w:rPr>
              <w:t>魔点D3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防水等级IP65及以上，室内机型，全金属铝合金外壳。离线人脸容量≥3万张，处理器8核ARM处理器，内存：2G，ROM:16G，显示分辨率1280*800，工作温度-10℃~50℃，包含电源等标配物品。三年原厂质保。</w:t>
            </w:r>
            <w:bookmarkStart w:id="112" w:name="_GoBack"/>
            <w:bookmarkEnd w:id="112"/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魔点 S5 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防水等级IP65及以上，室外机型，全金属铝合金外壳。离线人脸容量≥2万张，处理器双核ARM处理器，分辨率:720*1280，内存：512MB，ROM:8GB，工作温度:-20℃~60℃;包含电源等标配物品。三年原厂质保。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支架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能配合刷脸设备、门禁闸机使用的支架。防水、防晒、防破坏、美观、原厂，材质使用304拉丝不锈钢，不锈钢厚度≥1mm，伸缩支架可调高度305mm~600mm，面板可微上下20°、左右360°。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遮光防护罩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能配合刷脸设备、门禁闸机使用的遮光防护罩。防水、防潮、防晒、防破坏、美观。上面颜色为深蓝色亚克力遮光罩，下面为透明亚克力、厚度≥2mm。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无线AP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802.11ax三路双频增强级高密放装型无线AP，整机接入速率≥6.817Gbps，可支持802.11a/b/g/n/ac和802.11ax工作，胖/瘦模式切换、802.3at供电和本地供电，本次采用POE供电，由学校AC控制器统一管理。三年原厂质保。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交换机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POE供电交换机，交换容量≥336Gbps，包转发率≥108Mpps。≥24个10/100/1000M自适应电口，≥4个1G/10G SFP+光口，固化交流电源和风扇。三年原厂质保。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万兆单模模块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万兆单模双芯LC接口模块（1310nm），10km，稳定可靠，可与交换机兼容。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red"/>
                <w:lang w:val="en-US" w:eastAsia="zh-CN"/>
              </w:rPr>
              <w:t>开沟、回填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red"/>
                <w:lang w:val="en-US" w:eastAsia="zh-CN"/>
              </w:rPr>
              <w:t>包含开沟回填、路面开槽水泥回填。线缆材料及线缆铺设、光纤熔接、六类网线及辅材等。</w:t>
            </w:r>
          </w:p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red"/>
                <w:lang w:val="en-US" w:eastAsia="zh-CN"/>
              </w:rPr>
            </w:pPr>
          </w:p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red"/>
                <w:lang w:val="en-US" w:eastAsia="zh-CN"/>
              </w:rPr>
            </w:pPr>
          </w:p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red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160" w:afterAutospacing="0" w:line="380" w:lineRule="exact"/>
              <w:ind w:left="147" w:leftChars="67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其他辅材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刷脸设备、支架、无线AP、交换机</w:t>
            </w:r>
            <w:r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安装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及原有刷脸设备拆卸、支架拆卸等。弱电箱线材整理修复，弱电箱修复等。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注：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napToGrid/>
        <w:spacing w:before="0" w:beforeAutospacing="0" w:after="160" w:afterAutospacing="0" w:line="380" w:lineRule="exact"/>
        <w:ind w:firstLine="720" w:firstLineChars="3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1.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如果不提供详细参数和报价将视为没有实质性响应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公开询价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文件。</w:t>
      </w:r>
    </w:p>
    <w:p>
      <w:pPr>
        <w:numPr>
          <w:ilvl w:val="0"/>
          <w:numId w:val="0"/>
        </w:numPr>
        <w:snapToGrid/>
        <w:spacing w:before="0" w:beforeAutospacing="0" w:after="160" w:afterAutospacing="0" w:line="380" w:lineRule="exact"/>
        <w:ind w:firstLine="720" w:firstLineChars="3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highlight w:val="red"/>
          <w:lang w:val="en-US" w:eastAsia="zh-CN"/>
        </w:rPr>
        <w:t>物品总价包干,线缆辅材以实际使用为准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。</w:t>
      </w: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3.服务要求：无线AP、交换机设备提供三年原厂质保并出具原厂质保函，其他项目三年整体质保，7*24小时现场保修服务，包括硬件保修、电话支持、现场支持、版本升级等。</w:t>
      </w:r>
    </w:p>
    <w:p>
      <w:pPr>
        <w:snapToGrid/>
        <w:spacing w:before="0" w:beforeAutospacing="0" w:after="160" w:afterAutospacing="0" w:line="380" w:lineRule="exact"/>
        <w:ind w:firstLine="720" w:firstLineChars="3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160" w:afterAutospacing="0" w:line="360" w:lineRule="auto"/>
        <w:ind w:right="960"/>
        <w:jc w:val="righ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</w:pPr>
    </w:p>
    <w:p>
      <w:pPr>
        <w:snapToGrid/>
        <w:spacing w:before="0" w:beforeAutospacing="0" w:after="160" w:afterAutospacing="0" w:line="360" w:lineRule="auto"/>
        <w:ind w:right="1440"/>
        <w:jc w:val="righ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或盖章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）：</w:t>
      </w:r>
    </w:p>
    <w:p>
      <w:pPr>
        <w:snapToGrid/>
        <w:spacing w:before="0" w:beforeAutospacing="0" w:after="160" w:afterAutospacing="0" w:line="360" w:lineRule="auto"/>
        <w:ind w:right="1406"/>
        <w:jc w:val="righ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sectPr>
          <w:headerReference r:id="rId8" w:type="first"/>
          <w:headerReference r:id="rId7" w:type="default"/>
          <w:footerReference r:id="rId9" w:type="default"/>
          <w:pgSz w:w="11906" w:h="16838"/>
          <w:pgMar w:top="1440" w:right="1416" w:bottom="1440" w:left="1134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期：</w:t>
      </w: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、参与人资质材料</w:t>
      </w:r>
    </w:p>
    <w:p>
      <w:pPr>
        <w:pStyle w:val="11"/>
        <w:snapToGrid/>
        <w:spacing w:before="0" w:beforeAutospacing="0" w:after="0" w:afterAutospacing="0" w:line="240" w:lineRule="auto"/>
        <w:jc w:val="both"/>
        <w:textAlignment w:val="baseline"/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参与人需要提供以下材料：</w:t>
      </w:r>
    </w:p>
    <w:p>
      <w:pPr>
        <w:pStyle w:val="9"/>
        <w:numPr>
          <w:ilvl w:val="0"/>
          <w:numId w:val="3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营业执照复印件</w:t>
      </w:r>
    </w:p>
    <w:p>
      <w:pPr>
        <w:pStyle w:val="9"/>
        <w:numPr>
          <w:ilvl w:val="0"/>
          <w:numId w:val="3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授权经销商或代理商证明材料复印件</w:t>
      </w:r>
    </w:p>
    <w:p>
      <w:pPr>
        <w:pStyle w:val="9"/>
        <w:numPr>
          <w:ilvl w:val="0"/>
          <w:numId w:val="3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质保期和售后服务承诺书（参与人自行起草）</w:t>
      </w:r>
    </w:p>
    <w:p>
      <w:pPr>
        <w:pStyle w:val="9"/>
        <w:numPr>
          <w:ilvl w:val="0"/>
          <w:numId w:val="3"/>
        </w:numPr>
        <w:snapToGrid/>
        <w:spacing w:before="0" w:beforeAutospacing="0" w:after="0" w:afterAutospacing="0" w:line="500" w:lineRule="exact"/>
        <w:ind w:left="720" w:leftChars="0" w:hanging="72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参与人需提供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年至今不少于</w:t>
      </w:r>
      <w:r>
        <w:rPr>
          <w:rFonts w:hint="eastAsia" w:ascii="仿宋" w:hAnsi="仿宋" w:eastAsia="仿宋"/>
          <w:b/>
          <w:bCs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个（或3个以上）类似业绩的合同复印件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。提供</w:t>
      </w:r>
      <w:r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财务审计报告（现金流量表、负债表、利润表）</w:t>
      </w: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以上材料复印件须加盖参与人公司公章，报价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资质单独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密封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  <w:t>。</w:t>
      </w: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>
      <w:pPr>
        <w:snapToGrid/>
        <w:spacing w:before="0" w:beforeAutospacing="0" w:after="160" w:afterAutospacing="0" w:line="380" w:lineRule="exact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6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6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</w:t>
                    </w: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2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000000"/>
    <w:rsid w:val="041C27D2"/>
    <w:rsid w:val="0548762F"/>
    <w:rsid w:val="24FE7EC9"/>
    <w:rsid w:val="29055B12"/>
    <w:rsid w:val="2E8C6C60"/>
    <w:rsid w:val="2F5B041D"/>
    <w:rsid w:val="31800095"/>
    <w:rsid w:val="320262BB"/>
    <w:rsid w:val="32641B55"/>
    <w:rsid w:val="36DE71CF"/>
    <w:rsid w:val="3A024FFB"/>
    <w:rsid w:val="3E945B55"/>
    <w:rsid w:val="4010515C"/>
    <w:rsid w:val="494C768B"/>
    <w:rsid w:val="4EEC33AE"/>
    <w:rsid w:val="541E18E6"/>
    <w:rsid w:val="69037585"/>
    <w:rsid w:val="71DD2418"/>
    <w:rsid w:val="7C9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样式3"/>
    <w:basedOn w:val="2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11">
    <w:name w:val="No Spacing"/>
    <w:qFormat/>
    <w:uiPriority w:val="1"/>
    <w:pPr>
      <w:spacing w:after="0" w:line="240" w:lineRule="auto"/>
      <w:jc w:val="both"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2519</Words>
  <Characters>2826</Characters>
  <Lines>0</Lines>
  <Paragraphs>0</Paragraphs>
  <TotalTime>0</TotalTime>
  <ScaleCrop>false</ScaleCrop>
  <LinksUpToDate>false</LinksUpToDate>
  <CharactersWithSpaces>3056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2023-03-07T06:49:00Z</dcterms:created>
  <dc:creator>Administrator</dc:creator>
  <cp:lastModifiedBy>Administrator</cp:lastModifiedBy>
  <dcterms:modified xsi:type="dcterms:W3CDTF">2023-03-22T08:17:54Z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FD4BA87D01374813B0E75BECF33B70EF</vt:lpwstr>
  </property>
</Properties>
</file>