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textAlignment w:val="baseline"/>
        <w:rPr>
          <w:rFonts w:ascii="仿宋" w:hAnsi="仿宋" w:eastAsia="仿宋"/>
          <w:b/>
          <w:sz w:val="72"/>
          <w:szCs w:val="72"/>
        </w:rPr>
      </w:pPr>
      <w:bookmarkStart w:id="0" w:name="_Hlk38472698"/>
      <w:r>
        <w:drawing>
          <wp:anchor distT="0" distB="0" distL="114300" distR="114300" simplePos="0" relativeHeight="251659264" behindDoc="0" locked="0" layoutInCell="1" allowOverlap="1">
            <wp:simplePos x="0" y="0"/>
            <wp:positionH relativeFrom="column">
              <wp:posOffset>1632585</wp:posOffset>
            </wp:positionH>
            <wp:positionV relativeFrom="page">
              <wp:posOffset>685800</wp:posOffset>
            </wp:positionV>
            <wp:extent cx="2936240" cy="68135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textAlignment w:val="baseline"/>
        <w:rPr>
          <w:rFonts w:ascii="仿宋" w:hAnsi="仿宋" w:eastAsia="仿宋"/>
          <w:b/>
          <w:color w:val="000000"/>
          <w:sz w:val="44"/>
          <w:szCs w:val="44"/>
        </w:rPr>
      </w:pPr>
      <w:r>
        <w:rPr>
          <w:rFonts w:hint="eastAsia" w:ascii="仿宋" w:hAnsi="仿宋" w:eastAsia="仿宋"/>
          <w:b/>
          <w:color w:val="000000"/>
          <w:sz w:val="44"/>
          <w:szCs w:val="44"/>
        </w:rPr>
        <w:t>江西科技学院关</w:t>
      </w:r>
      <w:bookmarkEnd w:id="0"/>
      <w:bookmarkStart w:id="1" w:name="_Hlk109631538"/>
      <w:r>
        <w:rPr>
          <w:rFonts w:hint="eastAsia" w:ascii="仿宋" w:hAnsi="仿宋" w:eastAsia="仿宋"/>
          <w:b/>
          <w:color w:val="000000"/>
          <w:sz w:val="44"/>
          <w:szCs w:val="44"/>
        </w:rPr>
        <w:t>于</w:t>
      </w:r>
      <w:r>
        <w:rPr>
          <w:rFonts w:hint="eastAsia" w:ascii="仿宋" w:hAnsi="仿宋" w:eastAsia="仿宋"/>
          <w:b/>
          <w:color w:val="000000"/>
          <w:sz w:val="44"/>
          <w:szCs w:val="44"/>
          <w:lang w:val="en-US" w:eastAsia="zh-CN"/>
        </w:rPr>
        <w:t>合唱教室</w:t>
      </w:r>
      <w:r>
        <w:rPr>
          <w:rFonts w:hint="eastAsia" w:ascii="仿宋" w:hAnsi="仿宋" w:eastAsia="仿宋"/>
          <w:b/>
          <w:color w:val="000000"/>
          <w:sz w:val="44"/>
          <w:szCs w:val="44"/>
        </w:rPr>
        <w:t>采购项目</w:t>
      </w:r>
      <w:bookmarkEnd w:id="1"/>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公</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询</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函</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项目编号：</w:t>
      </w:r>
      <w:bookmarkStart w:id="2" w:name="_Toc169332792"/>
      <w:bookmarkStart w:id="3" w:name="_Toc160880485"/>
      <w:bookmarkStart w:id="4" w:name="_Toc160880118"/>
      <w:r>
        <w:rPr>
          <w:rFonts w:hint="eastAsia" w:ascii="仿宋" w:hAnsi="仿宋" w:eastAsia="仿宋"/>
          <w:b/>
          <w:color w:val="000000"/>
          <w:sz w:val="30"/>
          <w:szCs w:val="30"/>
        </w:rPr>
        <w:t>JK2023</w:t>
      </w:r>
      <w:r>
        <w:rPr>
          <w:rFonts w:hint="eastAsia" w:ascii="仿宋" w:hAnsi="仿宋" w:eastAsia="仿宋"/>
          <w:b/>
          <w:color w:val="000000"/>
          <w:sz w:val="30"/>
          <w:szCs w:val="30"/>
          <w:lang w:val="en-US" w:eastAsia="zh-CN"/>
        </w:rPr>
        <w:t>0602</w:t>
      </w:r>
      <w:r>
        <w:rPr>
          <w:rFonts w:hint="eastAsia" w:ascii="仿宋" w:hAnsi="仿宋" w:eastAsia="仿宋"/>
          <w:b/>
          <w:color w:val="000000"/>
          <w:sz w:val="30"/>
          <w:szCs w:val="30"/>
        </w:rPr>
        <w:t>001</w:t>
      </w:r>
    </w:p>
    <w:p>
      <w:pPr>
        <w:spacing w:line="500" w:lineRule="exact"/>
        <w:ind w:firstLine="1943" w:firstLineChars="645"/>
        <w:textAlignment w:val="baseline"/>
        <w:rPr>
          <w:rFonts w:ascii="仿宋" w:hAnsi="仿宋" w:eastAsia="仿宋"/>
          <w:b/>
          <w:color w:val="000000"/>
          <w:sz w:val="32"/>
          <w:szCs w:val="32"/>
        </w:rPr>
      </w:pPr>
      <w:r>
        <w:rPr>
          <w:rFonts w:hint="eastAsia" w:ascii="仿宋" w:hAnsi="仿宋" w:eastAsia="仿宋"/>
          <w:b/>
          <w:color w:val="000000"/>
          <w:sz w:val="30"/>
          <w:szCs w:val="30"/>
        </w:rPr>
        <w:t>项目名称</w:t>
      </w:r>
      <w:bookmarkEnd w:id="2"/>
      <w:bookmarkEnd w:id="3"/>
      <w:bookmarkEnd w:id="4"/>
      <w:r>
        <w:rPr>
          <w:rFonts w:hint="eastAsia" w:ascii="仿宋" w:hAnsi="仿宋" w:eastAsia="仿宋"/>
          <w:b/>
          <w:color w:val="000000"/>
          <w:sz w:val="30"/>
          <w:szCs w:val="30"/>
        </w:rPr>
        <w:t>：</w:t>
      </w:r>
      <w:bookmarkStart w:id="5" w:name="_Toc255974963"/>
      <w:bookmarkStart w:id="6" w:name="_Toc249325665"/>
      <w:bookmarkStart w:id="7" w:name="_Toc273178686"/>
      <w:bookmarkStart w:id="8" w:name="_Toc235437942"/>
      <w:bookmarkStart w:id="9" w:name="_Toc216241307"/>
      <w:bookmarkStart w:id="10" w:name="_Toc259692600"/>
      <w:bookmarkStart w:id="11" w:name="_Toc266868924"/>
      <w:bookmarkStart w:id="12" w:name="_Toc169332794"/>
      <w:bookmarkStart w:id="13" w:name="_Toc160880487"/>
      <w:bookmarkStart w:id="14" w:name="_Toc266870386"/>
      <w:bookmarkStart w:id="15" w:name="_Toc225669277"/>
      <w:bookmarkStart w:id="16" w:name="_Toc267059899"/>
      <w:bookmarkStart w:id="17" w:name="_Toc266870861"/>
      <w:bookmarkStart w:id="18" w:name="_Toc267060022"/>
      <w:bookmarkStart w:id="19" w:name="_Toc217891359"/>
      <w:bookmarkStart w:id="20" w:name="_Toc253066567"/>
      <w:bookmarkStart w:id="21" w:name="_Toc266868624"/>
      <w:bookmarkStart w:id="22" w:name="_Toc207014580"/>
      <w:bookmarkStart w:id="23" w:name="_Toc267060407"/>
      <w:bookmarkStart w:id="24" w:name="_Toc236021402"/>
      <w:bookmarkStart w:id="25" w:name="_Toc169332904"/>
      <w:bookmarkStart w:id="26" w:name="_Toc227058483"/>
      <w:bookmarkStart w:id="27" w:name="_Toc219800200"/>
      <w:bookmarkStart w:id="28" w:name="_Toc212530253"/>
      <w:bookmarkStart w:id="29" w:name="_Toc267059786"/>
      <w:bookmarkStart w:id="30" w:name="_Toc212456146"/>
      <w:bookmarkStart w:id="31" w:name="_Toc251613780"/>
      <w:bookmarkStart w:id="32" w:name="_Toc267059010"/>
      <w:bookmarkStart w:id="33" w:name="_Toc211937196"/>
      <w:bookmarkStart w:id="34" w:name="_Toc267060162"/>
      <w:bookmarkStart w:id="35" w:name="_Toc267059519"/>
      <w:bookmarkStart w:id="36" w:name="_Toc267059633"/>
      <w:bookmarkStart w:id="37" w:name="_Toc170798743"/>
      <w:bookmarkStart w:id="38" w:name="_Toc235438297"/>
      <w:bookmarkStart w:id="39" w:name="_Toc259692693"/>
      <w:bookmarkStart w:id="40" w:name="_Toc212454753"/>
      <w:bookmarkStart w:id="41" w:name="_Toc223146565"/>
      <w:bookmarkStart w:id="42" w:name="_Toc251586187"/>
      <w:bookmarkStart w:id="43" w:name="_Toc267059161"/>
      <w:bookmarkStart w:id="44" w:name="_Toc235438227"/>
      <w:bookmarkStart w:id="45" w:name="_Toc212526081"/>
      <w:bookmarkStart w:id="46" w:name="_Toc254790852"/>
      <w:bookmarkStart w:id="47" w:name="_Toc259520819"/>
      <w:bookmarkStart w:id="48" w:name="_Toc258401210"/>
      <w:bookmarkStart w:id="49" w:name="_Toc177985424"/>
      <w:r>
        <w:rPr>
          <w:rFonts w:hint="eastAsia" w:ascii="仿宋" w:hAnsi="仿宋" w:eastAsia="仿宋"/>
          <w:b/>
          <w:color w:val="000000"/>
          <w:sz w:val="30"/>
          <w:szCs w:val="30"/>
          <w:lang w:val="en-US" w:eastAsia="zh-CN"/>
        </w:rPr>
        <w:t>合唱教室</w:t>
      </w:r>
      <w:r>
        <w:rPr>
          <w:rFonts w:hint="eastAsia" w:ascii="仿宋" w:hAnsi="仿宋" w:eastAsia="仿宋"/>
          <w:b/>
          <w:color w:val="000000"/>
          <w:sz w:val="32"/>
          <w:szCs w:val="32"/>
        </w:rPr>
        <w:t>采购项目</w:t>
      </w:r>
    </w:p>
    <w:p>
      <w:pPr>
        <w:spacing w:line="500" w:lineRule="exact"/>
        <w:ind w:firstLine="1943" w:firstLineChars="645"/>
        <w:textAlignment w:val="baseline"/>
        <w:rPr>
          <w:rFonts w:ascii="仿宋" w:hAnsi="仿宋" w:eastAsia="仿宋"/>
          <w:b/>
          <w:color w:val="000000"/>
          <w:sz w:val="30"/>
          <w:szCs w:val="30"/>
        </w:rPr>
        <w:sectPr>
          <w:footerReference r:id="rId5" w:type="default"/>
          <w:pgSz w:w="11906" w:h="16838"/>
          <w:pgMar w:top="1440" w:right="1416" w:bottom="1440" w:left="1134" w:header="851" w:footer="680" w:gutter="0"/>
          <w:cols w:space="425" w:num="1"/>
          <w:titlePg/>
          <w:docGrid w:type="lines" w:linePitch="312" w:charSpace="0"/>
        </w:sectPr>
      </w:pPr>
    </w:p>
    <w:p>
      <w:pPr>
        <w:pStyle w:val="57"/>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sz w:val="44"/>
          <w:szCs w:val="44"/>
        </w:rPr>
        <w:t>函</w:t>
      </w:r>
    </w:p>
    <w:p>
      <w:pPr>
        <w:spacing w:after="0" w:line="500" w:lineRule="exact"/>
        <w:ind w:firstLine="425" w:firstLineChars="152"/>
        <w:jc w:val="left"/>
        <w:textAlignment w:val="baseline"/>
        <w:rPr>
          <w:rFonts w:ascii="仿宋" w:hAnsi="仿宋" w:eastAsia="仿宋" w:cs="Times New Roman"/>
          <w:color w:val="000000"/>
          <w:sz w:val="28"/>
          <w:szCs w:val="28"/>
        </w:rPr>
      </w:pPr>
      <w:bookmarkStart w:id="50" w:name="_Hlk10840310"/>
      <w:r>
        <w:rPr>
          <w:rFonts w:hint="eastAsia" w:ascii="仿宋" w:hAnsi="仿宋" w:eastAsia="仿宋"/>
          <w:color w:val="000000"/>
          <w:sz w:val="28"/>
          <w:szCs w:val="28"/>
        </w:rPr>
        <w:t>按照公开、公平、公正的原则，经学校研究决定，将江西科技学院</w:t>
      </w:r>
      <w:r>
        <w:rPr>
          <w:rFonts w:hint="eastAsia" w:ascii="仿宋" w:hAnsi="仿宋" w:eastAsia="仿宋"/>
          <w:color w:val="000000"/>
          <w:sz w:val="28"/>
          <w:szCs w:val="28"/>
          <w:lang w:val="en-US" w:eastAsia="zh-CN"/>
        </w:rPr>
        <w:t>合唱教室</w:t>
      </w:r>
      <w:r>
        <w:rPr>
          <w:rFonts w:hint="eastAsia" w:ascii="仿宋" w:hAnsi="仿宋" w:eastAsia="仿宋"/>
          <w:color w:val="000000"/>
          <w:sz w:val="28"/>
          <w:szCs w:val="28"/>
        </w:rPr>
        <w:t>采购项目公开询价信息公布，欢迎国内合格的供应商参与,校内教职工均可推荐符合条件的供应商来参与，以利于做好信息透明、机会均等、程序规范、标准统一的要求。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项目编号：JK2023</w:t>
      </w:r>
      <w:r>
        <w:rPr>
          <w:rFonts w:hint="eastAsia" w:ascii="仿宋" w:hAnsi="仿宋" w:eastAsia="仿宋"/>
          <w:color w:val="000000"/>
          <w:sz w:val="28"/>
          <w:szCs w:val="28"/>
          <w:lang w:val="en-US" w:eastAsia="zh-CN"/>
        </w:rPr>
        <w:t>00602</w:t>
      </w:r>
      <w:r>
        <w:rPr>
          <w:rFonts w:hint="eastAsia" w:ascii="仿宋" w:hAnsi="仿宋" w:eastAsia="仿宋"/>
          <w:color w:val="000000"/>
          <w:sz w:val="28"/>
          <w:szCs w:val="28"/>
        </w:rPr>
        <w:t>001</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项目名称：</w:t>
      </w:r>
      <w:r>
        <w:rPr>
          <w:rFonts w:hint="eastAsia" w:ascii="仿宋" w:hAnsi="仿宋" w:eastAsia="仿宋"/>
          <w:color w:val="000000"/>
          <w:sz w:val="28"/>
          <w:szCs w:val="28"/>
          <w:lang w:val="en-US" w:eastAsia="zh-CN"/>
        </w:rPr>
        <w:t>合唱教室</w:t>
      </w:r>
      <w:r>
        <w:rPr>
          <w:rFonts w:hint="eastAsia" w:ascii="仿宋" w:hAnsi="仿宋" w:eastAsia="仿宋"/>
          <w:color w:val="000000"/>
          <w:sz w:val="28"/>
          <w:szCs w:val="28"/>
        </w:rPr>
        <w:t>采购项目</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数量及主要技术要求</w:t>
      </w:r>
      <w:r>
        <w:rPr>
          <w:rFonts w:hint="eastAsia" w:ascii="仿宋" w:hAnsi="仿宋" w:eastAsia="仿宋" w:cs="仿宋"/>
          <w:color w:val="000000"/>
          <w:sz w:val="28"/>
          <w:szCs w:val="28"/>
        </w:rPr>
        <w:t>:</w:t>
      </w:r>
      <w:r>
        <w:rPr>
          <w:rFonts w:hint="eastAsia" w:ascii="仿宋" w:hAnsi="仿宋" w:eastAsia="仿宋" w:cs="仿宋"/>
          <w:sz w:val="28"/>
          <w:szCs w:val="28"/>
        </w:rPr>
        <w:t>1</w:t>
      </w:r>
      <w:r>
        <w:rPr>
          <w:rFonts w:ascii="仿宋" w:hAnsi="仿宋" w:eastAsia="仿宋"/>
          <w:color w:val="000000"/>
          <w:sz w:val="28"/>
          <w:szCs w:val="28"/>
        </w:rPr>
        <w:t xml:space="preserve"> </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参与人资格标准：本项目采用资格预审制，发布公开询价公告后，各潜在参与人在满足资格要求并提供以下相关证明资料方能参与本项目报价</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提交</w:t>
      </w:r>
      <w:r>
        <w:rPr>
          <w:rFonts w:hint="eastAsia" w:ascii="仿宋" w:hAnsi="仿宋" w:eastAsia="仿宋"/>
          <w:color w:val="000000"/>
          <w:sz w:val="24"/>
          <w:szCs w:val="24"/>
        </w:rPr>
        <w:t>标书前</w:t>
      </w:r>
      <w:r>
        <w:rPr>
          <w:rFonts w:hint="eastAsia" w:ascii="仿宋" w:hAnsi="仿宋" w:eastAsia="仿宋"/>
          <w:color w:val="000000"/>
          <w:sz w:val="24"/>
          <w:szCs w:val="24"/>
          <w:lang w:val="en-US" w:eastAsia="zh-CN"/>
        </w:rPr>
        <w:t>电子稿</w:t>
      </w:r>
      <w:r>
        <w:rPr>
          <w:rFonts w:hint="eastAsia" w:ascii="仿宋" w:hAnsi="仿宋" w:eastAsia="仿宋"/>
          <w:color w:val="000000"/>
          <w:sz w:val="24"/>
          <w:szCs w:val="24"/>
        </w:rPr>
        <w:t>发给联系人，同时放入</w:t>
      </w:r>
      <w:r>
        <w:rPr>
          <w:rFonts w:hint="eastAsia" w:ascii="仿宋" w:hAnsi="仿宋" w:eastAsia="仿宋"/>
          <w:color w:val="000000"/>
          <w:sz w:val="24"/>
          <w:szCs w:val="24"/>
          <w:lang w:val="en-US" w:eastAsia="zh-CN"/>
        </w:rPr>
        <w:t>标书</w:t>
      </w:r>
      <w:r>
        <w:rPr>
          <w:rFonts w:hint="eastAsia" w:ascii="仿宋" w:hAnsi="仿宋" w:eastAsia="仿宋"/>
          <w:color w:val="000000"/>
          <w:sz w:val="24"/>
          <w:szCs w:val="24"/>
        </w:rPr>
        <w:t>中）</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（1）参与人应具有独立法人资格</w:t>
      </w:r>
      <w:r>
        <w:rPr>
          <w:rFonts w:hint="eastAsia" w:ascii="仿宋" w:hAnsi="仿宋" w:eastAsia="仿宋"/>
          <w:b/>
          <w:bCs/>
          <w:color w:val="000000"/>
          <w:sz w:val="28"/>
          <w:szCs w:val="28"/>
        </w:rPr>
        <w:t>，</w:t>
      </w:r>
      <w:r>
        <w:rPr>
          <w:rFonts w:hint="eastAsia" w:ascii="仿宋" w:hAnsi="仿宋" w:eastAsia="仿宋"/>
          <w:color w:val="000000"/>
          <w:sz w:val="28"/>
          <w:szCs w:val="28"/>
        </w:rPr>
        <w:t>具有独立承担民事责任能力的生产厂商或授权代理商。</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（2）参与人应具</w:t>
      </w:r>
      <w:r>
        <w:rPr>
          <w:rFonts w:ascii="仿宋" w:hAnsi="仿宋" w:eastAsia="仿宋"/>
          <w:color w:val="000000"/>
          <w:sz w:val="28"/>
          <w:szCs w:val="28"/>
        </w:rPr>
        <w:t>有提</w:t>
      </w:r>
      <w:r>
        <w:rPr>
          <w:rFonts w:hint="eastAsia" w:ascii="仿宋" w:hAnsi="仿宋" w:eastAsia="仿宋"/>
          <w:color w:val="000000"/>
          <w:sz w:val="28"/>
          <w:szCs w:val="28"/>
        </w:rPr>
        <w:t>供</w:t>
      </w:r>
      <w:r>
        <w:rPr>
          <w:rFonts w:hint="eastAsia" w:ascii="仿宋" w:hAnsi="仿宋" w:eastAsia="仿宋"/>
          <w:color w:val="000000"/>
          <w:sz w:val="28"/>
          <w:szCs w:val="28"/>
          <w:lang w:val="en-US" w:eastAsia="zh-CN"/>
        </w:rPr>
        <w:t>合唱教室</w:t>
      </w:r>
      <w:r>
        <w:rPr>
          <w:rFonts w:hint="eastAsia" w:ascii="仿宋" w:hAnsi="仿宋" w:eastAsia="仿宋"/>
          <w:color w:val="000000"/>
          <w:sz w:val="28"/>
          <w:szCs w:val="28"/>
        </w:rPr>
        <w:t>设备及服务</w:t>
      </w:r>
      <w:r>
        <w:rPr>
          <w:rFonts w:ascii="仿宋" w:hAnsi="仿宋" w:eastAsia="仿宋"/>
          <w:color w:val="000000"/>
          <w:sz w:val="28"/>
          <w:szCs w:val="28"/>
        </w:rPr>
        <w:t>的资格</w:t>
      </w:r>
      <w:r>
        <w:rPr>
          <w:rFonts w:hint="eastAsia" w:ascii="仿宋" w:hAnsi="仿宋" w:eastAsia="仿宋"/>
          <w:color w:val="000000"/>
          <w:sz w:val="28"/>
          <w:szCs w:val="28"/>
        </w:rPr>
        <w:t>及</w:t>
      </w:r>
      <w:r>
        <w:rPr>
          <w:rFonts w:ascii="仿宋" w:hAnsi="仿宋" w:eastAsia="仿宋"/>
          <w:color w:val="000000"/>
          <w:sz w:val="28"/>
          <w:szCs w:val="28"/>
        </w:rPr>
        <w:t>能力</w:t>
      </w:r>
      <w:r>
        <w:rPr>
          <w:rFonts w:hint="eastAsia" w:ascii="仿宋" w:hAnsi="仿宋" w:eastAsia="仿宋"/>
          <w:color w:val="000000"/>
          <w:sz w:val="28"/>
          <w:szCs w:val="28"/>
        </w:rPr>
        <w:t>，具备相应的维护保养能力。在南昌市范围有固定服务机构优先。</w:t>
      </w:r>
    </w:p>
    <w:p>
      <w:pPr>
        <w:spacing w:after="0" w:line="500" w:lineRule="exact"/>
        <w:ind w:left="1130" w:leftChars="322" w:hanging="422" w:hangingChars="151"/>
        <w:jc w:val="left"/>
        <w:textAlignment w:val="baseline"/>
        <w:rPr>
          <w:rFonts w:ascii="仿宋" w:hAnsi="仿宋" w:eastAsia="仿宋"/>
          <w:color w:val="000000"/>
          <w:sz w:val="28"/>
          <w:szCs w:val="28"/>
        </w:rPr>
      </w:pPr>
      <w:r>
        <w:rPr>
          <w:rFonts w:hint="eastAsia" w:ascii="仿宋" w:hAnsi="仿宋" w:eastAsia="仿宋"/>
          <w:color w:val="000000"/>
          <w:sz w:val="28"/>
          <w:szCs w:val="28"/>
        </w:rPr>
        <w:t>（3）参与人应遵守中国的有关法律、法规和规章的规定。</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（4）参与人具有相关</w:t>
      </w:r>
      <w:r>
        <w:rPr>
          <w:rFonts w:hint="eastAsia" w:ascii="仿宋" w:hAnsi="仿宋" w:eastAsia="仿宋"/>
          <w:color w:val="000000"/>
          <w:sz w:val="28"/>
          <w:szCs w:val="28"/>
          <w:lang w:val="en-US" w:eastAsia="zh-CN"/>
        </w:rPr>
        <w:t>同类产品</w:t>
      </w:r>
      <w:r>
        <w:rPr>
          <w:rFonts w:hint="eastAsia" w:ascii="仿宋" w:hAnsi="仿宋" w:eastAsia="仿宋"/>
          <w:color w:val="000000"/>
          <w:sz w:val="28"/>
          <w:szCs w:val="28"/>
        </w:rPr>
        <w:t>项目和良好的售后服务应用成功案例。近三年未发生重大安全或质量事故。</w:t>
      </w:r>
    </w:p>
    <w:p>
      <w:pPr>
        <w:spacing w:after="0" w:line="500" w:lineRule="exact"/>
        <w:ind w:left="1130" w:leftChars="322" w:hanging="422" w:hangingChars="151"/>
        <w:jc w:val="left"/>
        <w:textAlignment w:val="baseline"/>
        <w:rPr>
          <w:rFonts w:ascii="仿宋" w:hAnsi="仿宋" w:eastAsia="仿宋"/>
          <w:color w:val="000000"/>
          <w:sz w:val="28"/>
          <w:szCs w:val="28"/>
        </w:rPr>
      </w:pPr>
      <w:r>
        <w:rPr>
          <w:rFonts w:hint="eastAsia" w:ascii="仿宋" w:hAnsi="仿宋" w:eastAsia="仿宋"/>
          <w:color w:val="000000"/>
          <w:sz w:val="28"/>
          <w:szCs w:val="28"/>
        </w:rPr>
        <w:t>（5）参与人须有良好的商业信誉和健全的财务制度。</w:t>
      </w:r>
    </w:p>
    <w:p>
      <w:pPr>
        <w:spacing w:after="0" w:line="500" w:lineRule="exact"/>
        <w:ind w:left="1130" w:leftChars="322" w:hanging="422" w:hangingChars="151"/>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（6）参与人有依法缴纳税金的良好记录。</w:t>
      </w:r>
    </w:p>
    <w:p>
      <w:pPr>
        <w:widowControl w:val="0"/>
        <w:numPr>
          <w:ilvl w:val="1"/>
          <w:numId w:val="1"/>
        </w:numPr>
        <w:spacing w:after="0" w:line="500" w:lineRule="exact"/>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报价响应文件递交方式：密封报价，按规定时间送达。</w:t>
      </w:r>
    </w:p>
    <w:p>
      <w:pPr>
        <w:widowControl w:val="0"/>
        <w:numPr>
          <w:ilvl w:val="1"/>
          <w:numId w:val="1"/>
        </w:numPr>
        <w:spacing w:after="0" w:line="500" w:lineRule="exact"/>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报价响应文件递交截止时间</w:t>
      </w:r>
      <w:r>
        <w:rPr>
          <w:rFonts w:hint="eastAsia" w:ascii="仿宋" w:hAnsi="仿宋" w:eastAsia="仿宋" w:cs="仿宋"/>
          <w:color w:val="000000"/>
          <w:sz w:val="28"/>
          <w:szCs w:val="28"/>
          <w:shd w:val="clear" w:color="auto" w:fill="FFFFFF"/>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6</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val="en-US" w:eastAsia="zh-CN"/>
        </w:rPr>
        <w:t>12下</w:t>
      </w:r>
      <w:r>
        <w:rPr>
          <w:rFonts w:hint="eastAsia" w:ascii="仿宋" w:hAnsi="仿宋" w:eastAsia="仿宋" w:cs="仿宋"/>
          <w:color w:val="000000"/>
          <w:sz w:val="28"/>
          <w:szCs w:val="28"/>
          <w:shd w:val="clear" w:color="auto" w:fill="FFFFFF"/>
        </w:rPr>
        <w:t>午</w:t>
      </w:r>
      <w:r>
        <w:rPr>
          <w:rFonts w:hint="eastAsia" w:ascii="仿宋" w:hAnsi="仿宋" w:eastAsia="仿宋" w:cs="仿宋"/>
          <w:color w:val="000000"/>
          <w:sz w:val="28"/>
          <w:szCs w:val="28"/>
          <w:shd w:val="clear" w:color="auto" w:fill="FFFFFF"/>
          <w:lang w:val="en-US" w:eastAsia="zh-CN"/>
        </w:rPr>
        <w:t>16</w:t>
      </w:r>
      <w:r>
        <w:rPr>
          <w:rFonts w:hint="eastAsia" w:ascii="仿宋" w:hAnsi="仿宋" w:eastAsia="仿宋" w:cs="仿宋"/>
          <w:color w:val="000000"/>
          <w:sz w:val="28"/>
          <w:szCs w:val="28"/>
          <w:shd w:val="clear" w:color="auto" w:fill="FFFFFF"/>
        </w:rPr>
        <w:t>:</w:t>
      </w:r>
      <w:r>
        <w:rPr>
          <w:rFonts w:ascii="仿宋" w:hAnsi="仿宋" w:eastAsia="仿宋" w:cs="仿宋"/>
          <w:color w:val="000000"/>
          <w:sz w:val="28"/>
          <w:szCs w:val="28"/>
          <w:shd w:val="clear" w:color="auto" w:fill="FFFFFF"/>
        </w:rPr>
        <w:t>00前</w:t>
      </w:r>
    </w:p>
    <w:p>
      <w:pPr>
        <w:pStyle w:val="60"/>
        <w:numPr>
          <w:ilvl w:val="1"/>
          <w:numId w:val="1"/>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报价响应文件递交地点：江西科技学院后勤中心</w:t>
      </w:r>
      <w:r>
        <w:rPr>
          <w:rFonts w:ascii="仿宋" w:hAnsi="仿宋" w:eastAsia="仿宋" w:cs="仿宋"/>
          <w:color w:val="000000"/>
          <w:sz w:val="28"/>
          <w:szCs w:val="28"/>
        </w:rPr>
        <w:t>204</w:t>
      </w:r>
    </w:p>
    <w:p>
      <w:pPr>
        <w:pStyle w:val="60"/>
        <w:spacing w:after="0" w:line="500" w:lineRule="exact"/>
        <w:ind w:left="839" w:firstLine="0"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联系人：吴震林；联系电话：0</w:t>
      </w:r>
      <w:r>
        <w:rPr>
          <w:rFonts w:ascii="仿宋" w:hAnsi="仿宋" w:eastAsia="仿宋" w:cs="仿宋"/>
          <w:color w:val="000000"/>
          <w:sz w:val="28"/>
          <w:szCs w:val="28"/>
        </w:rPr>
        <w:t>791</w:t>
      </w:r>
      <w:r>
        <w:rPr>
          <w:rFonts w:hint="eastAsia" w:ascii="仿宋" w:hAnsi="仿宋" w:eastAsia="仿宋" w:cs="仿宋"/>
          <w:color w:val="000000"/>
          <w:sz w:val="28"/>
          <w:szCs w:val="28"/>
        </w:rPr>
        <w:t>-</w:t>
      </w:r>
      <w:r>
        <w:rPr>
          <w:rFonts w:ascii="仿宋" w:hAnsi="仿宋" w:eastAsia="仿宋" w:cs="仿宋"/>
          <w:color w:val="000000"/>
          <w:sz w:val="28"/>
          <w:szCs w:val="28"/>
        </w:rPr>
        <w:t>88136832</w:t>
      </w:r>
      <w:r>
        <w:rPr>
          <w:rFonts w:hint="eastAsia" w:ascii="仿宋" w:hAnsi="仿宋" w:eastAsia="仿宋" w:cs="仿宋"/>
          <w:color w:val="000000"/>
          <w:sz w:val="28"/>
          <w:szCs w:val="28"/>
        </w:rPr>
        <w:t>，1</w:t>
      </w:r>
      <w:r>
        <w:rPr>
          <w:rFonts w:ascii="仿宋" w:hAnsi="仿宋" w:eastAsia="仿宋" w:cs="仿宋"/>
          <w:color w:val="000000"/>
          <w:sz w:val="28"/>
          <w:szCs w:val="28"/>
        </w:rPr>
        <w:t>3870830011</w:t>
      </w:r>
    </w:p>
    <w:p>
      <w:pPr>
        <w:spacing w:after="0" w:line="460" w:lineRule="exact"/>
        <w:ind w:left="279" w:leftChars="127" w:firstLine="280" w:firstLineChars="100"/>
        <w:rPr>
          <w:rFonts w:hint="default" w:ascii="仿宋" w:hAnsi="仿宋" w:eastAsia="仿宋"/>
          <w:color w:val="000000" w:themeColor="text1"/>
          <w:sz w:val="24"/>
          <w:szCs w:val="24"/>
          <w:lang w:val="en-US" w:eastAsia="zh-CN"/>
          <w14:textFill>
            <w14:solidFill>
              <w14:schemeClr w14:val="tx1"/>
            </w14:solidFill>
          </w14:textFill>
        </w:rPr>
      </w:pPr>
      <w:bookmarkStart w:id="51" w:name="_Hlk97917519"/>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公开询价邀请函列示清单内容存有疑问的</w:t>
      </w:r>
      <w:r>
        <w:rPr>
          <w:rFonts w:hint="eastAsia" w:ascii="仿宋" w:hAnsi="仿宋" w:eastAsia="仿宋" w:cs="仿宋"/>
          <w:color w:val="000000"/>
          <w:sz w:val="28"/>
          <w:szCs w:val="28"/>
        </w:rPr>
        <w:t>，请在报价响应文件递交截止之日前，将问题以书面形式（有效签署的原件</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并加盖公章）提交至学校业务对接人，探勘联系人：</w:t>
      </w:r>
      <w:r>
        <w:rPr>
          <w:rFonts w:hint="eastAsia" w:ascii="仿宋" w:hAnsi="仿宋" w:eastAsia="仿宋" w:cs="仿宋"/>
          <w:color w:val="000000"/>
          <w:sz w:val="28"/>
          <w:szCs w:val="28"/>
          <w:lang w:val="en-US" w:eastAsia="zh-CN"/>
        </w:rPr>
        <w:t>陈飞</w:t>
      </w:r>
      <w:r>
        <w:rPr>
          <w:rFonts w:hint="eastAsia" w:ascii="仿宋" w:hAnsi="仿宋" w:eastAsia="仿宋" w:cs="仿宋"/>
          <w:color w:val="000000"/>
          <w:sz w:val="28"/>
          <w:szCs w:val="28"/>
        </w:rPr>
        <w:t>，电话：</w:t>
      </w:r>
      <w:r>
        <w:rPr>
          <w:rFonts w:hint="eastAsia" w:ascii="仿宋" w:hAnsi="仿宋" w:eastAsia="仿宋" w:cs="仿宋"/>
          <w:color w:val="000000"/>
          <w:sz w:val="28"/>
          <w:szCs w:val="28"/>
          <w:lang w:val="en-US" w:eastAsia="zh-CN"/>
        </w:rPr>
        <w:t>13667095775</w:t>
      </w:r>
    </w:p>
    <w:p>
      <w:pPr>
        <w:spacing w:after="0" w:line="460" w:lineRule="exact"/>
        <w:ind w:left="559" w:leftChars="254" w:firstLine="0" w:firstLineChars="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加盖公章的质疑文件进行回复。采购人不对超时提交及未加盖公章的质疑文件进行回复</w:t>
      </w:r>
      <w:r>
        <w:rPr>
          <w:rFonts w:hint="eastAsia" w:ascii="仿宋" w:hAnsi="仿宋" w:eastAsia="仿宋" w:cs="仿宋"/>
          <w:color w:val="000000"/>
          <w:sz w:val="28"/>
          <w:szCs w:val="28"/>
          <w:lang w:eastAsia="zh-CN"/>
        </w:rPr>
        <w:t>。</w:t>
      </w:r>
    </w:p>
    <w:p>
      <w:pPr>
        <w:widowControl w:val="0"/>
        <w:tabs>
          <w:tab w:val="left" w:pos="839"/>
          <w:tab w:val="left" w:pos="1469"/>
        </w:tabs>
        <w:spacing w:after="0" w:line="460" w:lineRule="exact"/>
        <w:ind w:left="420"/>
        <w:textAlignment w:val="baseline"/>
        <w:rPr>
          <w:rFonts w:ascii="仿宋" w:hAnsi="仿宋" w:eastAsia="仿宋" w:cs="仿宋"/>
          <w:color w:val="000000"/>
          <w:sz w:val="28"/>
          <w:szCs w:val="28"/>
        </w:rPr>
      </w:pPr>
      <w:r>
        <w:rPr>
          <w:rFonts w:ascii="仿宋" w:hAnsi="仿宋" w:eastAsia="仿宋" w:cs="仿宋"/>
          <w:color w:val="000000"/>
          <w:sz w:val="28"/>
          <w:szCs w:val="28"/>
        </w:rPr>
        <w:t>9</w:t>
      </w:r>
      <w:r>
        <w:rPr>
          <w:rFonts w:hint="eastAsia"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33"/>
          <w:rFonts w:hint="eastAsia" w:ascii="仿宋" w:hAnsi="仿宋" w:eastAsia="仿宋" w:cs="仿宋"/>
          <w:color w:val="000000"/>
          <w:sz w:val="28"/>
          <w:szCs w:val="28"/>
          <w:u w:color="000000"/>
        </w:rPr>
        <w:t>www.ceghqxz.com</w:t>
      </w:r>
      <w:r>
        <w:rPr>
          <w:rStyle w:val="33"/>
          <w:rFonts w:hint="eastAsia" w:ascii="仿宋" w:hAnsi="仿宋" w:eastAsia="仿宋" w:cs="仿宋"/>
          <w:color w:val="000000"/>
          <w:sz w:val="28"/>
          <w:szCs w:val="28"/>
          <w:u w:color="000000"/>
        </w:rPr>
        <w:fldChar w:fldCharType="end"/>
      </w:r>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采购过程和成交结果有异议的，</w:t>
      </w:r>
      <w:bookmarkEnd w:id="51"/>
      <w:r>
        <w:rPr>
          <w:rFonts w:hint="eastAsia" w:ascii="仿宋" w:hAnsi="仿宋" w:eastAsia="仿宋" w:cs="仿宋"/>
          <w:color w:val="000000"/>
          <w:sz w:val="28"/>
          <w:szCs w:val="28"/>
        </w:rPr>
        <w:t>请以书面形式（有效签署的原件并加盖公章），并附有相关的证据材料，提交至集团</w:t>
      </w:r>
      <w:r>
        <w:rPr>
          <w:rFonts w:hint="eastAsia" w:ascii="仿宋" w:hAnsi="仿宋" w:eastAsia="仿宋" w:cs="仿宋"/>
          <w:color w:val="000000"/>
          <w:sz w:val="28"/>
          <w:szCs w:val="28"/>
          <w:lang w:val="en-US" w:eastAsia="zh-CN"/>
        </w:rPr>
        <w:t>监察审计</w:t>
      </w:r>
      <w:r>
        <w:rPr>
          <w:rFonts w:hint="eastAsia" w:ascii="仿宋" w:hAnsi="仿宋" w:eastAsia="仿宋" w:cs="仿宋"/>
          <w:color w:val="000000"/>
          <w:sz w:val="28"/>
          <w:szCs w:val="28"/>
        </w:rPr>
        <w:t>部。</w:t>
      </w:r>
    </w:p>
    <w:p>
      <w:pPr>
        <w:widowControl w:val="0"/>
        <w:tabs>
          <w:tab w:val="left" w:pos="839"/>
        </w:tabs>
        <w:spacing w:after="0" w:line="460" w:lineRule="exact"/>
        <w:ind w:left="839"/>
        <w:textAlignment w:val="baseline"/>
        <w:rPr>
          <w:rFonts w:ascii="仿宋" w:hAnsi="仿宋" w:eastAsia="仿宋" w:cs="仿宋"/>
          <w:color w:val="000000"/>
          <w:sz w:val="28"/>
          <w:szCs w:val="28"/>
        </w:rPr>
      </w:pPr>
      <w:r>
        <w:rPr>
          <w:rFonts w:hint="eastAsia" w:ascii="仿宋" w:hAnsi="仿宋" w:eastAsia="仿宋" w:cs="仿宋"/>
          <w:color w:val="000000"/>
          <w:sz w:val="28"/>
          <w:szCs w:val="28"/>
        </w:rPr>
        <w:t>投诉受理部门：中教集团</w:t>
      </w:r>
      <w:r>
        <w:rPr>
          <w:rFonts w:hint="eastAsia" w:ascii="仿宋" w:hAnsi="仿宋" w:eastAsia="仿宋" w:cs="仿宋"/>
          <w:color w:val="000000"/>
          <w:sz w:val="28"/>
          <w:szCs w:val="28"/>
          <w:lang w:val="en-US" w:eastAsia="zh-CN"/>
        </w:rPr>
        <w:t>监察审计</w:t>
      </w:r>
      <w:r>
        <w:rPr>
          <w:rFonts w:hint="eastAsia" w:ascii="仿宋" w:hAnsi="仿宋" w:eastAsia="仿宋" w:cs="仿宋"/>
          <w:color w:val="000000"/>
          <w:sz w:val="28"/>
          <w:szCs w:val="28"/>
        </w:rPr>
        <w:t>部，投诉电话： 0791-88106510 /0791-88102608</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1.所有货物均以人民币报价；</w:t>
      </w:r>
    </w:p>
    <w:p>
      <w:pPr>
        <w:widowControl w:val="0"/>
        <w:spacing w:after="0" w:line="500" w:lineRule="exact"/>
        <w:ind w:left="426"/>
        <w:jc w:val="left"/>
        <w:textAlignment w:val="baseline"/>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报价</w:t>
      </w:r>
      <w:r>
        <w:rPr>
          <w:rFonts w:hint="eastAsia" w:ascii="仿宋" w:hAnsi="仿宋" w:eastAsia="仿宋"/>
          <w:color w:val="000000"/>
          <w:sz w:val="28"/>
          <w:szCs w:val="28"/>
        </w:rPr>
        <w:t>响应文件的编制：参与人所投响应文件应分为商务部分以及技术部分两个文件并且独立密封，提供正本：一份，副本：一份，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w:t>
      </w:r>
      <w:r>
        <w:rPr>
          <w:rFonts w:hint="eastAsia" w:ascii="仿宋" w:hAnsi="仿宋" w:eastAsia="仿宋"/>
          <w:color w:val="000000"/>
          <w:sz w:val="28"/>
          <w:szCs w:val="28"/>
          <w:lang w:eastAsia="zh-CN"/>
        </w:rPr>
        <w:t>，</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3.报价响应文件用不退色墨水书写或打印，因字迹潦草或表达不清所引起的后果由参与人自负；</w:t>
      </w:r>
    </w:p>
    <w:p>
      <w:pPr>
        <w:widowControl w:val="0"/>
        <w:spacing w:after="0" w:line="500" w:lineRule="exact"/>
        <w:ind w:left="426"/>
        <w:jc w:val="left"/>
        <w:textAlignment w:val="baseline"/>
        <w:rPr>
          <w:rFonts w:hint="eastAsia" w:ascii="仿宋" w:hAnsi="仿宋" w:eastAsia="仿宋"/>
          <w:color w:val="000000"/>
          <w:sz w:val="28"/>
          <w:szCs w:val="28"/>
        </w:rPr>
      </w:pPr>
      <w:r>
        <w:rPr>
          <w:rFonts w:hint="eastAsia" w:ascii="仿宋" w:hAnsi="仿宋" w:eastAsia="仿宋"/>
          <w:color w:val="000000"/>
          <w:sz w:val="28"/>
          <w:szCs w:val="28"/>
        </w:rPr>
        <w:t>4. 报价响应文件及所有相关资料需同时进行密封处理，并在密封处加盖公章，未做密封处理及未加盖公章的视为无效报价；</w:t>
      </w:r>
      <w:r>
        <w:rPr>
          <w:rFonts w:hint="eastAsia" w:ascii="仿宋" w:hAnsi="仿宋" w:eastAsia="仿宋"/>
          <w:color w:val="000000"/>
          <w:sz w:val="28"/>
          <w:szCs w:val="28"/>
          <w:lang w:val="en-US" w:eastAsia="zh-CN"/>
        </w:rPr>
        <w:t>技术部分不能体现价格等商务部分内容，技术和商务分开密封</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 法定代表人为同一人的两个及两个以上法人；</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 母公司、直接或间接持股50％及以上的被投资公司;</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 均为同一家母公司直接或间接持股50％及以上的被投资公司。</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三、售后服务要求</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1.免费保修期</w:t>
      </w:r>
      <w:r>
        <w:rPr>
          <w:rFonts w:hint="eastAsia" w:ascii="仿宋" w:hAnsi="仿宋" w:eastAsia="仿宋"/>
          <w:color w:val="000000"/>
          <w:sz w:val="28"/>
          <w:szCs w:val="28"/>
          <w:lang w:val="en-US" w:eastAsia="zh-CN"/>
        </w:rPr>
        <w:t>3年</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2.应急维修时间安排</w:t>
      </w:r>
      <w:r>
        <w:rPr>
          <w:rFonts w:hint="eastAsia" w:ascii="仿宋" w:hAnsi="仿宋" w:eastAsia="仿宋"/>
          <w:color w:val="000000"/>
          <w:sz w:val="28"/>
          <w:szCs w:val="28"/>
          <w:lang w:val="en-US" w:eastAsia="zh-CN"/>
        </w:rPr>
        <w:t>24小时以内</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3.培训计划及人员安排；</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4.维修地点、地址、联系电话及联系人员；</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5.维修服务收费标准；</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6.主要零配件及易耗品价格；</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7.制造商的技术支持；</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pStyle w:val="60"/>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本项目为自有资金而非财政性资金采购，采购人按企业内部规定的标准进行评定</w:t>
      </w:r>
      <w:r>
        <w:rPr>
          <w:rFonts w:ascii="仿宋" w:hAnsi="仿宋" w:eastAsia="仿宋"/>
          <w:color w:val="000000"/>
          <w:sz w:val="28"/>
          <w:szCs w:val="28"/>
        </w:rPr>
        <w:t xml:space="preserve"> </w:t>
      </w:r>
      <w:r>
        <w:rPr>
          <w:rFonts w:hint="eastAsia" w:ascii="仿宋" w:hAnsi="仿宋" w:eastAsia="仿宋"/>
          <w:color w:val="000000"/>
          <w:sz w:val="28"/>
          <w:szCs w:val="28"/>
        </w:rPr>
        <w:t>。</w:t>
      </w:r>
    </w:p>
    <w:p>
      <w:pPr>
        <w:pStyle w:val="60"/>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参与人所投物品符合需求、质量和服务等的要求,经过磋商所报价格为合理价格的参与人为成交参与人。</w:t>
      </w:r>
    </w:p>
    <w:p>
      <w:pPr>
        <w:pStyle w:val="60"/>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最低报价不作为成交的保证。</w:t>
      </w:r>
    </w:p>
    <w:p>
      <w:pPr>
        <w:pStyle w:val="60"/>
        <w:spacing w:after="0" w:line="500" w:lineRule="exact"/>
        <w:ind w:firstLine="0" w:firstLineChars="0"/>
        <w:jc w:val="left"/>
        <w:textAlignment w:val="baseline"/>
        <w:rPr>
          <w:rFonts w:ascii="仿宋" w:hAnsi="仿宋" w:eastAsia="仿宋"/>
          <w:color w:val="000000"/>
          <w:sz w:val="28"/>
          <w:szCs w:val="28"/>
        </w:rPr>
      </w:pPr>
    </w:p>
    <w:p>
      <w:pPr>
        <w:spacing w:after="0" w:line="500" w:lineRule="exact"/>
        <w:jc w:val="left"/>
        <w:textAlignment w:val="baseline"/>
        <w:rPr>
          <w:rFonts w:ascii="仿宋" w:hAnsi="仿宋" w:eastAsia="仿宋"/>
          <w:color w:val="000000"/>
          <w:sz w:val="24"/>
          <w:szCs w:val="24"/>
        </w:rPr>
      </w:pPr>
    </w:p>
    <w:p>
      <w:pPr>
        <w:pStyle w:val="14"/>
        <w:textAlignment w:val="baseline"/>
      </w:pPr>
    </w:p>
    <w:p>
      <w:pPr>
        <w:pStyle w:val="14"/>
        <w:textAlignment w:val="baseline"/>
      </w:pPr>
    </w:p>
    <w:p>
      <w:pPr>
        <w:pStyle w:val="14"/>
        <w:textAlignment w:val="baseline"/>
      </w:pPr>
    </w:p>
    <w:p>
      <w:pPr>
        <w:pStyle w:val="14"/>
        <w:textAlignment w:val="baseline"/>
      </w:pPr>
    </w:p>
    <w:p>
      <w:pPr>
        <w:pStyle w:val="14"/>
        <w:textAlignment w:val="baseline"/>
      </w:pPr>
    </w:p>
    <w:p>
      <w:pPr>
        <w:pStyle w:val="14"/>
        <w:textAlignment w:val="baseline"/>
      </w:pPr>
    </w:p>
    <w:p>
      <w:pPr>
        <w:pStyle w:val="14"/>
        <w:textAlignment w:val="baseline"/>
      </w:pPr>
    </w:p>
    <w:p>
      <w:pPr>
        <w:pStyle w:val="14"/>
        <w:textAlignment w:val="baseline"/>
      </w:pPr>
    </w:p>
    <w:p>
      <w:pPr>
        <w:pStyle w:val="60"/>
        <w:spacing w:after="0" w:line="500" w:lineRule="exact"/>
        <w:ind w:firstLine="0" w:firstLineChars="0"/>
        <w:jc w:val="left"/>
        <w:textAlignment w:val="baseline"/>
        <w:rPr>
          <w:rFonts w:ascii="仿宋" w:hAnsi="仿宋" w:eastAsia="仿宋"/>
          <w:color w:val="000000"/>
          <w:sz w:val="24"/>
          <w:szCs w:val="24"/>
        </w:rPr>
      </w:pPr>
    </w:p>
    <w:p>
      <w:pPr>
        <w:spacing w:after="0" w:line="500" w:lineRule="exact"/>
        <w:ind w:firstLine="6720" w:firstLineChars="24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江西科技学院</w:t>
      </w:r>
    </w:p>
    <w:p>
      <w:pPr>
        <w:pStyle w:val="57"/>
        <w:spacing w:after="160" w:line="360" w:lineRule="auto"/>
        <w:jc w:val="both"/>
        <w:textAlignment w:val="baseline"/>
        <w:rPr>
          <w:rFonts w:ascii="仿宋" w:hAnsi="仿宋" w:eastAsia="仿宋"/>
          <w:b/>
          <w:sz w:val="44"/>
          <w:szCs w:val="44"/>
        </w:rPr>
      </w:pPr>
    </w:p>
    <w:p>
      <w:pPr>
        <w:pStyle w:val="57"/>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二、</w:t>
      </w:r>
      <w:bookmarkEnd w:id="50"/>
      <w:r>
        <w:rPr>
          <w:rFonts w:hint="eastAsia" w:ascii="仿宋" w:hAnsi="仿宋" w:eastAsia="仿宋"/>
          <w:b/>
          <w:sz w:val="44"/>
          <w:szCs w:val="44"/>
        </w:rPr>
        <w:t>公开询价货物一览表</w:t>
      </w:r>
    </w:p>
    <w:p>
      <w:pPr>
        <w:pStyle w:val="17"/>
        <w:adjustRightInd/>
        <w:spacing w:line="500" w:lineRule="exact"/>
        <w:jc w:val="both"/>
        <w:textAlignment w:val="auto"/>
        <w:rPr>
          <w:rFonts w:hint="eastAsia" w:ascii="仿宋" w:hAnsi="仿宋" w:eastAsia="仿宋" w:cs="仿宋"/>
          <w:b/>
          <w:sz w:val="36"/>
          <w:szCs w:val="36"/>
        </w:rPr>
      </w:pPr>
    </w:p>
    <w:tbl>
      <w:tblPr>
        <w:tblStyle w:val="27"/>
        <w:tblW w:w="94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1624"/>
        <w:gridCol w:w="4080"/>
        <w:gridCol w:w="660"/>
        <w:gridCol w:w="540"/>
        <w:gridCol w:w="600"/>
        <w:gridCol w:w="750"/>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序号</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名称</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参数内容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单位</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数量</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单价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总价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钢琴</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颜色：黑色；尺寸：宽148cm、高118cm、深60cm；背柱：等距5根；音板：等厚加强型实木音板；铸铁板：传统翻沙铸铁工艺；琴弦：德国Roslau；榔头：实木榔头（红芯）；黑键：ABS材质；白键：复合木+仿象牙键皮；缓降器：无；漆面：环保树脂漆</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台</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7</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奥尔夫早教彩色纱巾</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60cm*60cm，红色、蓝色、绿色、黄色、紫色等颜色混合购买即可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条</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70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弹力橡胶小篮球</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直径9cm左右，各种颜色图案混合购买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个</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35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广场舞彩带（布制）</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长6M、宽5CM,  红色、蓝色、绿色、黄色、紫色等颜色混合购买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条</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35</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合唱教室台阶（配台阶地毯）</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四排、木质，具体尺寸需现场测量</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组</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6</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箱式13音低音红木琴</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87cm*41cm*42cm，红木色琴片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台</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7</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箱式13音中音红木琴</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65cm*30cm*22cm，红木色琴片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台</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箱式13音高音红木琴</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61cm*25cm*13cm，红木色琴片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台</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9</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乐谱架子</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常规、黑色、可伸缩</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个</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10</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奥尔夫乐器柜</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采用多层实木板，</w:t>
            </w:r>
            <w:bookmarkStart w:id="209" w:name="_GoBack"/>
            <w:bookmarkEnd w:id="209"/>
            <w:r>
              <w:rPr>
                <w:rFonts w:hint="eastAsia" w:ascii="仿宋" w:hAnsi="仿宋" w:eastAsia="仿宋" w:cs="仿宋"/>
                <w:color w:val="000000"/>
                <w:sz w:val="24"/>
                <w:szCs w:val="24"/>
                <w:lang w:val="en-US" w:eastAsia="zh-CN"/>
              </w:rPr>
              <w:t>带锁储物柜，颜色与合唱台阶相近即可。根据墙面买到最大尺寸。柜子的深度50-60cm均可，根据实际情况确定。两个方案：方案一，如果靠门一侧的墙面有墙柱子，则采购两组柜子分别放置于柱子的左右两边；方案二：如果靠门一侧的墙面没有墙柱子，则只需采购一组大的柜子。</w:t>
            </w:r>
          </w:p>
        </w:tc>
        <w:tc>
          <w:tcPr>
            <w:tcW w:w="66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组</w:t>
            </w:r>
          </w:p>
        </w:tc>
        <w:tc>
          <w:tcPr>
            <w:tcW w:w="54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spacing w:after="0" w:line="500" w:lineRule="exact"/>
              <w:jc w:val="left"/>
              <w:textAlignment w:val="baseline"/>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364" w:firstLineChars="152"/>
              <w:jc w:val="left"/>
              <w:textAlignment w:val="baseline"/>
              <w:rPr>
                <w:rFonts w:hint="eastAsia" w:ascii="仿宋" w:hAnsi="仿宋" w:eastAsia="仿宋" w:cs="仿宋"/>
                <w:color w:val="00000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总计</w:t>
            </w:r>
          </w:p>
        </w:tc>
        <w:tc>
          <w:tcPr>
            <w:tcW w:w="73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r>
    </w:tbl>
    <w:p>
      <w:pPr>
        <w:pStyle w:val="57"/>
        <w:spacing w:after="160" w:line="360" w:lineRule="auto"/>
        <w:jc w:val="both"/>
        <w:textAlignment w:val="baseline"/>
        <w:rPr>
          <w:rFonts w:ascii="仿宋" w:hAnsi="仿宋" w:eastAsia="仿宋"/>
          <w:b/>
          <w:sz w:val="30"/>
          <w:szCs w:val="30"/>
        </w:rPr>
      </w:pPr>
      <w:r>
        <w:rPr>
          <w:rFonts w:hint="eastAsia" w:ascii="仿宋" w:hAnsi="仿宋" w:eastAsia="仿宋"/>
          <w:sz w:val="28"/>
          <w:szCs w:val="28"/>
        </w:rPr>
        <w:t>注：</w:t>
      </w:r>
    </w:p>
    <w:p>
      <w:pPr>
        <w:numPr>
          <w:ilvl w:val="0"/>
          <w:numId w:val="3"/>
        </w:numPr>
        <w:spacing w:after="0" w:line="440" w:lineRule="exact"/>
        <w:ind w:left="640" w:leftChars="0" w:firstLineChars="0"/>
        <w:textAlignment w:val="baseline"/>
        <w:rPr>
          <w:rFonts w:ascii="仿宋" w:hAnsi="仿宋" w:eastAsia="仿宋"/>
          <w:bCs/>
          <w:color w:val="000000"/>
          <w:sz w:val="28"/>
          <w:szCs w:val="28"/>
        </w:rPr>
      </w:pPr>
      <w:r>
        <w:rPr>
          <w:rFonts w:hint="eastAsia" w:ascii="仿宋" w:hAnsi="仿宋" w:eastAsia="仿宋"/>
          <w:bCs/>
          <w:color w:val="000000"/>
          <w:sz w:val="28"/>
          <w:szCs w:val="28"/>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cs="仿宋"/>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Cs/>
          <w:color w:val="000000"/>
          <w:sz w:val="28"/>
          <w:szCs w:val="28"/>
        </w:rPr>
        <w:t>。</w:t>
      </w:r>
    </w:p>
    <w:p>
      <w:pPr>
        <w:numPr>
          <w:ilvl w:val="0"/>
          <w:numId w:val="3"/>
        </w:numPr>
        <w:spacing w:after="0" w:line="440" w:lineRule="exact"/>
        <w:ind w:left="640" w:leftChars="0" w:firstLineChars="0"/>
        <w:textAlignment w:val="baseline"/>
        <w:rPr>
          <w:rFonts w:ascii="仿宋" w:hAnsi="仿宋" w:eastAsia="仿宋"/>
          <w:bCs/>
          <w:color w:val="000000"/>
          <w:sz w:val="28"/>
          <w:szCs w:val="28"/>
        </w:rPr>
      </w:pPr>
      <w:r>
        <w:rPr>
          <w:rFonts w:hint="eastAsia" w:ascii="仿宋" w:hAnsi="仿宋" w:eastAsia="仿宋"/>
          <w:bCs/>
          <w:color w:val="000000"/>
          <w:sz w:val="28"/>
          <w:szCs w:val="28"/>
        </w:rPr>
        <w:t>参与人所投商品需要提供品牌、规格型号等真实详细信息，禁止复制采购人所提供的参考参数，确保设备为原厂正品并按原厂提供质保。</w:t>
      </w:r>
    </w:p>
    <w:p>
      <w:pPr>
        <w:numPr>
          <w:ilvl w:val="0"/>
          <w:numId w:val="3"/>
        </w:numPr>
        <w:spacing w:after="0" w:line="440" w:lineRule="exact"/>
        <w:ind w:left="640" w:leftChars="0" w:firstLineChars="0"/>
        <w:textAlignment w:val="baseline"/>
        <w:rPr>
          <w:rFonts w:ascii="仿宋" w:hAnsi="仿宋" w:eastAsia="仿宋"/>
          <w:b/>
          <w:color w:val="000000"/>
          <w:sz w:val="28"/>
          <w:szCs w:val="28"/>
        </w:rPr>
      </w:pPr>
      <w:r>
        <w:rPr>
          <w:rFonts w:hint="eastAsia" w:ascii="仿宋" w:hAnsi="仿宋" w:eastAsia="仿宋"/>
          <w:bCs/>
          <w:color w:val="000000"/>
          <w:sz w:val="28"/>
          <w:szCs w:val="28"/>
        </w:rPr>
        <w:t>参与人所投商品报价应包含税费、运输费、搬运费、整体实施、安装（调试费、售后服务等一切费用，</w:t>
      </w:r>
      <w:r>
        <w:rPr>
          <w:rFonts w:hint="eastAsia" w:ascii="仿宋" w:hAnsi="仿宋" w:eastAsia="仿宋" w:cs="仿宋"/>
          <w:b/>
          <w:sz w:val="28"/>
          <w:szCs w:val="28"/>
        </w:rPr>
        <w:t>供应商务必自行踏勘现场，测算具体工程量，一次性包干，结算时合同价不作调整，</w:t>
      </w:r>
      <w:r>
        <w:rPr>
          <w:rFonts w:hint="eastAsia" w:ascii="仿宋" w:hAnsi="仿宋" w:eastAsia="仿宋"/>
          <w:b/>
          <w:color w:val="000000"/>
          <w:sz w:val="28"/>
          <w:szCs w:val="28"/>
        </w:rPr>
        <w:t>确保为交钥匙工程。</w:t>
      </w:r>
    </w:p>
    <w:p>
      <w:pPr>
        <w:spacing w:after="0" w:line="440" w:lineRule="exact"/>
        <w:textAlignment w:val="baseline"/>
        <w:rPr>
          <w:rFonts w:ascii="仿宋" w:hAnsi="仿宋" w:eastAsia="仿宋"/>
          <w:b/>
          <w:color w:val="000000"/>
          <w:sz w:val="28"/>
          <w:szCs w:val="28"/>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p>
    <w:p>
      <w:pPr>
        <w:pStyle w:val="2"/>
        <w:ind w:left="0" w:leftChars="0" w:firstLine="0" w:firstLineChars="0"/>
        <w:rPr>
          <w:rFonts w:hint="eastAsia" w:ascii="仿宋" w:hAnsi="仿宋" w:eastAsia="仿宋"/>
          <w:b/>
          <w:color w:val="000000"/>
          <w:sz w:val="44"/>
          <w:szCs w:val="44"/>
        </w:rPr>
      </w:pPr>
    </w:p>
    <w:p>
      <w:pPr>
        <w:pStyle w:val="2"/>
        <w:ind w:left="0" w:leftChars="0" w:firstLine="1325" w:firstLineChars="300"/>
        <w:rPr>
          <w:rFonts w:hint="eastAsia" w:ascii="仿宋" w:hAnsi="仿宋" w:eastAsia="仿宋"/>
          <w:b/>
          <w:color w:val="000000"/>
          <w:sz w:val="44"/>
          <w:szCs w:val="44"/>
        </w:rPr>
      </w:pPr>
    </w:p>
    <w:p>
      <w:pPr>
        <w:pStyle w:val="2"/>
        <w:ind w:left="0" w:leftChars="0" w:firstLine="1325" w:firstLineChars="300"/>
        <w:rPr>
          <w:rFonts w:hint="eastAsia" w:ascii="仿宋" w:hAnsi="仿宋" w:eastAsia="仿宋"/>
          <w:b/>
          <w:color w:val="000000"/>
          <w:sz w:val="44"/>
          <w:szCs w:val="44"/>
        </w:rPr>
      </w:pPr>
    </w:p>
    <w:p>
      <w:pPr>
        <w:pStyle w:val="2"/>
        <w:ind w:left="0" w:leftChars="0" w:firstLine="1325" w:firstLineChars="300"/>
        <w:rPr>
          <w:rFonts w:hint="eastAsia" w:ascii="仿宋" w:hAnsi="仿宋" w:eastAsia="仿宋"/>
          <w:b/>
          <w:color w:val="000000"/>
          <w:sz w:val="44"/>
          <w:szCs w:val="44"/>
        </w:rPr>
      </w:pPr>
    </w:p>
    <w:p>
      <w:pPr>
        <w:pStyle w:val="2"/>
        <w:ind w:left="0" w:leftChars="0" w:firstLine="840" w:firstLineChars="300"/>
        <w:rPr>
          <w:rFonts w:ascii="仿宋" w:hAnsi="仿宋" w:eastAsia="仿宋"/>
          <w:b/>
          <w:color w:val="000000"/>
          <w:sz w:val="44"/>
          <w:szCs w:val="44"/>
        </w:rPr>
      </w:pPr>
      <w:r>
        <w:drawing>
          <wp:anchor distT="0" distB="0" distL="114300" distR="114300" simplePos="0" relativeHeight="251661312" behindDoc="0" locked="0" layoutInCell="1" allowOverlap="1">
            <wp:simplePos x="0" y="0"/>
            <wp:positionH relativeFrom="column">
              <wp:posOffset>1546225</wp:posOffset>
            </wp:positionH>
            <wp:positionV relativeFrom="page">
              <wp:posOffset>786130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r>
        <w:rPr>
          <w:rFonts w:hint="eastAsia" w:ascii="仿宋" w:hAnsi="仿宋" w:eastAsia="仿宋"/>
          <w:b/>
          <w:color w:val="000000"/>
          <w:sz w:val="44"/>
          <w:szCs w:val="44"/>
        </w:rPr>
        <w:t>江西科技学院关于</w:t>
      </w:r>
      <w:r>
        <w:rPr>
          <w:rFonts w:hint="eastAsia" w:ascii="仿宋" w:hAnsi="仿宋" w:eastAsia="仿宋"/>
          <w:b/>
          <w:color w:val="000000"/>
          <w:sz w:val="44"/>
          <w:szCs w:val="44"/>
          <w:lang w:val="en-US" w:eastAsia="zh-CN"/>
        </w:rPr>
        <w:t>合唱教室</w:t>
      </w:r>
      <w:r>
        <w:rPr>
          <w:rFonts w:hint="eastAsia" w:ascii="仿宋" w:hAnsi="仿宋" w:eastAsia="仿宋"/>
          <w:b/>
          <w:color w:val="000000"/>
          <w:sz w:val="44"/>
          <w:szCs w:val="44"/>
        </w:rPr>
        <w:t>采购项目</w:t>
      </w:r>
    </w:p>
    <w:p>
      <w:pPr>
        <w:spacing w:line="580" w:lineRule="exact"/>
        <w:jc w:val="center"/>
        <w:textAlignment w:val="baseline"/>
        <w:rPr>
          <w:rFonts w:ascii="仿宋" w:hAnsi="仿宋" w:eastAsia="仿宋"/>
          <w:b/>
          <w:color w:val="000000"/>
          <w:sz w:val="52"/>
          <w:szCs w:val="52"/>
        </w:rPr>
      </w:pP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报</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价</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响</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应</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文</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件</w:t>
      </w:r>
    </w:p>
    <w:p>
      <w:pPr>
        <w:spacing w:line="580" w:lineRule="exact"/>
        <w:jc w:val="center"/>
        <w:textAlignment w:val="baseline"/>
        <w:rPr>
          <w:rFonts w:ascii="仿宋" w:hAnsi="仿宋" w:eastAsia="仿宋"/>
          <w:b/>
          <w:color w:val="000000"/>
          <w:sz w:val="72"/>
          <w:szCs w:val="72"/>
        </w:rPr>
      </w:pP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参与人名称（公司全称）：</w:t>
      </w:r>
      <w:r>
        <w:rPr>
          <w:rFonts w:ascii="仿宋" w:hAnsi="仿宋" w:eastAsia="仿宋"/>
          <w:b/>
          <w:color w:val="000000"/>
          <w:sz w:val="30"/>
          <w:szCs w:val="30"/>
        </w:rPr>
        <w:t>XXXX</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参与人授权代表：X</w:t>
      </w:r>
      <w:r>
        <w:rPr>
          <w:rFonts w:ascii="仿宋" w:hAnsi="仿宋" w:eastAsia="仿宋"/>
          <w:b/>
          <w:color w:val="000000"/>
          <w:sz w:val="30"/>
          <w:szCs w:val="30"/>
        </w:rPr>
        <w:t>XXX</w:t>
      </w:r>
    </w:p>
    <w:p>
      <w:pPr>
        <w:jc w:val="center"/>
        <w:textAlignment w:val="baseline"/>
        <w:rPr>
          <w:rFonts w:ascii="仿宋" w:hAnsi="仿宋" w:eastAsia="仿宋"/>
          <w:b/>
          <w:color w:val="000000"/>
          <w:sz w:val="36"/>
          <w:szCs w:val="36"/>
        </w:rPr>
      </w:pPr>
    </w:p>
    <w:p>
      <w:pPr>
        <w:jc w:val="both"/>
        <w:textAlignment w:val="baseline"/>
        <w:rPr>
          <w:rFonts w:ascii="仿宋" w:hAnsi="仿宋" w:eastAsia="仿宋"/>
          <w:b/>
          <w:bCs/>
          <w:color w:val="000000"/>
          <w:sz w:val="30"/>
          <w:szCs w:val="30"/>
        </w:rPr>
      </w:pPr>
    </w:p>
    <w:p>
      <w:pPr>
        <w:pStyle w:val="14"/>
        <w:textAlignment w:val="baseline"/>
      </w:pPr>
    </w:p>
    <w:p>
      <w:pPr>
        <w:textAlignment w:val="baseline"/>
        <w:rPr>
          <w:rFonts w:ascii="仿宋" w:hAnsi="仿宋" w:eastAsia="仿宋"/>
          <w:b/>
          <w:bCs/>
          <w:color w:val="000000"/>
          <w:sz w:val="30"/>
          <w:szCs w:val="30"/>
        </w:rPr>
      </w:pPr>
    </w:p>
    <w:p>
      <w:pPr>
        <w:jc w:val="center"/>
        <w:textAlignment w:val="baseline"/>
        <w:rPr>
          <w:rFonts w:ascii="仿宋" w:hAnsi="仿宋" w:eastAsia="仿宋"/>
          <w:b/>
          <w:bCs/>
          <w:color w:val="000000"/>
          <w:sz w:val="30"/>
          <w:szCs w:val="30"/>
        </w:rPr>
      </w:pPr>
      <w:r>
        <w:rPr>
          <w:rFonts w:hint="eastAsia" w:ascii="仿宋" w:hAnsi="仿宋" w:eastAsia="仿宋"/>
          <w:b/>
          <w:bCs/>
          <w:color w:val="000000"/>
          <w:sz w:val="30"/>
          <w:szCs w:val="30"/>
        </w:rPr>
        <w:t>此封面应作为报价响应文件封面</w:t>
      </w:r>
    </w:p>
    <w:p>
      <w:pPr>
        <w:textAlignment w:val="baseline"/>
        <w:rPr>
          <w:rFonts w:ascii="仿宋" w:hAnsi="仿宋" w:eastAsia="仿宋"/>
          <w:b/>
          <w:bCs/>
          <w:color w:val="000000"/>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ind w:firstLine="3654" w:firstLineChars="1300"/>
        <w:jc w:val="both"/>
        <w:textAlignment w:val="baseline"/>
        <w:rPr>
          <w:rFonts w:ascii="仿宋" w:hAnsi="仿宋" w:eastAsia="仿宋" w:cs="仿宋"/>
          <w:b/>
          <w:bCs/>
          <w:color w:val="000000"/>
          <w:sz w:val="28"/>
          <w:szCs w:val="28"/>
        </w:rPr>
      </w:pPr>
      <w:bookmarkStart w:id="52" w:name="_Toc191803626"/>
      <w:bookmarkStart w:id="53" w:name="_Toc251586231"/>
      <w:bookmarkStart w:id="54" w:name="_Toc267060321"/>
      <w:bookmarkStart w:id="55" w:name="_Toc177985469"/>
      <w:bookmarkStart w:id="56" w:name="_Toc254790899"/>
      <w:bookmarkStart w:id="57" w:name="_Toc193165734"/>
      <w:bookmarkStart w:id="58" w:name="_Toc223146608"/>
      <w:bookmarkStart w:id="59" w:name="_Toc217891402"/>
      <w:bookmarkStart w:id="60" w:name="_Toc267059653"/>
      <w:bookmarkStart w:id="61" w:name="_Toc227058530"/>
      <w:bookmarkStart w:id="62" w:name="_Toc235438344"/>
      <w:bookmarkStart w:id="63" w:name="_Toc193160448"/>
      <w:bookmarkStart w:id="64" w:name="_Toc267059806"/>
      <w:bookmarkStart w:id="65" w:name="_Toc267059539"/>
      <w:bookmarkStart w:id="66" w:name="_Toc230071147"/>
      <w:bookmarkStart w:id="67" w:name="_Toc160880160"/>
      <w:bookmarkStart w:id="68" w:name="_Toc169332838"/>
      <w:bookmarkStart w:id="69" w:name="_Toc235437991"/>
      <w:bookmarkStart w:id="70" w:name="_Toc213208766"/>
      <w:bookmarkStart w:id="71" w:name="_Toc213755858"/>
      <w:bookmarkStart w:id="72" w:name="_Toc258401256"/>
      <w:bookmarkStart w:id="73" w:name="_Toc160880529"/>
      <w:bookmarkStart w:id="74" w:name="_Toc251613829"/>
      <w:bookmarkStart w:id="75" w:name="_Toc235438274"/>
      <w:bookmarkStart w:id="76" w:name="_Toc191802690"/>
      <w:bookmarkStart w:id="77" w:name="_Toc219800243"/>
      <w:bookmarkStart w:id="78" w:name="_Toc225669322"/>
      <w:bookmarkStart w:id="79" w:name="_Toc267060068"/>
      <w:bookmarkStart w:id="80" w:name="_Toc211917116"/>
      <w:bookmarkStart w:id="81" w:name="_Toc267060453"/>
      <w:bookmarkStart w:id="82" w:name="_Toc213755939"/>
      <w:bookmarkStart w:id="83" w:name="_Toc203355733"/>
      <w:bookmarkStart w:id="84" w:name="_Toc259692740"/>
      <w:bookmarkStart w:id="85" w:name="_Toc181436565"/>
      <w:bookmarkStart w:id="86" w:name="_Toc213755995"/>
      <w:bookmarkStart w:id="87" w:name="_Toc180302913"/>
      <w:bookmarkStart w:id="88" w:name="_Toc266868937"/>
      <w:bookmarkStart w:id="89" w:name="_Toc249325711"/>
      <w:bookmarkStart w:id="90" w:name="_Toc273178698"/>
      <w:bookmarkStart w:id="91" w:name="_Toc192996446"/>
      <w:bookmarkStart w:id="92" w:name="_Toc192663686"/>
      <w:bookmarkStart w:id="93" w:name="_Toc181436461"/>
      <w:bookmarkStart w:id="94" w:name="_Toc266870907"/>
      <w:bookmarkStart w:id="95" w:name="_Toc191783222"/>
      <w:bookmarkStart w:id="96" w:name="_Toc182805217"/>
      <w:bookmarkStart w:id="97" w:name="_Toc182372782"/>
      <w:bookmarkStart w:id="98" w:name="_Toc267059030"/>
      <w:bookmarkStart w:id="99" w:name="_Toc169332949"/>
      <w:bookmarkStart w:id="100" w:name="_Toc266870833"/>
      <w:bookmarkStart w:id="101" w:name="_Toc267060208"/>
      <w:bookmarkStart w:id="102" w:name="_Toc255975007"/>
      <w:bookmarkStart w:id="103" w:name="_Toc267059919"/>
      <w:bookmarkStart w:id="104" w:name="_Toc267059181"/>
      <w:bookmarkStart w:id="105" w:name="_Toc259520865"/>
      <w:bookmarkStart w:id="106" w:name="_Toc266868670"/>
      <w:bookmarkStart w:id="107" w:name="_Toc170798793"/>
      <w:bookmarkStart w:id="108" w:name="_Toc259692647"/>
      <w:bookmarkStart w:id="109" w:name="_Toc266870432"/>
      <w:bookmarkStart w:id="110" w:name="_Toc213756051"/>
      <w:bookmarkStart w:id="111" w:name="_Toc236021449"/>
      <w:bookmarkStart w:id="112" w:name="_Toc191789329"/>
      <w:bookmarkStart w:id="113" w:name="_Toc192664153"/>
      <w:bookmarkStart w:id="114" w:name="_Toc192996338"/>
      <w:bookmarkStart w:id="115" w:name="_Toc253066614"/>
      <w:bookmarkStart w:id="116" w:name="_Toc232302115"/>
      <w:bookmarkStart w:id="117" w:name="_Toc192663835"/>
      <w:r>
        <w:rPr>
          <w:rFonts w:hint="eastAsia" w:ascii="仿宋" w:hAnsi="仿宋" w:eastAsia="仿宋" w:cs="仿宋"/>
          <w:b/>
          <w:bCs/>
          <w:color w:val="000000"/>
          <w:sz w:val="28"/>
          <w:szCs w:val="28"/>
        </w:rPr>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hAnsi="仿宋" w:eastAsia="仿宋" w:cs="仿宋"/>
          <w:b/>
          <w:bCs/>
          <w:color w:val="000000"/>
          <w:sz w:val="28"/>
          <w:szCs w:val="28"/>
        </w:rPr>
        <w:t>询价响应函</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致：XXX学校</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根据贵学校编号为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项目名称为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的公开询价邀请，本签字代表</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（全名、职务）正式授权并代表我方</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（参与人公司名称）提交下述文件。</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(1) 报价一览表</w:t>
      </w:r>
    </w:p>
    <w:p>
      <w:pPr>
        <w:spacing w:after="0" w:line="480" w:lineRule="exact"/>
        <w:ind w:firstLine="425" w:firstLineChars="152"/>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(2) 参与人资质证明</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据此函，签字代表宣布同意如下：</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1.所附详细报价表中规定的应提供和交付的货物及服务报价总价（国内现场交货价）为人民币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，即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（中文表述），交货期为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天 。</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2.同意参加本项目的报价，并已详细审查全部公开询价文件，包括修改文件（如有的话）和有关附件，将自行承担因对全部询价文件理解不正确或误解而产生的相应后果。</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3.保证遵守公开询价文件的全部规定，所提交的材料中所含的信息均为真实、准确、完整，且不具有任何误导性。</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4.同意按公开询价文件的规定履行合同责任和义务。</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5.同意提供按照贵方可能要求的与其公开询价有关的一切数据或资料</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textAlignment w:val="baseline"/>
        <w:rPr>
          <w:rFonts w:ascii="仿宋" w:hAnsi="仿宋" w:eastAsia="仿宋" w:cs="仿宋"/>
          <w:color w:val="000000"/>
          <w:sz w:val="28"/>
          <w:szCs w:val="28"/>
        </w:rPr>
      </w:pP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w:t>
      </w: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参与人（公司全称并加盖公章）：</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参与人授权代表签字： </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电  话：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（手机号码）</w:t>
      </w:r>
    </w:p>
    <w:p>
      <w:pPr>
        <w:pStyle w:val="62"/>
        <w:snapToGrid w:val="0"/>
        <w:spacing w:line="480" w:lineRule="exact"/>
        <w:ind w:firstLine="560" w:firstLineChars="200"/>
        <w:jc w:val="left"/>
        <w:textAlignment w:val="baseline"/>
        <w:rPr>
          <w:rFonts w:hint="eastAsia" w:ascii="仿宋" w:hAnsi="仿宋" w:eastAsia="仿宋" w:cs="仿宋"/>
          <w:color w:val="000000"/>
          <w:szCs w:val="28"/>
        </w:rPr>
      </w:pPr>
      <w:r>
        <w:rPr>
          <w:rFonts w:hint="eastAsia" w:ascii="仿宋" w:hAnsi="仿宋" w:eastAsia="仿宋" w:cs="仿宋"/>
          <w:color w:val="000000"/>
          <w:szCs w:val="28"/>
        </w:rPr>
        <w:t xml:space="preserve">日  期：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年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月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日</w:t>
      </w:r>
    </w:p>
    <w:p>
      <w:pPr>
        <w:pStyle w:val="62"/>
        <w:snapToGrid w:val="0"/>
        <w:spacing w:line="480" w:lineRule="exact"/>
        <w:ind w:firstLine="560" w:firstLineChars="200"/>
        <w:jc w:val="left"/>
        <w:textAlignment w:val="baseline"/>
        <w:rPr>
          <w:rFonts w:hint="eastAsia" w:ascii="仿宋" w:hAnsi="仿宋" w:eastAsia="仿宋" w:cs="仿宋"/>
          <w:color w:val="000000"/>
          <w:szCs w:val="28"/>
        </w:rPr>
      </w:pPr>
    </w:p>
    <w:p>
      <w:pPr>
        <w:numPr>
          <w:ilvl w:val="0"/>
          <w:numId w:val="4"/>
        </w:numPr>
        <w:spacing w:line="380" w:lineRule="exact"/>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报价一览表</w:t>
      </w:r>
    </w:p>
    <w:tbl>
      <w:tblPr>
        <w:tblStyle w:val="27"/>
        <w:tblW w:w="9736" w:type="dxa"/>
        <w:jc w:val="center"/>
        <w:tblLayout w:type="fixed"/>
        <w:tblCellMar>
          <w:top w:w="0" w:type="dxa"/>
          <w:left w:w="108" w:type="dxa"/>
          <w:bottom w:w="0" w:type="dxa"/>
          <w:right w:w="108" w:type="dxa"/>
        </w:tblCellMar>
      </w:tblPr>
      <w:tblGrid>
        <w:gridCol w:w="456"/>
        <w:gridCol w:w="1615"/>
        <w:gridCol w:w="1526"/>
        <w:gridCol w:w="774"/>
        <w:gridCol w:w="822"/>
        <w:gridCol w:w="837"/>
        <w:gridCol w:w="837"/>
        <w:gridCol w:w="837"/>
        <w:gridCol w:w="2032"/>
      </w:tblGrid>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物品名称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规格参数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lang w:bidi="ar"/>
              </w:rPr>
            </w:pPr>
            <w:r>
              <w:rPr>
                <w:rFonts w:hint="eastAsia" w:ascii="仿宋" w:hAnsi="仿宋" w:eastAsia="仿宋" w:cs="仿宋"/>
                <w:color w:val="000000"/>
                <w:sz w:val="24"/>
                <w:szCs w:val="24"/>
                <w:lang w:bidi="ar"/>
              </w:rPr>
              <w:t>品牌</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总价</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备注</w:t>
            </w: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r>
      <w:tr>
        <w:tblPrEx>
          <w:tblCellMar>
            <w:top w:w="0" w:type="dxa"/>
            <w:left w:w="108" w:type="dxa"/>
            <w:bottom w:w="0" w:type="dxa"/>
            <w:right w:w="108" w:type="dxa"/>
          </w:tblCellMar>
        </w:tblPrEx>
        <w:trPr>
          <w:trHeight w:val="422" w:hRule="atLeast"/>
          <w:jc w:val="center"/>
        </w:trPr>
        <w:tc>
          <w:tcPr>
            <w:tcW w:w="6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合计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r>
    </w:tbl>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w:t>
      </w:r>
      <w:r>
        <w:rPr>
          <w:rFonts w:hint="eastAsia" w:ascii="仿宋" w:hAnsi="仿宋" w:eastAsia="仿宋" w:cs="仿宋"/>
          <w:color w:val="000000"/>
          <w:sz w:val="28"/>
          <w:szCs w:val="28"/>
          <w:lang w:val="zh-CN"/>
        </w:rPr>
        <w:t>（公司全称并加盖公章）</w:t>
      </w:r>
      <w:r>
        <w:rPr>
          <w:rFonts w:hint="eastAsia" w:ascii="仿宋" w:hAnsi="仿宋" w:eastAsia="仿宋" w:cs="仿宋"/>
          <w:color w:val="000000"/>
          <w:sz w:val="28"/>
          <w:szCs w:val="28"/>
        </w:rPr>
        <w:t>项目编号：</w:t>
      </w: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货币单位：</w:t>
      </w:r>
    </w:p>
    <w:p>
      <w:pPr>
        <w:spacing w:line="380" w:lineRule="exact"/>
        <w:ind w:left="147" w:leftChars="67"/>
        <w:textAlignment w:val="baseline"/>
        <w:rPr>
          <w:rFonts w:ascii="仿宋" w:hAnsi="仿宋" w:eastAsia="仿宋" w:cs="仿宋"/>
          <w:color w:val="000000"/>
          <w:sz w:val="28"/>
          <w:szCs w:val="28"/>
        </w:rPr>
      </w:pP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注：1.如果按单价计算的结果与总价不一致,以单价为准修正总价。</w:t>
      </w:r>
    </w:p>
    <w:p>
      <w:pPr>
        <w:spacing w:line="380" w:lineRule="exact"/>
        <w:ind w:left="147" w:leftChars="67"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2.如果不提供详细参数和报价将视为没有实质性响应公开询价文件。</w:t>
      </w:r>
    </w:p>
    <w:p>
      <w:pPr>
        <w:spacing w:after="0" w:line="300" w:lineRule="exact"/>
        <w:ind w:firstLine="560" w:firstLineChars="200"/>
        <w:textAlignment w:val="baseline"/>
        <w:rPr>
          <w:rFonts w:ascii="仿宋" w:hAnsi="仿宋" w:eastAsia="仿宋" w:cs="仿宋"/>
          <w:color w:val="000000"/>
          <w:sz w:val="28"/>
          <w:szCs w:val="28"/>
          <w:lang w:val="zh-CN"/>
        </w:rPr>
      </w:pPr>
    </w:p>
    <w:p>
      <w:pPr>
        <w:spacing w:line="380" w:lineRule="exact"/>
        <w:textAlignment w:val="baseline"/>
        <w:rPr>
          <w:rFonts w:ascii="仿宋" w:hAnsi="仿宋" w:eastAsia="仿宋" w:cs="仿宋"/>
          <w:color w:val="000000"/>
          <w:sz w:val="28"/>
          <w:szCs w:val="28"/>
          <w:lang w:val="zh-CN"/>
        </w:rPr>
      </w:pPr>
    </w:p>
    <w:p>
      <w:pPr>
        <w:spacing w:line="360" w:lineRule="auto"/>
        <w:ind w:right="960"/>
        <w:jc w:val="right"/>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参与人授权代表（签字或盖章）：</w:t>
      </w:r>
    </w:p>
    <w:p>
      <w:pPr>
        <w:spacing w:line="380" w:lineRule="exact"/>
        <w:ind w:right="1120" w:firstLine="4200" w:firstLineChars="1500"/>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日 期：</w:t>
      </w:r>
      <w:bookmarkStart w:id="118" w:name="_Toc232302122"/>
      <w:bookmarkStart w:id="119" w:name="_Toc177985474"/>
      <w:bookmarkStart w:id="120" w:name="_Toc259692656"/>
      <w:bookmarkStart w:id="121" w:name="_Toc266870839"/>
      <w:bookmarkStart w:id="122" w:name="_Toc251613839"/>
      <w:bookmarkStart w:id="123" w:name="_Toc160880165"/>
      <w:bookmarkStart w:id="124" w:name="_Toc225669328"/>
      <w:bookmarkStart w:id="125" w:name="_Toc267059811"/>
      <w:bookmarkStart w:id="126" w:name="_Toc223146614"/>
      <w:bookmarkStart w:id="127" w:name="_Toc169332843"/>
      <w:bookmarkStart w:id="128" w:name="_Toc192664158"/>
      <w:bookmarkStart w:id="129" w:name="_Toc249325720"/>
      <w:bookmarkStart w:id="130" w:name="_Toc235438352"/>
      <w:bookmarkStart w:id="131" w:name="_Toc267059924"/>
      <w:bookmarkStart w:id="132" w:name="_Toc251586241"/>
      <w:bookmarkStart w:id="133" w:name="_Toc193165739"/>
      <w:bookmarkStart w:id="134" w:name="_Toc267060076"/>
      <w:bookmarkStart w:id="135" w:name="_Toc267060216"/>
      <w:bookmarkStart w:id="136" w:name="_Toc267060326"/>
      <w:bookmarkStart w:id="137" w:name="_Toc180302918"/>
      <w:bookmarkStart w:id="138" w:name="_Toc230071153"/>
      <w:bookmarkStart w:id="139" w:name="_Toc266868679"/>
      <w:bookmarkStart w:id="140" w:name="_Toc254790909"/>
      <w:bookmarkStart w:id="141" w:name="_Toc253066624"/>
      <w:bookmarkStart w:id="142" w:name="_Toc259520874"/>
      <w:bookmarkStart w:id="143" w:name="_Toc160880534"/>
      <w:bookmarkStart w:id="144" w:name="_Toc192663691"/>
      <w:bookmarkStart w:id="145" w:name="_Toc235438281"/>
      <w:bookmarkStart w:id="146" w:name="_Toc213208771"/>
      <w:bookmarkStart w:id="147" w:name="_Toc227058536"/>
      <w:bookmarkStart w:id="148" w:name="_Toc258401265"/>
      <w:bookmarkStart w:id="149" w:name="_Toc255975016"/>
      <w:bookmarkStart w:id="150" w:name="_Toc213755945"/>
      <w:bookmarkStart w:id="151" w:name="_Toc193160453"/>
      <w:bookmarkStart w:id="152" w:name="_Toc213756001"/>
      <w:bookmarkStart w:id="153" w:name="_Toc181436466"/>
      <w:bookmarkStart w:id="154" w:name="_Toc267060461"/>
      <w:bookmarkStart w:id="155" w:name="_Toc191789334"/>
      <w:bookmarkStart w:id="156" w:name="_Toc182805222"/>
      <w:bookmarkStart w:id="157" w:name="_Toc191803631"/>
      <w:bookmarkStart w:id="158" w:name="_Toc169332954"/>
      <w:bookmarkStart w:id="159" w:name="_Toc266870916"/>
      <w:bookmarkStart w:id="160" w:name="_Toc259692749"/>
      <w:bookmarkStart w:id="161" w:name="_Toc213756057"/>
      <w:bookmarkStart w:id="162" w:name="_Toc182372787"/>
      <w:bookmarkStart w:id="163" w:name="_Toc267059186"/>
      <w:bookmarkStart w:id="164" w:name="_Toc213755864"/>
      <w:bookmarkStart w:id="165" w:name="_Toc266870441"/>
      <w:bookmarkStart w:id="166" w:name="_Toc170798798"/>
      <w:bookmarkStart w:id="167" w:name="_Toc211917121"/>
      <w:bookmarkStart w:id="168" w:name="_Toc267059658"/>
      <w:bookmarkStart w:id="169" w:name="_Toc192996343"/>
      <w:bookmarkStart w:id="170" w:name="_Toc181436570"/>
      <w:bookmarkStart w:id="171" w:name="_Toc267059035"/>
      <w:bookmarkStart w:id="172" w:name="_Toc219800249"/>
      <w:bookmarkStart w:id="173" w:name="_Toc235437998"/>
      <w:bookmarkStart w:id="174" w:name="_Toc192663840"/>
      <w:bookmarkStart w:id="175" w:name="_Toc267059544"/>
      <w:bookmarkStart w:id="176" w:name="_Toc203355738"/>
      <w:bookmarkStart w:id="177" w:name="_Toc191802695"/>
      <w:bookmarkStart w:id="178" w:name="_Toc217891408"/>
      <w:bookmarkStart w:id="179" w:name="_Toc236021457"/>
      <w:bookmarkStart w:id="180" w:name="_Toc273178703"/>
      <w:bookmarkStart w:id="181" w:name="_Toc266868943"/>
      <w:bookmarkStart w:id="182" w:name="_Toc191783227"/>
      <w:bookmarkStart w:id="183" w:name="_Toc192996451"/>
    </w:p>
    <w:p>
      <w:pPr>
        <w:jc w:val="center"/>
        <w:textAlignment w:val="baseline"/>
        <w:rPr>
          <w:rFonts w:ascii="仿宋" w:hAnsi="仿宋" w:eastAsia="仿宋" w:cs="仿宋"/>
          <w:b/>
          <w:bCs/>
          <w:color w:val="000000"/>
          <w:sz w:val="28"/>
          <w:szCs w:val="28"/>
        </w:rPr>
      </w:pPr>
      <w:bookmarkStart w:id="184" w:name="_Toc251586243"/>
      <w:bookmarkStart w:id="185" w:name="_Toc219800251"/>
      <w:bookmarkStart w:id="186" w:name="_Toc217891410"/>
      <w:bookmarkStart w:id="187" w:name="_Toc251613841"/>
      <w:bookmarkStart w:id="188" w:name="_Toc235438354"/>
      <w:bookmarkStart w:id="189" w:name="_Toc235438283"/>
      <w:bookmarkStart w:id="190" w:name="_Toc254790911"/>
      <w:bookmarkStart w:id="191" w:name="_Toc236021459"/>
      <w:bookmarkStart w:id="192" w:name="_Toc235438000"/>
      <w:bookmarkStart w:id="193" w:name="_Toc258401267"/>
      <w:bookmarkStart w:id="194" w:name="_Toc223146616"/>
      <w:bookmarkStart w:id="195" w:name="_Toc259520876"/>
      <w:bookmarkStart w:id="196" w:name="_Toc232302124"/>
      <w:bookmarkStart w:id="197" w:name="_Toc259692751"/>
      <w:bookmarkStart w:id="198" w:name="_Toc230071155"/>
      <w:bookmarkStart w:id="199" w:name="_Toc255975018"/>
      <w:bookmarkStart w:id="200" w:name="_Toc225669330"/>
      <w:bookmarkStart w:id="201" w:name="_Toc266870918"/>
      <w:bookmarkStart w:id="202" w:name="_Toc253066626"/>
      <w:bookmarkStart w:id="203" w:name="_Toc259692658"/>
      <w:bookmarkStart w:id="204" w:name="_Toc249325722"/>
      <w:bookmarkStart w:id="205" w:name="_Toc227058538"/>
      <w:bookmarkStart w:id="206" w:name="_Toc266870443"/>
      <w:bookmarkStart w:id="207" w:name="_Toc213756059"/>
      <w:bookmarkStart w:id="208" w:name="_Toc266868681"/>
    </w:p>
    <w:p>
      <w:pPr>
        <w:jc w:val="center"/>
        <w:textAlignment w:val="baseline"/>
        <w:rPr>
          <w:rFonts w:ascii="仿宋" w:hAnsi="仿宋" w:eastAsia="仿宋" w:cs="仿宋"/>
          <w:b/>
          <w:bCs/>
          <w:color w:val="000000"/>
          <w:sz w:val="28"/>
          <w:szCs w:val="28"/>
        </w:rPr>
      </w:pPr>
    </w:p>
    <w:p>
      <w:pPr>
        <w:pStyle w:val="14"/>
        <w:textAlignment w:val="baseline"/>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3、参与人资质材料</w:t>
      </w:r>
    </w:p>
    <w:p>
      <w:pPr>
        <w:pStyle w:val="45"/>
        <w:spacing w:after="160" w:line="252" w:lineRule="auto"/>
        <w:textAlignment w:val="baseline"/>
        <w:rPr>
          <w:rFonts w:ascii="仿宋" w:hAnsi="仿宋" w:eastAsia="仿宋" w:cs="仿宋"/>
          <w:color w:val="000000"/>
          <w:sz w:val="28"/>
          <w:szCs w:val="28"/>
        </w:rPr>
      </w:pPr>
    </w:p>
    <w:p>
      <w:pPr>
        <w:spacing w:after="0" w:line="50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参与人需要提供以下材料：</w:t>
      </w:r>
    </w:p>
    <w:p>
      <w:pPr>
        <w:pStyle w:val="60"/>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营业执照复印件</w:t>
      </w:r>
    </w:p>
    <w:p>
      <w:pPr>
        <w:pStyle w:val="60"/>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授权经销商或代理商证明材料复印件</w:t>
      </w:r>
    </w:p>
    <w:p>
      <w:pPr>
        <w:pStyle w:val="60"/>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质保期和售后服务承诺书（参与人自行起草）</w:t>
      </w:r>
    </w:p>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b/>
          <w:bCs/>
          <w:sz w:val="24"/>
          <w:szCs w:val="24"/>
        </w:rPr>
      </w:pPr>
      <w:r>
        <w:rPr>
          <w:rFonts w:hint="eastAsia" w:ascii="仿宋" w:hAnsi="仿宋" w:eastAsia="仿宋" w:cs="仿宋"/>
          <w:b/>
          <w:bCs/>
          <w:color w:val="000000"/>
          <w:sz w:val="28"/>
          <w:szCs w:val="28"/>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9"/>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drawing>
        <wp:anchor distT="0" distB="0" distL="114300" distR="114300" simplePos="0" relativeHeight="251660288"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83AFA"/>
    <w:multiLevelType w:val="singleLevel"/>
    <w:tmpl w:val="1FA83AFA"/>
    <w:lvl w:ilvl="0" w:tentative="0">
      <w:start w:val="1"/>
      <w:numFmt w:val="decimal"/>
      <w:suff w:val="nothing"/>
      <w:lvlText w:val="%1、"/>
      <w:lvlJc w:val="left"/>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44"/>
        </w:tabs>
        <w:ind w:left="844"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7595E0A"/>
    <w:multiLevelType w:val="multilevel"/>
    <w:tmpl w:val="77595E0A"/>
    <w:lvl w:ilvl="0" w:tentative="0">
      <w:start w:val="1"/>
      <w:numFmt w:val="decimal"/>
      <w:lvlText w:val="%1)"/>
      <w:lvlJc w:val="left"/>
      <w:pPr>
        <w:ind w:left="640" w:hanging="420"/>
      </w:pPr>
      <w:rPr>
        <w:rFonts w:hint="default"/>
      </w:r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jhjNDUxOWQ5MGYzMGYyNDQ4MWMwZjYwZDNlMjMifQ=="/>
  </w:docVars>
  <w:rsids>
    <w:rsidRoot w:val="00172A27"/>
    <w:rsid w:val="000044AD"/>
    <w:rsid w:val="0000490C"/>
    <w:rsid w:val="00004A19"/>
    <w:rsid w:val="0000733E"/>
    <w:rsid w:val="00010B96"/>
    <w:rsid w:val="00017266"/>
    <w:rsid w:val="00023332"/>
    <w:rsid w:val="00026317"/>
    <w:rsid w:val="00026806"/>
    <w:rsid w:val="0002731B"/>
    <w:rsid w:val="00031D61"/>
    <w:rsid w:val="00041909"/>
    <w:rsid w:val="000569E1"/>
    <w:rsid w:val="00064E4D"/>
    <w:rsid w:val="00070A6D"/>
    <w:rsid w:val="0007244C"/>
    <w:rsid w:val="0007493D"/>
    <w:rsid w:val="00074B20"/>
    <w:rsid w:val="00082572"/>
    <w:rsid w:val="000829E7"/>
    <w:rsid w:val="00087496"/>
    <w:rsid w:val="00090EE4"/>
    <w:rsid w:val="00091346"/>
    <w:rsid w:val="00092390"/>
    <w:rsid w:val="00092509"/>
    <w:rsid w:val="000934D4"/>
    <w:rsid w:val="000940AF"/>
    <w:rsid w:val="00096B8B"/>
    <w:rsid w:val="000A06E4"/>
    <w:rsid w:val="000A18C2"/>
    <w:rsid w:val="000A482E"/>
    <w:rsid w:val="000B3964"/>
    <w:rsid w:val="000C09AE"/>
    <w:rsid w:val="000D4D71"/>
    <w:rsid w:val="000D4FB9"/>
    <w:rsid w:val="000E703B"/>
    <w:rsid w:val="000F37DD"/>
    <w:rsid w:val="000F4F45"/>
    <w:rsid w:val="00100592"/>
    <w:rsid w:val="00101756"/>
    <w:rsid w:val="00112269"/>
    <w:rsid w:val="00114B89"/>
    <w:rsid w:val="00115200"/>
    <w:rsid w:val="00122C32"/>
    <w:rsid w:val="0012724D"/>
    <w:rsid w:val="0013118F"/>
    <w:rsid w:val="001331A0"/>
    <w:rsid w:val="00146B60"/>
    <w:rsid w:val="00147E05"/>
    <w:rsid w:val="001561E9"/>
    <w:rsid w:val="0016249C"/>
    <w:rsid w:val="00163B53"/>
    <w:rsid w:val="00163C9A"/>
    <w:rsid w:val="00164FF1"/>
    <w:rsid w:val="00172A27"/>
    <w:rsid w:val="00176CD4"/>
    <w:rsid w:val="00182C6E"/>
    <w:rsid w:val="00191234"/>
    <w:rsid w:val="00193B3E"/>
    <w:rsid w:val="001975A8"/>
    <w:rsid w:val="001A06A4"/>
    <w:rsid w:val="001A5B43"/>
    <w:rsid w:val="001B1737"/>
    <w:rsid w:val="001B2557"/>
    <w:rsid w:val="001B719E"/>
    <w:rsid w:val="001C0845"/>
    <w:rsid w:val="001C2BFC"/>
    <w:rsid w:val="001C6943"/>
    <w:rsid w:val="001D0190"/>
    <w:rsid w:val="001D1081"/>
    <w:rsid w:val="001E2DC0"/>
    <w:rsid w:val="001E44E4"/>
    <w:rsid w:val="001E7B35"/>
    <w:rsid w:val="001F3952"/>
    <w:rsid w:val="001F428B"/>
    <w:rsid w:val="001F4F58"/>
    <w:rsid w:val="00200F50"/>
    <w:rsid w:val="00204680"/>
    <w:rsid w:val="00207A85"/>
    <w:rsid w:val="00215A21"/>
    <w:rsid w:val="00220FA1"/>
    <w:rsid w:val="0022300A"/>
    <w:rsid w:val="002232B6"/>
    <w:rsid w:val="00231B1F"/>
    <w:rsid w:val="00235332"/>
    <w:rsid w:val="00235942"/>
    <w:rsid w:val="00235C32"/>
    <w:rsid w:val="00237309"/>
    <w:rsid w:val="00241EA7"/>
    <w:rsid w:val="00243FB7"/>
    <w:rsid w:val="00244E90"/>
    <w:rsid w:val="002476C4"/>
    <w:rsid w:val="002549BF"/>
    <w:rsid w:val="002644F6"/>
    <w:rsid w:val="002772BB"/>
    <w:rsid w:val="002807CE"/>
    <w:rsid w:val="00282FFD"/>
    <w:rsid w:val="002936CA"/>
    <w:rsid w:val="00295514"/>
    <w:rsid w:val="002961A3"/>
    <w:rsid w:val="00296A5D"/>
    <w:rsid w:val="002A1975"/>
    <w:rsid w:val="002B5EA2"/>
    <w:rsid w:val="002C2C3D"/>
    <w:rsid w:val="002C4297"/>
    <w:rsid w:val="002C533C"/>
    <w:rsid w:val="002C558F"/>
    <w:rsid w:val="002C6DF9"/>
    <w:rsid w:val="002D033C"/>
    <w:rsid w:val="002D191B"/>
    <w:rsid w:val="002E0FB4"/>
    <w:rsid w:val="002E1E70"/>
    <w:rsid w:val="002E2902"/>
    <w:rsid w:val="002E6D83"/>
    <w:rsid w:val="002F3F54"/>
    <w:rsid w:val="002F61BF"/>
    <w:rsid w:val="00312246"/>
    <w:rsid w:val="00312460"/>
    <w:rsid w:val="003154F1"/>
    <w:rsid w:val="00315D0D"/>
    <w:rsid w:val="0031762B"/>
    <w:rsid w:val="003222F2"/>
    <w:rsid w:val="003306CB"/>
    <w:rsid w:val="00332174"/>
    <w:rsid w:val="00334E6F"/>
    <w:rsid w:val="0033686F"/>
    <w:rsid w:val="00343EEF"/>
    <w:rsid w:val="0034695A"/>
    <w:rsid w:val="00350AF8"/>
    <w:rsid w:val="003570A0"/>
    <w:rsid w:val="00370098"/>
    <w:rsid w:val="003716A7"/>
    <w:rsid w:val="003716F7"/>
    <w:rsid w:val="00372F6D"/>
    <w:rsid w:val="003737CE"/>
    <w:rsid w:val="00383EA0"/>
    <w:rsid w:val="003845F2"/>
    <w:rsid w:val="00384665"/>
    <w:rsid w:val="003924B5"/>
    <w:rsid w:val="003A7A8A"/>
    <w:rsid w:val="003C0028"/>
    <w:rsid w:val="003C0E1A"/>
    <w:rsid w:val="003C406B"/>
    <w:rsid w:val="003C60EF"/>
    <w:rsid w:val="003C7CDC"/>
    <w:rsid w:val="003D02FC"/>
    <w:rsid w:val="003D1CA4"/>
    <w:rsid w:val="003D43EC"/>
    <w:rsid w:val="003D55C2"/>
    <w:rsid w:val="003D6A3D"/>
    <w:rsid w:val="003E1083"/>
    <w:rsid w:val="003E1304"/>
    <w:rsid w:val="003E1D0F"/>
    <w:rsid w:val="003E44E9"/>
    <w:rsid w:val="003E6439"/>
    <w:rsid w:val="003E68FC"/>
    <w:rsid w:val="003F20A6"/>
    <w:rsid w:val="003F36CB"/>
    <w:rsid w:val="003F379F"/>
    <w:rsid w:val="003F4827"/>
    <w:rsid w:val="003F4AE2"/>
    <w:rsid w:val="003F4C2C"/>
    <w:rsid w:val="003F6D67"/>
    <w:rsid w:val="003F7E53"/>
    <w:rsid w:val="004023BD"/>
    <w:rsid w:val="00402535"/>
    <w:rsid w:val="00403AD6"/>
    <w:rsid w:val="00404FA2"/>
    <w:rsid w:val="00416AB1"/>
    <w:rsid w:val="004225B0"/>
    <w:rsid w:val="004242F4"/>
    <w:rsid w:val="00424AA3"/>
    <w:rsid w:val="0043243C"/>
    <w:rsid w:val="00436823"/>
    <w:rsid w:val="00441955"/>
    <w:rsid w:val="00453BDA"/>
    <w:rsid w:val="0045488D"/>
    <w:rsid w:val="004632D3"/>
    <w:rsid w:val="00464CB2"/>
    <w:rsid w:val="004667B7"/>
    <w:rsid w:val="00467BE1"/>
    <w:rsid w:val="00477053"/>
    <w:rsid w:val="00482E03"/>
    <w:rsid w:val="00482EE8"/>
    <w:rsid w:val="004842C5"/>
    <w:rsid w:val="00485EE6"/>
    <w:rsid w:val="00486EEF"/>
    <w:rsid w:val="00490E29"/>
    <w:rsid w:val="00494088"/>
    <w:rsid w:val="00495025"/>
    <w:rsid w:val="004956C0"/>
    <w:rsid w:val="00495A1D"/>
    <w:rsid w:val="004977A9"/>
    <w:rsid w:val="004A59AD"/>
    <w:rsid w:val="004A6E7B"/>
    <w:rsid w:val="004B03B5"/>
    <w:rsid w:val="004B4E97"/>
    <w:rsid w:val="004B66B1"/>
    <w:rsid w:val="004C1DB0"/>
    <w:rsid w:val="004C6316"/>
    <w:rsid w:val="004D3E79"/>
    <w:rsid w:val="004E0683"/>
    <w:rsid w:val="004E06EB"/>
    <w:rsid w:val="004E0DBF"/>
    <w:rsid w:val="004E24DE"/>
    <w:rsid w:val="004E3E6F"/>
    <w:rsid w:val="004E66A6"/>
    <w:rsid w:val="004F3FCE"/>
    <w:rsid w:val="00500FB5"/>
    <w:rsid w:val="00501DFD"/>
    <w:rsid w:val="00502F52"/>
    <w:rsid w:val="00510AAB"/>
    <w:rsid w:val="00510FC5"/>
    <w:rsid w:val="005116F4"/>
    <w:rsid w:val="00517197"/>
    <w:rsid w:val="00527BFC"/>
    <w:rsid w:val="00543220"/>
    <w:rsid w:val="005477B2"/>
    <w:rsid w:val="00553238"/>
    <w:rsid w:val="005553AB"/>
    <w:rsid w:val="00555AB1"/>
    <w:rsid w:val="00561EC1"/>
    <w:rsid w:val="00562F2E"/>
    <w:rsid w:val="00574CC1"/>
    <w:rsid w:val="0057646C"/>
    <w:rsid w:val="00581650"/>
    <w:rsid w:val="00582530"/>
    <w:rsid w:val="00584FFB"/>
    <w:rsid w:val="005852F1"/>
    <w:rsid w:val="00586D40"/>
    <w:rsid w:val="005873BF"/>
    <w:rsid w:val="00590957"/>
    <w:rsid w:val="0059251D"/>
    <w:rsid w:val="005A5A4D"/>
    <w:rsid w:val="005B24C4"/>
    <w:rsid w:val="005B2529"/>
    <w:rsid w:val="005B48FA"/>
    <w:rsid w:val="005B5D96"/>
    <w:rsid w:val="005C18C2"/>
    <w:rsid w:val="005C2170"/>
    <w:rsid w:val="005C6E27"/>
    <w:rsid w:val="005E4228"/>
    <w:rsid w:val="005F1FC8"/>
    <w:rsid w:val="005F55CD"/>
    <w:rsid w:val="00607B2B"/>
    <w:rsid w:val="006121C8"/>
    <w:rsid w:val="00614268"/>
    <w:rsid w:val="00614D33"/>
    <w:rsid w:val="0061746C"/>
    <w:rsid w:val="00617D27"/>
    <w:rsid w:val="006230ED"/>
    <w:rsid w:val="00624155"/>
    <w:rsid w:val="00630374"/>
    <w:rsid w:val="006375CF"/>
    <w:rsid w:val="006458AD"/>
    <w:rsid w:val="00645EFA"/>
    <w:rsid w:val="0064713E"/>
    <w:rsid w:val="0064793B"/>
    <w:rsid w:val="0066427F"/>
    <w:rsid w:val="006651E0"/>
    <w:rsid w:val="006652BF"/>
    <w:rsid w:val="00665A94"/>
    <w:rsid w:val="00677267"/>
    <w:rsid w:val="00682FBB"/>
    <w:rsid w:val="00684FEF"/>
    <w:rsid w:val="0068614B"/>
    <w:rsid w:val="00691E02"/>
    <w:rsid w:val="006A084D"/>
    <w:rsid w:val="006B244D"/>
    <w:rsid w:val="006B2746"/>
    <w:rsid w:val="006B3723"/>
    <w:rsid w:val="006B52EE"/>
    <w:rsid w:val="006B6F8C"/>
    <w:rsid w:val="006C2D5E"/>
    <w:rsid w:val="006D02DB"/>
    <w:rsid w:val="006D060B"/>
    <w:rsid w:val="006D268E"/>
    <w:rsid w:val="006D27DD"/>
    <w:rsid w:val="006D53F9"/>
    <w:rsid w:val="006D6492"/>
    <w:rsid w:val="006D65D2"/>
    <w:rsid w:val="006F3C71"/>
    <w:rsid w:val="006F5FBA"/>
    <w:rsid w:val="00702C4A"/>
    <w:rsid w:val="00703879"/>
    <w:rsid w:val="00704E17"/>
    <w:rsid w:val="00705550"/>
    <w:rsid w:val="00722897"/>
    <w:rsid w:val="00722CE4"/>
    <w:rsid w:val="00723B1F"/>
    <w:rsid w:val="00735819"/>
    <w:rsid w:val="007366E7"/>
    <w:rsid w:val="00737694"/>
    <w:rsid w:val="00742D2F"/>
    <w:rsid w:val="00745DF4"/>
    <w:rsid w:val="007470F2"/>
    <w:rsid w:val="00753CD6"/>
    <w:rsid w:val="007550F2"/>
    <w:rsid w:val="007569BC"/>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756"/>
    <w:rsid w:val="007C3EF2"/>
    <w:rsid w:val="007C719E"/>
    <w:rsid w:val="007D5A32"/>
    <w:rsid w:val="007E12A9"/>
    <w:rsid w:val="007E4679"/>
    <w:rsid w:val="00802261"/>
    <w:rsid w:val="008065CB"/>
    <w:rsid w:val="00807A7B"/>
    <w:rsid w:val="00820F76"/>
    <w:rsid w:val="00821371"/>
    <w:rsid w:val="0082366F"/>
    <w:rsid w:val="0083016F"/>
    <w:rsid w:val="00832069"/>
    <w:rsid w:val="00843058"/>
    <w:rsid w:val="00844ABD"/>
    <w:rsid w:val="0085479C"/>
    <w:rsid w:val="008561D9"/>
    <w:rsid w:val="00865B30"/>
    <w:rsid w:val="00867893"/>
    <w:rsid w:val="008733EA"/>
    <w:rsid w:val="00874219"/>
    <w:rsid w:val="00875E40"/>
    <w:rsid w:val="00876AB6"/>
    <w:rsid w:val="00880A20"/>
    <w:rsid w:val="008843FB"/>
    <w:rsid w:val="008902DC"/>
    <w:rsid w:val="00891579"/>
    <w:rsid w:val="008A00A5"/>
    <w:rsid w:val="008A577A"/>
    <w:rsid w:val="008A7DBB"/>
    <w:rsid w:val="008B31EE"/>
    <w:rsid w:val="008B4BAE"/>
    <w:rsid w:val="008B4FB6"/>
    <w:rsid w:val="008C2433"/>
    <w:rsid w:val="008C32D6"/>
    <w:rsid w:val="008C3660"/>
    <w:rsid w:val="008D05CA"/>
    <w:rsid w:val="008D2D55"/>
    <w:rsid w:val="008D5688"/>
    <w:rsid w:val="008E5F9A"/>
    <w:rsid w:val="008F1544"/>
    <w:rsid w:val="008F1965"/>
    <w:rsid w:val="008F47CB"/>
    <w:rsid w:val="008F53B1"/>
    <w:rsid w:val="008F58E3"/>
    <w:rsid w:val="00901AE2"/>
    <w:rsid w:val="00906C23"/>
    <w:rsid w:val="00912CB1"/>
    <w:rsid w:val="00916532"/>
    <w:rsid w:val="009206ED"/>
    <w:rsid w:val="00923C7E"/>
    <w:rsid w:val="0092599B"/>
    <w:rsid w:val="00936704"/>
    <w:rsid w:val="00941CEB"/>
    <w:rsid w:val="00942C74"/>
    <w:rsid w:val="00945B37"/>
    <w:rsid w:val="0095341B"/>
    <w:rsid w:val="009548E4"/>
    <w:rsid w:val="009606BC"/>
    <w:rsid w:val="009622D2"/>
    <w:rsid w:val="00964CEA"/>
    <w:rsid w:val="00966AAA"/>
    <w:rsid w:val="00967E57"/>
    <w:rsid w:val="00970E44"/>
    <w:rsid w:val="00974742"/>
    <w:rsid w:val="00977EF1"/>
    <w:rsid w:val="0098102A"/>
    <w:rsid w:val="00985B7A"/>
    <w:rsid w:val="00985FC2"/>
    <w:rsid w:val="00994E59"/>
    <w:rsid w:val="009A19FA"/>
    <w:rsid w:val="009A1E78"/>
    <w:rsid w:val="009A635D"/>
    <w:rsid w:val="009A6925"/>
    <w:rsid w:val="009A6FFC"/>
    <w:rsid w:val="009B035D"/>
    <w:rsid w:val="009B38B3"/>
    <w:rsid w:val="009B52E5"/>
    <w:rsid w:val="009B5A7A"/>
    <w:rsid w:val="009B75DB"/>
    <w:rsid w:val="009C0273"/>
    <w:rsid w:val="009C3840"/>
    <w:rsid w:val="009C3D80"/>
    <w:rsid w:val="009C5A83"/>
    <w:rsid w:val="009C7584"/>
    <w:rsid w:val="009C77D4"/>
    <w:rsid w:val="009D0C9E"/>
    <w:rsid w:val="009D6222"/>
    <w:rsid w:val="009D75D8"/>
    <w:rsid w:val="009E3062"/>
    <w:rsid w:val="009E63C4"/>
    <w:rsid w:val="009E759F"/>
    <w:rsid w:val="00A005E3"/>
    <w:rsid w:val="00A04519"/>
    <w:rsid w:val="00A10022"/>
    <w:rsid w:val="00A148CE"/>
    <w:rsid w:val="00A24465"/>
    <w:rsid w:val="00A265CF"/>
    <w:rsid w:val="00A26B1D"/>
    <w:rsid w:val="00A26F27"/>
    <w:rsid w:val="00A40610"/>
    <w:rsid w:val="00A4220E"/>
    <w:rsid w:val="00A43284"/>
    <w:rsid w:val="00A44A63"/>
    <w:rsid w:val="00A554C6"/>
    <w:rsid w:val="00A625F7"/>
    <w:rsid w:val="00A6474C"/>
    <w:rsid w:val="00A64A5B"/>
    <w:rsid w:val="00A6611C"/>
    <w:rsid w:val="00A708C1"/>
    <w:rsid w:val="00A71B06"/>
    <w:rsid w:val="00A728FD"/>
    <w:rsid w:val="00A73E47"/>
    <w:rsid w:val="00A8178D"/>
    <w:rsid w:val="00A8390A"/>
    <w:rsid w:val="00A921E6"/>
    <w:rsid w:val="00AA5A63"/>
    <w:rsid w:val="00AB777C"/>
    <w:rsid w:val="00AC4071"/>
    <w:rsid w:val="00AC50D8"/>
    <w:rsid w:val="00AD29A3"/>
    <w:rsid w:val="00AE010F"/>
    <w:rsid w:val="00AE4A31"/>
    <w:rsid w:val="00AF1CE1"/>
    <w:rsid w:val="00AF3C2A"/>
    <w:rsid w:val="00B016CA"/>
    <w:rsid w:val="00B14C37"/>
    <w:rsid w:val="00B31A5D"/>
    <w:rsid w:val="00B3206A"/>
    <w:rsid w:val="00B35205"/>
    <w:rsid w:val="00B430EE"/>
    <w:rsid w:val="00B435BD"/>
    <w:rsid w:val="00B47743"/>
    <w:rsid w:val="00B53F63"/>
    <w:rsid w:val="00B54440"/>
    <w:rsid w:val="00B554E7"/>
    <w:rsid w:val="00B566C5"/>
    <w:rsid w:val="00B60843"/>
    <w:rsid w:val="00B613BB"/>
    <w:rsid w:val="00B61E3B"/>
    <w:rsid w:val="00B6214C"/>
    <w:rsid w:val="00B638CE"/>
    <w:rsid w:val="00B6574F"/>
    <w:rsid w:val="00B9025C"/>
    <w:rsid w:val="00B92B89"/>
    <w:rsid w:val="00BA1DC6"/>
    <w:rsid w:val="00BA4686"/>
    <w:rsid w:val="00BA7AF2"/>
    <w:rsid w:val="00BB038D"/>
    <w:rsid w:val="00BC2A5F"/>
    <w:rsid w:val="00BC35B4"/>
    <w:rsid w:val="00BC576B"/>
    <w:rsid w:val="00BD3834"/>
    <w:rsid w:val="00BD49FB"/>
    <w:rsid w:val="00BD7232"/>
    <w:rsid w:val="00BE1921"/>
    <w:rsid w:val="00BE3AA2"/>
    <w:rsid w:val="00BF3260"/>
    <w:rsid w:val="00C019D8"/>
    <w:rsid w:val="00C035B5"/>
    <w:rsid w:val="00C03744"/>
    <w:rsid w:val="00C03BFF"/>
    <w:rsid w:val="00C24328"/>
    <w:rsid w:val="00C24722"/>
    <w:rsid w:val="00C25F5C"/>
    <w:rsid w:val="00C35176"/>
    <w:rsid w:val="00C4469C"/>
    <w:rsid w:val="00C44740"/>
    <w:rsid w:val="00C457AF"/>
    <w:rsid w:val="00C46CBE"/>
    <w:rsid w:val="00C53205"/>
    <w:rsid w:val="00C53790"/>
    <w:rsid w:val="00C53D70"/>
    <w:rsid w:val="00C55D10"/>
    <w:rsid w:val="00C66E1E"/>
    <w:rsid w:val="00C676BA"/>
    <w:rsid w:val="00C726EE"/>
    <w:rsid w:val="00C77E17"/>
    <w:rsid w:val="00C81AB4"/>
    <w:rsid w:val="00C84553"/>
    <w:rsid w:val="00C8537C"/>
    <w:rsid w:val="00C857BF"/>
    <w:rsid w:val="00C872BA"/>
    <w:rsid w:val="00C9328D"/>
    <w:rsid w:val="00C974A4"/>
    <w:rsid w:val="00C97CD5"/>
    <w:rsid w:val="00CA48A5"/>
    <w:rsid w:val="00CA4EF8"/>
    <w:rsid w:val="00CA4FBA"/>
    <w:rsid w:val="00CB5A61"/>
    <w:rsid w:val="00CE21FE"/>
    <w:rsid w:val="00CF096E"/>
    <w:rsid w:val="00CF3127"/>
    <w:rsid w:val="00D12D9B"/>
    <w:rsid w:val="00D131BB"/>
    <w:rsid w:val="00D17DDE"/>
    <w:rsid w:val="00D17E70"/>
    <w:rsid w:val="00D2102C"/>
    <w:rsid w:val="00D23E6F"/>
    <w:rsid w:val="00D2428C"/>
    <w:rsid w:val="00D251BD"/>
    <w:rsid w:val="00D254EC"/>
    <w:rsid w:val="00D268B8"/>
    <w:rsid w:val="00D26CC2"/>
    <w:rsid w:val="00D31624"/>
    <w:rsid w:val="00D36D52"/>
    <w:rsid w:val="00D37021"/>
    <w:rsid w:val="00D441A4"/>
    <w:rsid w:val="00D454CB"/>
    <w:rsid w:val="00D52F5A"/>
    <w:rsid w:val="00D56DEA"/>
    <w:rsid w:val="00D57A7A"/>
    <w:rsid w:val="00D63CE3"/>
    <w:rsid w:val="00D67996"/>
    <w:rsid w:val="00D710EA"/>
    <w:rsid w:val="00D81172"/>
    <w:rsid w:val="00D83759"/>
    <w:rsid w:val="00D864D5"/>
    <w:rsid w:val="00D920FD"/>
    <w:rsid w:val="00D92ED7"/>
    <w:rsid w:val="00DA0D64"/>
    <w:rsid w:val="00DA3375"/>
    <w:rsid w:val="00DA5179"/>
    <w:rsid w:val="00DB059A"/>
    <w:rsid w:val="00DB64C3"/>
    <w:rsid w:val="00DC2A3E"/>
    <w:rsid w:val="00DC2C74"/>
    <w:rsid w:val="00DC7C62"/>
    <w:rsid w:val="00DE4C02"/>
    <w:rsid w:val="00DE53CA"/>
    <w:rsid w:val="00DF2370"/>
    <w:rsid w:val="00DF34B2"/>
    <w:rsid w:val="00DF4B52"/>
    <w:rsid w:val="00DF67CF"/>
    <w:rsid w:val="00DF6A55"/>
    <w:rsid w:val="00E04A37"/>
    <w:rsid w:val="00E06CBF"/>
    <w:rsid w:val="00E11567"/>
    <w:rsid w:val="00E20AD4"/>
    <w:rsid w:val="00E2321D"/>
    <w:rsid w:val="00E30C8F"/>
    <w:rsid w:val="00E3212F"/>
    <w:rsid w:val="00E3241C"/>
    <w:rsid w:val="00E3310A"/>
    <w:rsid w:val="00E33B9E"/>
    <w:rsid w:val="00E33C1C"/>
    <w:rsid w:val="00E37297"/>
    <w:rsid w:val="00E41977"/>
    <w:rsid w:val="00E51E84"/>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A6FFA"/>
    <w:rsid w:val="00EB0368"/>
    <w:rsid w:val="00EB1B4B"/>
    <w:rsid w:val="00EB4FC4"/>
    <w:rsid w:val="00EC2D26"/>
    <w:rsid w:val="00EC2FDD"/>
    <w:rsid w:val="00EC5886"/>
    <w:rsid w:val="00EC65A4"/>
    <w:rsid w:val="00ED0332"/>
    <w:rsid w:val="00ED2437"/>
    <w:rsid w:val="00ED41C4"/>
    <w:rsid w:val="00EE02A8"/>
    <w:rsid w:val="00EE3803"/>
    <w:rsid w:val="00EE7263"/>
    <w:rsid w:val="00EF2F2B"/>
    <w:rsid w:val="00EF4153"/>
    <w:rsid w:val="00F0149B"/>
    <w:rsid w:val="00F01F49"/>
    <w:rsid w:val="00F030C2"/>
    <w:rsid w:val="00F07094"/>
    <w:rsid w:val="00F07716"/>
    <w:rsid w:val="00F11B31"/>
    <w:rsid w:val="00F15782"/>
    <w:rsid w:val="00F1721B"/>
    <w:rsid w:val="00F172D8"/>
    <w:rsid w:val="00F17683"/>
    <w:rsid w:val="00F23FCB"/>
    <w:rsid w:val="00F2460B"/>
    <w:rsid w:val="00F30016"/>
    <w:rsid w:val="00F313BA"/>
    <w:rsid w:val="00F36530"/>
    <w:rsid w:val="00F66190"/>
    <w:rsid w:val="00F674D8"/>
    <w:rsid w:val="00F73AB6"/>
    <w:rsid w:val="00F81C66"/>
    <w:rsid w:val="00F823F4"/>
    <w:rsid w:val="00F83352"/>
    <w:rsid w:val="00F83BFD"/>
    <w:rsid w:val="00F8646A"/>
    <w:rsid w:val="00F876DE"/>
    <w:rsid w:val="00F9131A"/>
    <w:rsid w:val="00F915AB"/>
    <w:rsid w:val="00F93BA7"/>
    <w:rsid w:val="00F97E22"/>
    <w:rsid w:val="00FA1749"/>
    <w:rsid w:val="00FA4236"/>
    <w:rsid w:val="00FA5070"/>
    <w:rsid w:val="00FB099F"/>
    <w:rsid w:val="00FB2DCF"/>
    <w:rsid w:val="00FB4B52"/>
    <w:rsid w:val="00FB7688"/>
    <w:rsid w:val="00FC4A83"/>
    <w:rsid w:val="00FC66F9"/>
    <w:rsid w:val="00FD19CF"/>
    <w:rsid w:val="00FD2343"/>
    <w:rsid w:val="00FE1E93"/>
    <w:rsid w:val="00FE2A00"/>
    <w:rsid w:val="00FE36EC"/>
    <w:rsid w:val="00FF1750"/>
    <w:rsid w:val="00FF2B78"/>
    <w:rsid w:val="00FF766A"/>
    <w:rsid w:val="0254388B"/>
    <w:rsid w:val="04F2510B"/>
    <w:rsid w:val="0522205A"/>
    <w:rsid w:val="05AA653C"/>
    <w:rsid w:val="068A3C77"/>
    <w:rsid w:val="068D5AA9"/>
    <w:rsid w:val="07147652"/>
    <w:rsid w:val="07150683"/>
    <w:rsid w:val="07571DAC"/>
    <w:rsid w:val="078B060B"/>
    <w:rsid w:val="078C34A0"/>
    <w:rsid w:val="083E4D1A"/>
    <w:rsid w:val="09377495"/>
    <w:rsid w:val="0A6E5D8A"/>
    <w:rsid w:val="0A8C5AAF"/>
    <w:rsid w:val="0B87499E"/>
    <w:rsid w:val="0CEA59EF"/>
    <w:rsid w:val="0D4F10C1"/>
    <w:rsid w:val="0DDD6857"/>
    <w:rsid w:val="0FB5408F"/>
    <w:rsid w:val="0FD27338"/>
    <w:rsid w:val="126B0E01"/>
    <w:rsid w:val="12F15D99"/>
    <w:rsid w:val="13107E68"/>
    <w:rsid w:val="1335788C"/>
    <w:rsid w:val="13A14411"/>
    <w:rsid w:val="14D53EE5"/>
    <w:rsid w:val="161A564D"/>
    <w:rsid w:val="184F17AB"/>
    <w:rsid w:val="197519B2"/>
    <w:rsid w:val="197E300D"/>
    <w:rsid w:val="19CC487B"/>
    <w:rsid w:val="1AD81BF2"/>
    <w:rsid w:val="1B4346C9"/>
    <w:rsid w:val="1BE76E54"/>
    <w:rsid w:val="1BEC742C"/>
    <w:rsid w:val="1CF57C45"/>
    <w:rsid w:val="1DE37A85"/>
    <w:rsid w:val="1E2A6014"/>
    <w:rsid w:val="1E7951B1"/>
    <w:rsid w:val="208268EC"/>
    <w:rsid w:val="212E3725"/>
    <w:rsid w:val="23EB3B50"/>
    <w:rsid w:val="250C310C"/>
    <w:rsid w:val="26121868"/>
    <w:rsid w:val="27956F3C"/>
    <w:rsid w:val="29B0373B"/>
    <w:rsid w:val="29E51041"/>
    <w:rsid w:val="2A7C013C"/>
    <w:rsid w:val="2B6C4A8A"/>
    <w:rsid w:val="2DBB0A37"/>
    <w:rsid w:val="2DD131C6"/>
    <w:rsid w:val="2DD3767D"/>
    <w:rsid w:val="2DE07C8F"/>
    <w:rsid w:val="2E076A35"/>
    <w:rsid w:val="2E1F652C"/>
    <w:rsid w:val="2E45465A"/>
    <w:rsid w:val="2E9278E2"/>
    <w:rsid w:val="2EF76197"/>
    <w:rsid w:val="2FB11738"/>
    <w:rsid w:val="300039B1"/>
    <w:rsid w:val="30B654E5"/>
    <w:rsid w:val="33702106"/>
    <w:rsid w:val="33941545"/>
    <w:rsid w:val="33F12D64"/>
    <w:rsid w:val="353D31DD"/>
    <w:rsid w:val="35933869"/>
    <w:rsid w:val="35C32C30"/>
    <w:rsid w:val="36265468"/>
    <w:rsid w:val="36A8379E"/>
    <w:rsid w:val="38181B8B"/>
    <w:rsid w:val="38B13B4F"/>
    <w:rsid w:val="39E135D3"/>
    <w:rsid w:val="3B7F24F5"/>
    <w:rsid w:val="3C0F6CA9"/>
    <w:rsid w:val="3F5F1657"/>
    <w:rsid w:val="3F7B1C31"/>
    <w:rsid w:val="400E7289"/>
    <w:rsid w:val="40F93AA5"/>
    <w:rsid w:val="411E5593"/>
    <w:rsid w:val="419C5872"/>
    <w:rsid w:val="42C5407F"/>
    <w:rsid w:val="448542CA"/>
    <w:rsid w:val="461D5993"/>
    <w:rsid w:val="462525FB"/>
    <w:rsid w:val="476D64A6"/>
    <w:rsid w:val="495B2848"/>
    <w:rsid w:val="49E84A1C"/>
    <w:rsid w:val="4A9412EB"/>
    <w:rsid w:val="4BAD18DA"/>
    <w:rsid w:val="4BFE0015"/>
    <w:rsid w:val="4CAE45A3"/>
    <w:rsid w:val="4CB42C42"/>
    <w:rsid w:val="4CE038D4"/>
    <w:rsid w:val="4CE21CE3"/>
    <w:rsid w:val="4DA546B9"/>
    <w:rsid w:val="4E6C100D"/>
    <w:rsid w:val="4EFC0DA6"/>
    <w:rsid w:val="4F785859"/>
    <w:rsid w:val="4F895E47"/>
    <w:rsid w:val="4FC16E09"/>
    <w:rsid w:val="53A414A2"/>
    <w:rsid w:val="55062673"/>
    <w:rsid w:val="57CC0FC7"/>
    <w:rsid w:val="57D0790D"/>
    <w:rsid w:val="57D16511"/>
    <w:rsid w:val="58792F86"/>
    <w:rsid w:val="594B23BF"/>
    <w:rsid w:val="59DC5390"/>
    <w:rsid w:val="5AC93682"/>
    <w:rsid w:val="5C166CB5"/>
    <w:rsid w:val="5F934889"/>
    <w:rsid w:val="6119299D"/>
    <w:rsid w:val="634B207A"/>
    <w:rsid w:val="63A31DAE"/>
    <w:rsid w:val="63CA6B2E"/>
    <w:rsid w:val="645312BC"/>
    <w:rsid w:val="648869EB"/>
    <w:rsid w:val="64C23E7D"/>
    <w:rsid w:val="64E042CC"/>
    <w:rsid w:val="65225B79"/>
    <w:rsid w:val="65776F49"/>
    <w:rsid w:val="66325CC3"/>
    <w:rsid w:val="66A84677"/>
    <w:rsid w:val="676214CF"/>
    <w:rsid w:val="67B37AAD"/>
    <w:rsid w:val="689564A6"/>
    <w:rsid w:val="69400739"/>
    <w:rsid w:val="6A885CD4"/>
    <w:rsid w:val="6A923527"/>
    <w:rsid w:val="6BCE32C0"/>
    <w:rsid w:val="6D814CBA"/>
    <w:rsid w:val="6EC66DD1"/>
    <w:rsid w:val="6F375468"/>
    <w:rsid w:val="6F3F60CB"/>
    <w:rsid w:val="6FB45ED5"/>
    <w:rsid w:val="704473C7"/>
    <w:rsid w:val="70A27D8B"/>
    <w:rsid w:val="71E83163"/>
    <w:rsid w:val="73123A66"/>
    <w:rsid w:val="732E6B82"/>
    <w:rsid w:val="73E110E9"/>
    <w:rsid w:val="7416389E"/>
    <w:rsid w:val="74DF000E"/>
    <w:rsid w:val="75137B32"/>
    <w:rsid w:val="77A959E9"/>
    <w:rsid w:val="794B5D40"/>
    <w:rsid w:val="7A5701A2"/>
    <w:rsid w:val="7AC454BE"/>
    <w:rsid w:val="7B007056"/>
    <w:rsid w:val="7C9D00ED"/>
    <w:rsid w:val="7CB116B1"/>
    <w:rsid w:val="7DC46119"/>
    <w:rsid w:val="7EBA751C"/>
    <w:rsid w:val="7F1118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4"/>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5"/>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6"/>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7"/>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8"/>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9"/>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40"/>
    <w:semiHidden/>
    <w:unhideWhenUsed/>
    <w:qFormat/>
    <w:uiPriority w:val="9"/>
    <w:pPr>
      <w:keepNext/>
      <w:keepLines/>
      <w:spacing w:before="120" w:after="0"/>
      <w:outlineLvl w:val="6"/>
    </w:pPr>
    <w:rPr>
      <w:i/>
      <w:iCs/>
    </w:rPr>
  </w:style>
  <w:style w:type="paragraph" w:styleId="10">
    <w:name w:val="heading 8"/>
    <w:basedOn w:val="1"/>
    <w:next w:val="1"/>
    <w:link w:val="41"/>
    <w:semiHidden/>
    <w:unhideWhenUsed/>
    <w:qFormat/>
    <w:uiPriority w:val="9"/>
    <w:pPr>
      <w:keepNext/>
      <w:keepLines/>
      <w:spacing w:before="120" w:after="0"/>
      <w:outlineLvl w:val="7"/>
    </w:pPr>
    <w:rPr>
      <w:b/>
      <w:bCs/>
    </w:rPr>
  </w:style>
  <w:style w:type="paragraph" w:styleId="11">
    <w:name w:val="heading 9"/>
    <w:basedOn w:val="1"/>
    <w:next w:val="1"/>
    <w:link w:val="42"/>
    <w:semiHidden/>
    <w:unhideWhenUsed/>
    <w:qFormat/>
    <w:uiPriority w:val="9"/>
    <w:pPr>
      <w:keepNext/>
      <w:keepLines/>
      <w:spacing w:before="120" w:after="0"/>
      <w:outlineLvl w:val="8"/>
    </w:pPr>
    <w:rPr>
      <w:i/>
      <w:iCs/>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0" w:lineRule="atLeast"/>
      <w:ind w:firstLine="538" w:firstLineChars="192"/>
    </w:pPr>
    <w:rPr>
      <w:rFonts w:ascii="宋体" w:hAnsi="宋体"/>
      <w:kern w:val="0"/>
      <w:sz w:val="28"/>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Body Text"/>
    <w:basedOn w:val="1"/>
    <w:link w:val="64"/>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63"/>
    <w:unhideWhenUsed/>
    <w:qFormat/>
    <w:uiPriority w:val="0"/>
    <w:rPr>
      <w:rFonts w:hAnsi="Courier New" w:cs="Courier New" w:asciiTheme="minorEastAsia"/>
    </w:rPr>
  </w:style>
  <w:style w:type="paragraph" w:styleId="17">
    <w:name w:val="Date"/>
    <w:basedOn w:val="1"/>
    <w:next w:val="1"/>
    <w:qFormat/>
    <w:uiPriority w:val="0"/>
    <w:pPr>
      <w:adjustRightInd w:val="0"/>
      <w:spacing w:line="360" w:lineRule="atLeast"/>
      <w:textAlignment w:val="baseline"/>
    </w:pPr>
    <w:rPr>
      <w:sz w:val="24"/>
      <w:szCs w:val="20"/>
    </w:rPr>
  </w:style>
  <w:style w:type="paragraph" w:styleId="18">
    <w:name w:val="Balloon Text"/>
    <w:basedOn w:val="1"/>
    <w:link w:val="68"/>
    <w:semiHidden/>
    <w:unhideWhenUsed/>
    <w:qFormat/>
    <w:uiPriority w:val="99"/>
    <w:pPr>
      <w:spacing w:after="0" w:line="240" w:lineRule="auto"/>
    </w:pPr>
    <w:rPr>
      <w:sz w:val="18"/>
      <w:szCs w:val="18"/>
    </w:rPr>
  </w:style>
  <w:style w:type="paragraph" w:styleId="19">
    <w:name w:val="footer"/>
    <w:basedOn w:val="1"/>
    <w:link w:val="59"/>
    <w:unhideWhenUsed/>
    <w:qFormat/>
    <w:uiPriority w:val="99"/>
    <w:pPr>
      <w:tabs>
        <w:tab w:val="center" w:pos="4153"/>
        <w:tab w:val="right" w:pos="8306"/>
      </w:tabs>
      <w:snapToGrid w:val="0"/>
      <w:spacing w:line="240" w:lineRule="auto"/>
      <w:jc w:val="left"/>
    </w:pPr>
    <w:rPr>
      <w:sz w:val="18"/>
      <w:szCs w:val="18"/>
    </w:rPr>
  </w:style>
  <w:style w:type="paragraph" w:styleId="20">
    <w:name w:val="header"/>
    <w:basedOn w:val="1"/>
    <w:link w:val="5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1">
    <w:name w:val="toc 1"/>
    <w:basedOn w:val="1"/>
    <w:next w:val="1"/>
    <w:unhideWhenUsed/>
    <w:qFormat/>
    <w:uiPriority w:val="39"/>
    <w:pPr>
      <w:spacing w:after="100" w:line="259" w:lineRule="auto"/>
      <w:jc w:val="left"/>
    </w:pPr>
    <w:rPr>
      <w:rFonts w:cs="Times New Roman"/>
    </w:rPr>
  </w:style>
  <w:style w:type="paragraph" w:styleId="22">
    <w:name w:val="Subtitle"/>
    <w:basedOn w:val="1"/>
    <w:next w:val="1"/>
    <w:link w:val="44"/>
    <w:qFormat/>
    <w:uiPriority w:val="11"/>
    <w:pPr>
      <w:spacing w:after="240"/>
      <w:jc w:val="center"/>
    </w:pPr>
    <w:rPr>
      <w:rFonts w:asciiTheme="majorHAnsi" w:hAnsiTheme="majorHAnsi" w:eastAsiaTheme="majorEastAsia" w:cstheme="majorBidi"/>
      <w:sz w:val="24"/>
      <w:szCs w:val="24"/>
    </w:rPr>
  </w:style>
  <w:style w:type="paragraph" w:styleId="23">
    <w:name w:val="Body Text Indent 3"/>
    <w:basedOn w:val="1"/>
    <w:link w:val="61"/>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4">
    <w:name w:val="toc 2"/>
    <w:basedOn w:val="1"/>
    <w:next w:val="1"/>
    <w:unhideWhenUsed/>
    <w:qFormat/>
    <w:uiPriority w:val="39"/>
    <w:pPr>
      <w:spacing w:after="100" w:line="259" w:lineRule="auto"/>
      <w:ind w:left="220"/>
      <w:jc w:val="left"/>
    </w:pPr>
    <w:rPr>
      <w:rFonts w:cs="Times New Roman"/>
    </w:rPr>
  </w:style>
  <w:style w:type="paragraph" w:styleId="25">
    <w:name w:val="Normal (Web)"/>
    <w:basedOn w:val="1"/>
    <w:semiHidden/>
    <w:unhideWhenUsed/>
    <w:qFormat/>
    <w:uiPriority w:val="99"/>
    <w:pPr>
      <w:spacing w:beforeAutospacing="1" w:after="0" w:afterAutospacing="1"/>
      <w:jc w:val="left"/>
    </w:pPr>
    <w:rPr>
      <w:rFonts w:cs="Times New Roman"/>
      <w:sz w:val="24"/>
    </w:rPr>
  </w:style>
  <w:style w:type="paragraph" w:styleId="26">
    <w:name w:val="Title"/>
    <w:basedOn w:val="1"/>
    <w:next w:val="1"/>
    <w:link w:val="43"/>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color w:val="auto"/>
    </w:rPr>
  </w:style>
  <w:style w:type="character" w:styleId="31">
    <w:name w:val="page number"/>
    <w:basedOn w:val="29"/>
    <w:qFormat/>
    <w:uiPriority w:val="99"/>
    <w:rPr>
      <w:rFonts w:cs="Times New Roman"/>
    </w:rPr>
  </w:style>
  <w:style w:type="character" w:styleId="32">
    <w:name w:val="Emphasis"/>
    <w:basedOn w:val="29"/>
    <w:qFormat/>
    <w:uiPriority w:val="20"/>
    <w:rPr>
      <w:i/>
      <w:iCs/>
      <w:color w:val="auto"/>
    </w:rPr>
  </w:style>
  <w:style w:type="character" w:styleId="33">
    <w:name w:val="Hyperlink"/>
    <w:basedOn w:val="29"/>
    <w:unhideWhenUsed/>
    <w:qFormat/>
    <w:uiPriority w:val="99"/>
    <w:rPr>
      <w:color w:val="F49100"/>
      <w:u w:val="single"/>
    </w:rPr>
  </w:style>
  <w:style w:type="character" w:customStyle="1" w:styleId="34">
    <w:name w:val="标题 1 字符"/>
    <w:basedOn w:val="29"/>
    <w:link w:val="3"/>
    <w:qFormat/>
    <w:uiPriority w:val="9"/>
    <w:rPr>
      <w:rFonts w:asciiTheme="majorHAnsi" w:hAnsiTheme="majorHAnsi" w:eastAsiaTheme="majorEastAsia" w:cstheme="majorBidi"/>
      <w:b/>
      <w:bCs/>
      <w:caps/>
      <w:spacing w:val="4"/>
      <w:sz w:val="28"/>
      <w:szCs w:val="28"/>
    </w:rPr>
  </w:style>
  <w:style w:type="character" w:customStyle="1" w:styleId="35">
    <w:name w:val="标题 2 字符"/>
    <w:basedOn w:val="29"/>
    <w:link w:val="4"/>
    <w:semiHidden/>
    <w:qFormat/>
    <w:uiPriority w:val="9"/>
    <w:rPr>
      <w:rFonts w:asciiTheme="majorHAnsi" w:hAnsiTheme="majorHAnsi" w:eastAsiaTheme="majorEastAsia" w:cstheme="majorBidi"/>
      <w:b/>
      <w:bCs/>
      <w:sz w:val="28"/>
      <w:szCs w:val="28"/>
    </w:rPr>
  </w:style>
  <w:style w:type="character" w:customStyle="1" w:styleId="36">
    <w:name w:val="标题 3 字符"/>
    <w:basedOn w:val="29"/>
    <w:link w:val="5"/>
    <w:semiHidden/>
    <w:qFormat/>
    <w:uiPriority w:val="9"/>
    <w:rPr>
      <w:rFonts w:asciiTheme="majorHAnsi" w:hAnsiTheme="majorHAnsi" w:eastAsiaTheme="majorEastAsia" w:cstheme="majorBidi"/>
      <w:spacing w:val="4"/>
      <w:sz w:val="24"/>
      <w:szCs w:val="24"/>
    </w:rPr>
  </w:style>
  <w:style w:type="character" w:customStyle="1" w:styleId="37">
    <w:name w:val="标题 4 字符"/>
    <w:basedOn w:val="29"/>
    <w:link w:val="6"/>
    <w:semiHidden/>
    <w:qFormat/>
    <w:uiPriority w:val="9"/>
    <w:rPr>
      <w:rFonts w:asciiTheme="majorHAnsi" w:hAnsiTheme="majorHAnsi" w:eastAsiaTheme="majorEastAsia" w:cstheme="majorBidi"/>
      <w:i/>
      <w:iCs/>
      <w:sz w:val="24"/>
      <w:szCs w:val="24"/>
    </w:rPr>
  </w:style>
  <w:style w:type="character" w:customStyle="1" w:styleId="38">
    <w:name w:val="标题 5 字符"/>
    <w:basedOn w:val="29"/>
    <w:link w:val="7"/>
    <w:semiHidden/>
    <w:qFormat/>
    <w:uiPriority w:val="9"/>
    <w:rPr>
      <w:rFonts w:asciiTheme="majorHAnsi" w:hAnsiTheme="majorHAnsi" w:eastAsiaTheme="majorEastAsia" w:cstheme="majorBidi"/>
      <w:b/>
      <w:bCs/>
    </w:rPr>
  </w:style>
  <w:style w:type="character" w:customStyle="1" w:styleId="39">
    <w:name w:val="标题 6 字符"/>
    <w:basedOn w:val="29"/>
    <w:link w:val="8"/>
    <w:semiHidden/>
    <w:qFormat/>
    <w:uiPriority w:val="9"/>
    <w:rPr>
      <w:rFonts w:asciiTheme="majorHAnsi" w:hAnsiTheme="majorHAnsi" w:eastAsiaTheme="majorEastAsia" w:cstheme="majorBidi"/>
      <w:b/>
      <w:bCs/>
      <w:i/>
      <w:iCs/>
    </w:rPr>
  </w:style>
  <w:style w:type="character" w:customStyle="1" w:styleId="40">
    <w:name w:val="标题 7 字符"/>
    <w:basedOn w:val="29"/>
    <w:link w:val="9"/>
    <w:semiHidden/>
    <w:qFormat/>
    <w:uiPriority w:val="9"/>
    <w:rPr>
      <w:i/>
      <w:iCs/>
    </w:rPr>
  </w:style>
  <w:style w:type="character" w:customStyle="1" w:styleId="41">
    <w:name w:val="标题 8 字符"/>
    <w:basedOn w:val="29"/>
    <w:link w:val="10"/>
    <w:semiHidden/>
    <w:qFormat/>
    <w:uiPriority w:val="9"/>
    <w:rPr>
      <w:b/>
      <w:bCs/>
    </w:rPr>
  </w:style>
  <w:style w:type="character" w:customStyle="1" w:styleId="42">
    <w:name w:val="标题 9 字符"/>
    <w:basedOn w:val="29"/>
    <w:link w:val="11"/>
    <w:semiHidden/>
    <w:qFormat/>
    <w:uiPriority w:val="9"/>
    <w:rPr>
      <w:i/>
      <w:iCs/>
    </w:rPr>
  </w:style>
  <w:style w:type="character" w:customStyle="1" w:styleId="43">
    <w:name w:val="标题 字符"/>
    <w:basedOn w:val="29"/>
    <w:link w:val="26"/>
    <w:qFormat/>
    <w:uiPriority w:val="10"/>
    <w:rPr>
      <w:rFonts w:asciiTheme="majorHAnsi" w:hAnsiTheme="majorHAnsi" w:eastAsiaTheme="majorEastAsia" w:cstheme="majorBidi"/>
      <w:b/>
      <w:bCs/>
      <w:spacing w:val="-7"/>
      <w:sz w:val="48"/>
      <w:szCs w:val="48"/>
    </w:rPr>
  </w:style>
  <w:style w:type="character" w:customStyle="1" w:styleId="44">
    <w:name w:val="副标题 字符"/>
    <w:basedOn w:val="29"/>
    <w:link w:val="22"/>
    <w:qFormat/>
    <w:uiPriority w:val="11"/>
    <w:rPr>
      <w:rFonts w:asciiTheme="majorHAnsi" w:hAnsiTheme="majorHAnsi" w:eastAsiaTheme="majorEastAsia" w:cstheme="majorBidi"/>
      <w:sz w:val="24"/>
      <w:szCs w:val="24"/>
    </w:rPr>
  </w:style>
  <w:style w:type="paragraph" w:styleId="45">
    <w:name w:val="No Spacing"/>
    <w:link w:val="56"/>
    <w:qFormat/>
    <w:uiPriority w:val="1"/>
    <w:pPr>
      <w:jc w:val="both"/>
    </w:pPr>
    <w:rPr>
      <w:rFonts w:asciiTheme="minorHAnsi" w:hAnsiTheme="minorHAnsi" w:eastAsiaTheme="minorEastAsia" w:cstheme="minorBidi"/>
      <w:sz w:val="22"/>
      <w:szCs w:val="22"/>
      <w:lang w:val="en-US" w:eastAsia="zh-CN" w:bidi="ar-SA"/>
    </w:rPr>
  </w:style>
  <w:style w:type="paragraph" w:styleId="46">
    <w:name w:val="Quote"/>
    <w:basedOn w:val="1"/>
    <w:next w:val="1"/>
    <w:link w:val="47"/>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7">
    <w:name w:val="引用 字符"/>
    <w:basedOn w:val="29"/>
    <w:link w:val="46"/>
    <w:qFormat/>
    <w:uiPriority w:val="29"/>
    <w:rPr>
      <w:rFonts w:asciiTheme="majorHAnsi" w:hAnsiTheme="majorHAnsi" w:eastAsiaTheme="majorEastAsia" w:cstheme="majorBidi"/>
      <w:i/>
      <w:iCs/>
      <w:sz w:val="24"/>
      <w:szCs w:val="24"/>
    </w:rPr>
  </w:style>
  <w:style w:type="paragraph" w:styleId="48">
    <w:name w:val="Intense Quote"/>
    <w:basedOn w:val="1"/>
    <w:next w:val="1"/>
    <w:link w:val="49"/>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9">
    <w:name w:val="明显引用 字符"/>
    <w:basedOn w:val="29"/>
    <w:link w:val="48"/>
    <w:qFormat/>
    <w:uiPriority w:val="30"/>
    <w:rPr>
      <w:rFonts w:asciiTheme="majorHAnsi" w:hAnsiTheme="majorHAnsi" w:eastAsiaTheme="majorEastAsia" w:cstheme="majorBidi"/>
      <w:sz w:val="26"/>
      <w:szCs w:val="26"/>
    </w:rPr>
  </w:style>
  <w:style w:type="character" w:customStyle="1" w:styleId="50">
    <w:name w:val="不明显强调1"/>
    <w:basedOn w:val="29"/>
    <w:qFormat/>
    <w:uiPriority w:val="19"/>
    <w:rPr>
      <w:i/>
      <w:iCs/>
      <w:color w:val="auto"/>
    </w:rPr>
  </w:style>
  <w:style w:type="character" w:customStyle="1" w:styleId="51">
    <w:name w:val="明显强调1"/>
    <w:basedOn w:val="29"/>
    <w:qFormat/>
    <w:uiPriority w:val="21"/>
    <w:rPr>
      <w:b/>
      <w:bCs/>
      <w:i/>
      <w:iCs/>
      <w:color w:val="auto"/>
    </w:rPr>
  </w:style>
  <w:style w:type="character" w:customStyle="1" w:styleId="52">
    <w:name w:val="不明显参考1"/>
    <w:basedOn w:val="29"/>
    <w:qFormat/>
    <w:uiPriority w:val="31"/>
    <w:rPr>
      <w:smallCaps/>
      <w:color w:val="auto"/>
      <w:u w:val="single" w:color="7E7E7E" w:themeColor="text1" w:themeTint="80"/>
    </w:rPr>
  </w:style>
  <w:style w:type="character" w:customStyle="1" w:styleId="53">
    <w:name w:val="明显参考1"/>
    <w:basedOn w:val="29"/>
    <w:qFormat/>
    <w:uiPriority w:val="32"/>
    <w:rPr>
      <w:b/>
      <w:bCs/>
      <w:smallCaps/>
      <w:color w:val="auto"/>
      <w:u w:val="single"/>
    </w:rPr>
  </w:style>
  <w:style w:type="character" w:customStyle="1" w:styleId="54">
    <w:name w:val="书籍标题1"/>
    <w:basedOn w:val="29"/>
    <w:qFormat/>
    <w:uiPriority w:val="33"/>
    <w:rPr>
      <w:b/>
      <w:bCs/>
      <w:smallCaps/>
      <w:color w:val="auto"/>
    </w:rPr>
  </w:style>
  <w:style w:type="paragraph" w:customStyle="1" w:styleId="55">
    <w:name w:val="TOC 标题1"/>
    <w:basedOn w:val="3"/>
    <w:next w:val="1"/>
    <w:unhideWhenUsed/>
    <w:qFormat/>
    <w:uiPriority w:val="39"/>
    <w:pPr>
      <w:outlineLvl w:val="9"/>
    </w:pPr>
  </w:style>
  <w:style w:type="character" w:customStyle="1" w:styleId="56">
    <w:name w:val="无间隔 字符"/>
    <w:basedOn w:val="29"/>
    <w:link w:val="45"/>
    <w:qFormat/>
    <w:uiPriority w:val="1"/>
  </w:style>
  <w:style w:type="paragraph" w:customStyle="1" w:styleId="5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8">
    <w:name w:val="页眉 字符"/>
    <w:basedOn w:val="29"/>
    <w:link w:val="20"/>
    <w:qFormat/>
    <w:uiPriority w:val="99"/>
    <w:rPr>
      <w:sz w:val="18"/>
      <w:szCs w:val="18"/>
    </w:rPr>
  </w:style>
  <w:style w:type="character" w:customStyle="1" w:styleId="59">
    <w:name w:val="页脚 字符"/>
    <w:basedOn w:val="29"/>
    <w:link w:val="19"/>
    <w:qFormat/>
    <w:uiPriority w:val="99"/>
    <w:rPr>
      <w:sz w:val="18"/>
      <w:szCs w:val="18"/>
    </w:rPr>
  </w:style>
  <w:style w:type="paragraph" w:styleId="60">
    <w:name w:val="List Paragraph"/>
    <w:basedOn w:val="1"/>
    <w:qFormat/>
    <w:uiPriority w:val="0"/>
    <w:pPr>
      <w:ind w:firstLine="420" w:firstLineChars="200"/>
    </w:pPr>
  </w:style>
  <w:style w:type="character" w:customStyle="1" w:styleId="61">
    <w:name w:val="正文文本缩进 3 字符"/>
    <w:basedOn w:val="29"/>
    <w:link w:val="23"/>
    <w:qFormat/>
    <w:uiPriority w:val="0"/>
    <w:rPr>
      <w:rFonts w:ascii="Times New Roman" w:hAnsi="Times New Roman" w:eastAsia="宋体" w:cs="Times New Roman"/>
      <w:kern w:val="2"/>
      <w:sz w:val="16"/>
      <w:szCs w:val="16"/>
    </w:rPr>
  </w:style>
  <w:style w:type="paragraph" w:customStyle="1" w:styleId="62">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63">
    <w:name w:val="纯文本 字符"/>
    <w:basedOn w:val="29"/>
    <w:link w:val="16"/>
    <w:semiHidden/>
    <w:qFormat/>
    <w:uiPriority w:val="99"/>
    <w:rPr>
      <w:rFonts w:hAnsi="Courier New" w:cs="Courier New" w:asciiTheme="minorEastAsia"/>
    </w:rPr>
  </w:style>
  <w:style w:type="character" w:customStyle="1" w:styleId="64">
    <w:name w:val="正文文本 字符"/>
    <w:basedOn w:val="29"/>
    <w:link w:val="14"/>
    <w:qFormat/>
    <w:uiPriority w:val="99"/>
  </w:style>
  <w:style w:type="character" w:customStyle="1" w:styleId="65">
    <w:name w:val="纯文本 Char"/>
    <w:qFormat/>
    <w:uiPriority w:val="0"/>
    <w:rPr>
      <w:rFonts w:ascii="宋体" w:hAnsi="Courier New" w:eastAsia="宋体"/>
      <w:kern w:val="2"/>
      <w:sz w:val="21"/>
      <w:lang w:val="en-US" w:eastAsia="zh-CN" w:bidi="ar-SA"/>
    </w:rPr>
  </w:style>
  <w:style w:type="character" w:customStyle="1" w:styleId="66">
    <w:name w:val="font11"/>
    <w:basedOn w:val="29"/>
    <w:qFormat/>
    <w:uiPriority w:val="0"/>
    <w:rPr>
      <w:rFonts w:hint="eastAsia" w:ascii="微软雅黑" w:hAnsi="微软雅黑" w:eastAsia="微软雅黑" w:cs="微软雅黑"/>
      <w:color w:val="000000"/>
      <w:sz w:val="16"/>
      <w:szCs w:val="16"/>
      <w:u w:val="none"/>
    </w:rPr>
  </w:style>
  <w:style w:type="character" w:customStyle="1" w:styleId="67">
    <w:name w:val="font01"/>
    <w:basedOn w:val="29"/>
    <w:qFormat/>
    <w:uiPriority w:val="0"/>
    <w:rPr>
      <w:rFonts w:hint="eastAsia" w:ascii="微软雅黑" w:hAnsi="微软雅黑" w:eastAsia="微软雅黑" w:cs="微软雅黑"/>
      <w:color w:val="FF0000"/>
      <w:sz w:val="16"/>
      <w:szCs w:val="16"/>
      <w:u w:val="none"/>
    </w:rPr>
  </w:style>
  <w:style w:type="character" w:customStyle="1" w:styleId="68">
    <w:name w:val="批注框文本 字符"/>
    <w:basedOn w:val="29"/>
    <w:link w:val="18"/>
    <w:semiHidden/>
    <w:qFormat/>
    <w:uiPriority w:val="99"/>
    <w:rPr>
      <w:sz w:val="18"/>
      <w:szCs w:val="18"/>
    </w:rPr>
  </w:style>
  <w:style w:type="paragraph" w:customStyle="1" w:styleId="69">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 w:type="character" w:customStyle="1" w:styleId="70">
    <w:name w:val="font21"/>
    <w:basedOn w:val="29"/>
    <w:qFormat/>
    <w:uiPriority w:val="0"/>
    <w:rPr>
      <w:rFonts w:hint="default" w:ascii="Times New Roman" w:hAnsi="Times New Roman" w:cs="Times New Roman"/>
      <w:color w:val="000000"/>
      <w:sz w:val="18"/>
      <w:szCs w:val="18"/>
      <w:u w:val="none"/>
    </w:rPr>
  </w:style>
  <w:style w:type="character" w:customStyle="1" w:styleId="71">
    <w:name w:val="font131"/>
    <w:basedOn w:val="29"/>
    <w:qFormat/>
    <w:uiPriority w:val="0"/>
    <w:rPr>
      <w:rFonts w:hint="eastAsia" w:ascii="宋体" w:hAnsi="宋体" w:eastAsia="宋体" w:cs="宋体"/>
      <w:color w:val="000000"/>
      <w:sz w:val="18"/>
      <w:szCs w:val="18"/>
      <w:u w:val="none"/>
    </w:rPr>
  </w:style>
  <w:style w:type="character" w:customStyle="1" w:styleId="72">
    <w:name w:val="font91"/>
    <w:basedOn w:val="29"/>
    <w:qFormat/>
    <w:uiPriority w:val="0"/>
    <w:rPr>
      <w:rFonts w:hint="eastAsia" w:ascii="宋体" w:hAnsi="宋体" w:eastAsia="宋体" w:cs="宋体"/>
      <w:b/>
      <w:bCs/>
      <w:color w:val="000000"/>
      <w:sz w:val="24"/>
      <w:szCs w:val="24"/>
      <w:u w:val="none"/>
    </w:rPr>
  </w:style>
  <w:style w:type="character" w:customStyle="1" w:styleId="73">
    <w:name w:val="font31"/>
    <w:basedOn w:val="29"/>
    <w:qFormat/>
    <w:uiPriority w:val="0"/>
    <w:rPr>
      <w:rFonts w:hint="eastAsia" w:ascii="宋体" w:hAnsi="宋体" w:eastAsia="宋体" w:cs="宋体"/>
      <w:color w:val="000000"/>
      <w:sz w:val="20"/>
      <w:szCs w:val="20"/>
      <w:u w:val="none"/>
    </w:rPr>
  </w:style>
  <w:style w:type="character" w:customStyle="1" w:styleId="74">
    <w:name w:val="font51"/>
    <w:basedOn w:val="29"/>
    <w:qFormat/>
    <w:uiPriority w:val="0"/>
    <w:rPr>
      <w:rFonts w:hint="eastAsia" w:ascii="宋体" w:hAnsi="宋体" w:eastAsia="宋体" w:cs="宋体"/>
      <w:color w:val="000000"/>
      <w:sz w:val="20"/>
      <w:szCs w:val="20"/>
      <w:u w:val="none"/>
    </w:rPr>
  </w:style>
  <w:style w:type="character" w:customStyle="1" w:styleId="75">
    <w:name w:val="font61"/>
    <w:basedOn w:val="29"/>
    <w:qFormat/>
    <w:uiPriority w:val="0"/>
    <w:rPr>
      <w:rFonts w:hint="eastAsia" w:ascii="宋体" w:hAnsi="宋体" w:eastAsia="宋体" w:cs="宋体"/>
      <w:color w:val="000000"/>
      <w:sz w:val="20"/>
      <w:szCs w:val="20"/>
      <w:u w:val="none"/>
    </w:rPr>
  </w:style>
  <w:style w:type="character" w:customStyle="1" w:styleId="76">
    <w:name w:val="font71"/>
    <w:basedOn w:val="29"/>
    <w:qFormat/>
    <w:uiPriority w:val="0"/>
    <w:rPr>
      <w:rFonts w:hint="default" w:ascii="Times New Roman" w:hAnsi="Times New Roman" w:cs="Times New Roman"/>
      <w:color w:val="000000"/>
      <w:sz w:val="18"/>
      <w:szCs w:val="18"/>
      <w:u w:val="none"/>
    </w:rPr>
  </w:style>
  <w:style w:type="character" w:customStyle="1" w:styleId="77">
    <w:name w:val="font141"/>
    <w:basedOn w:val="29"/>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10</Pages>
  <Words>3131</Words>
  <Characters>3365</Characters>
  <Lines>38</Lines>
  <Paragraphs>10</Paragraphs>
  <TotalTime>7</TotalTime>
  <ScaleCrop>false</ScaleCrop>
  <LinksUpToDate>false</LinksUpToDate>
  <CharactersWithSpaces>3554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cgc</cp:lastModifiedBy>
  <dcterms:modified xsi:type="dcterms:W3CDTF">2023-06-06T00:53:26Z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6F28C06783C24D18B907FA987F13DB45_13</vt:lpwstr>
  </property>
</Properties>
</file>