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4"/>
        <w:spacing w:line="360" w:lineRule="auto"/>
        <w:jc w:val="center"/>
        <w:outlineLvl w:val="0"/>
        <w:rPr>
          <w:rFonts w:ascii="仿宋" w:hAnsi="仿宋" w:eastAsia="仿宋"/>
          <w:b/>
          <w:color w:val="auto"/>
          <w:sz w:val="44"/>
          <w:szCs w:val="44"/>
        </w:rPr>
      </w:pPr>
      <w:bookmarkStart w:id="0" w:name="_Toc259520819"/>
      <w:bookmarkStart w:id="1" w:name="_Toc253066567"/>
      <w:bookmarkStart w:id="2" w:name="_Toc249325665"/>
      <w:bookmarkStart w:id="3" w:name="_Toc267059161"/>
      <w:bookmarkStart w:id="4" w:name="_Toc258401210"/>
      <w:bookmarkStart w:id="5" w:name="_Toc211937196"/>
      <w:bookmarkStart w:id="6" w:name="_Toc177985424"/>
      <w:bookmarkStart w:id="7" w:name="_Toc227058483"/>
      <w:bookmarkStart w:id="8" w:name="_Toc225669277"/>
      <w:bookmarkStart w:id="9" w:name="_Toc266870861"/>
      <w:bookmarkStart w:id="10" w:name="_Toc267059010"/>
      <w:bookmarkStart w:id="11" w:name="_Toc267060162"/>
      <w:bookmarkStart w:id="12" w:name="_Toc212530253"/>
      <w:bookmarkStart w:id="13" w:name="_Toc251586187"/>
      <w:bookmarkStart w:id="14" w:name="_Toc236021402"/>
      <w:bookmarkStart w:id="15" w:name="_Toc254790852"/>
      <w:bookmarkStart w:id="16" w:name="_Toc251613780"/>
      <w:bookmarkStart w:id="17" w:name="_Toc259692600"/>
      <w:bookmarkStart w:id="18" w:name="_Toc169332904"/>
      <w:bookmarkStart w:id="19" w:name="_Toc169332794"/>
      <w:bookmarkStart w:id="20" w:name="_Toc235438227"/>
      <w:bookmarkStart w:id="21" w:name="_Toc223146565"/>
      <w:bookmarkStart w:id="22" w:name="_Toc212526081"/>
      <w:bookmarkStart w:id="23" w:name="_Toc259692693"/>
      <w:bookmarkStart w:id="24" w:name="_Toc267060022"/>
      <w:bookmarkStart w:id="25" w:name="_Toc267059786"/>
      <w:bookmarkStart w:id="26" w:name="_Toc212456146"/>
      <w:bookmarkStart w:id="27" w:name="_Toc267059899"/>
      <w:bookmarkStart w:id="28" w:name="_Toc207014580"/>
      <w:bookmarkStart w:id="29" w:name="_Toc267060407"/>
      <w:bookmarkStart w:id="30" w:name="_Toc267059633"/>
      <w:bookmarkStart w:id="31" w:name="_Toc160880487"/>
      <w:bookmarkStart w:id="32" w:name="_Toc170798743"/>
      <w:bookmarkStart w:id="33" w:name="_Toc219800200"/>
      <w:bookmarkStart w:id="34" w:name="_Toc235438297"/>
      <w:bookmarkStart w:id="35" w:name="_Toc273178686"/>
      <w:bookmarkStart w:id="36" w:name="_Toc255974963"/>
      <w:bookmarkStart w:id="37" w:name="_Toc266870386"/>
      <w:bookmarkStart w:id="38" w:name="_Toc212454753"/>
      <w:bookmarkStart w:id="39" w:name="_Toc266868624"/>
      <w:bookmarkStart w:id="40" w:name="_Toc217891359"/>
      <w:bookmarkStart w:id="41" w:name="_Toc267059519"/>
      <w:bookmarkStart w:id="42" w:name="_Toc216241307"/>
      <w:bookmarkStart w:id="43" w:name="_Toc266868924"/>
      <w:bookmarkStart w:id="44" w:name="_Toc235437942"/>
      <w:r>
        <w:rPr>
          <w:rFonts w:hint="eastAsia" w:ascii="仿宋" w:hAnsi="仿宋" w:eastAsia="仿宋"/>
          <w:b/>
          <w:color w:val="auto"/>
          <w:sz w:val="44"/>
          <w:szCs w:val="44"/>
        </w:rPr>
        <w:t>公开询价邀请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eastAsia" w:ascii="仿宋" w:hAnsi="仿宋" w:eastAsia="仿宋"/>
          <w:b/>
          <w:color w:val="auto"/>
          <w:sz w:val="44"/>
          <w:szCs w:val="44"/>
        </w:rPr>
        <w:t>函</w:t>
      </w:r>
    </w:p>
    <w:p>
      <w:pPr>
        <w:widowControl w:val="0"/>
        <w:numPr>
          <w:ilvl w:val="0"/>
          <w:numId w:val="0"/>
        </w:numPr>
        <w:spacing w:after="0" w:line="500" w:lineRule="exact"/>
        <w:ind w:left="420" w:leftChars="0" w:firstLine="480" w:firstLineChars="200"/>
        <w:rPr>
          <w:rFonts w:ascii="仿宋" w:hAnsi="仿宋" w:eastAsia="仿宋"/>
          <w:color w:val="0000FF"/>
          <w:sz w:val="24"/>
          <w:szCs w:val="24"/>
          <w:highlight w:val="none"/>
        </w:rPr>
      </w:pPr>
      <w:bookmarkStart w:id="45" w:name="_Hlk10840310"/>
      <w:r>
        <w:rPr>
          <w:rFonts w:hint="eastAsia" w:ascii="仿宋" w:hAnsi="仿宋" w:eastAsia="仿宋"/>
          <w:color w:val="auto"/>
          <w:sz w:val="24"/>
          <w:szCs w:val="24"/>
          <w:highlight w:val="none"/>
        </w:rPr>
        <w:t>中国教育集团控股有限公司（简称：中教集团）是一家专注于通过创新提供优质教育服务的集团。2017年香港联交所上市（股票代码839），在中国、澳大利亚及英国设有采购人。华教教育科技（江西）有限公司（简称：华教公司）作为中教集团内地唯一独资子公司全程承办此次项目。根据需要，对</w:t>
      </w:r>
      <w:r>
        <w:rPr>
          <w:rFonts w:hint="eastAsia" w:ascii="仿宋" w:hAnsi="仿宋" w:eastAsia="仿宋"/>
          <w:color w:val="auto"/>
          <w:sz w:val="24"/>
          <w:szCs w:val="24"/>
          <w:highlight w:val="none"/>
          <w:lang w:val="en-US" w:eastAsia="zh-CN"/>
        </w:rPr>
        <w:t>垃圾分类收集站</w:t>
      </w:r>
      <w:r>
        <w:rPr>
          <w:rFonts w:hint="eastAsia" w:ascii="仿宋" w:hAnsi="仿宋" w:eastAsia="仿宋"/>
          <w:color w:val="auto"/>
          <w:sz w:val="24"/>
          <w:szCs w:val="24"/>
          <w:highlight w:val="none"/>
        </w:rPr>
        <w:t>采购及安装项目进行公开询价，欢迎国内合格参与人参与。</w:t>
      </w:r>
    </w:p>
    <w:p>
      <w:pPr>
        <w:spacing w:after="0" w:line="500" w:lineRule="exact"/>
        <w:ind w:firstLine="364" w:firstLineChars="152"/>
        <w:jc w:val="left"/>
        <w:rPr>
          <w:rFonts w:ascii="仿宋" w:hAnsi="仿宋" w:eastAsia="仿宋"/>
          <w:color w:val="auto"/>
          <w:sz w:val="24"/>
          <w:szCs w:val="24"/>
          <w:highlight w:val="none"/>
        </w:rPr>
      </w:pPr>
      <w:r>
        <w:rPr>
          <w:rFonts w:hint="eastAsia" w:ascii="仿宋" w:hAnsi="仿宋" w:eastAsia="仿宋"/>
          <w:color w:val="auto"/>
          <w:sz w:val="24"/>
          <w:szCs w:val="24"/>
          <w:highlight w:val="none"/>
        </w:rPr>
        <w:t>一、项目说明</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项目编号：</w:t>
      </w:r>
      <w:r>
        <w:rPr>
          <w:rFonts w:hint="eastAsia" w:ascii="仿宋" w:hAnsi="仿宋" w:eastAsia="仿宋"/>
          <w:color w:val="auto"/>
          <w:sz w:val="24"/>
          <w:szCs w:val="24"/>
          <w:highlight w:val="none"/>
          <w:lang w:eastAsia="zh-CN"/>
        </w:rPr>
        <w:t>A-ZQXJ2023-0701</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项目名称：</w:t>
      </w:r>
      <w:r>
        <w:rPr>
          <w:rFonts w:hint="eastAsia" w:ascii="仿宋" w:hAnsi="仿宋" w:eastAsia="仿宋"/>
          <w:color w:val="auto"/>
          <w:sz w:val="24"/>
          <w:szCs w:val="24"/>
          <w:highlight w:val="none"/>
          <w:lang w:val="en-US" w:eastAsia="zh-CN"/>
        </w:rPr>
        <w:t>广州应用科技学院肇庆校区3个垃圾分类收集站</w:t>
      </w:r>
      <w:r>
        <w:rPr>
          <w:rFonts w:hint="eastAsia" w:ascii="仿宋" w:hAnsi="仿宋" w:eastAsia="仿宋"/>
          <w:color w:val="auto"/>
          <w:sz w:val="24"/>
          <w:szCs w:val="24"/>
          <w:highlight w:val="none"/>
        </w:rPr>
        <w:t>采购及安装项目</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数量及主要技术要求:详见《公开询价货物一览表》。</w:t>
      </w:r>
    </w:p>
    <w:p>
      <w:pPr>
        <w:widowControl w:val="0"/>
        <w:numPr>
          <w:ilvl w:val="1"/>
          <w:numId w:val="1"/>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参与人资格标准：</w:t>
      </w:r>
    </w:p>
    <w:p>
      <w:pPr>
        <w:pStyle w:val="57"/>
        <w:numPr>
          <w:ilvl w:val="0"/>
          <w:numId w:val="2"/>
        </w:numPr>
        <w:spacing w:after="0" w:line="500" w:lineRule="exact"/>
        <w:ind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参与人应具有独立法人资格的生产厂商</w:t>
      </w:r>
      <w:r>
        <w:rPr>
          <w:rFonts w:hint="eastAsia" w:ascii="仿宋" w:hAnsi="仿宋" w:eastAsia="仿宋"/>
          <w:color w:val="auto"/>
          <w:sz w:val="24"/>
          <w:szCs w:val="24"/>
          <w:highlight w:val="none"/>
          <w:lang w:val="en-US" w:eastAsia="zh-CN"/>
        </w:rPr>
        <w:t>或授权代理商</w:t>
      </w:r>
      <w:r>
        <w:rPr>
          <w:rFonts w:hint="eastAsia" w:ascii="仿宋" w:hAnsi="仿宋" w:eastAsia="仿宋"/>
          <w:color w:val="auto"/>
          <w:sz w:val="24"/>
          <w:szCs w:val="24"/>
          <w:highlight w:val="none"/>
          <w:lang w:eastAsia="zh-CN"/>
        </w:rPr>
        <w:t>。</w:t>
      </w:r>
    </w:p>
    <w:p>
      <w:pPr>
        <w:pStyle w:val="57"/>
        <w:numPr>
          <w:ilvl w:val="0"/>
          <w:numId w:val="2"/>
        </w:numPr>
        <w:spacing w:after="0" w:line="500" w:lineRule="exact"/>
        <w:ind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参与人应具有合法有效的营业执照，经营范围应包括</w:t>
      </w:r>
      <w:r>
        <w:rPr>
          <w:rFonts w:hint="eastAsia" w:ascii="仿宋" w:hAnsi="仿宋" w:eastAsia="仿宋"/>
          <w:color w:val="auto"/>
          <w:sz w:val="24"/>
          <w:szCs w:val="24"/>
          <w:highlight w:val="none"/>
          <w:lang w:val="en-US" w:eastAsia="zh-CN"/>
        </w:rPr>
        <w:t>垃圾分类收集站销售</w:t>
      </w:r>
      <w:r>
        <w:rPr>
          <w:rFonts w:hint="eastAsia" w:ascii="仿宋" w:hAnsi="仿宋" w:eastAsia="仿宋"/>
          <w:color w:val="auto"/>
          <w:sz w:val="24"/>
          <w:szCs w:val="24"/>
          <w:highlight w:val="none"/>
        </w:rPr>
        <w:t>等资质。</w:t>
      </w:r>
    </w:p>
    <w:p>
      <w:pPr>
        <w:pStyle w:val="57"/>
        <w:numPr>
          <w:ilvl w:val="0"/>
          <w:numId w:val="2"/>
        </w:numPr>
        <w:spacing w:after="0" w:line="500" w:lineRule="exact"/>
        <w:ind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参与人应具</w:t>
      </w:r>
      <w:r>
        <w:rPr>
          <w:rFonts w:ascii="仿宋" w:hAnsi="仿宋" w:eastAsia="仿宋"/>
          <w:color w:val="auto"/>
          <w:sz w:val="24"/>
          <w:szCs w:val="24"/>
          <w:highlight w:val="none"/>
        </w:rPr>
        <w:t>有提</w:t>
      </w:r>
      <w:r>
        <w:rPr>
          <w:rFonts w:hint="eastAsia" w:ascii="仿宋" w:hAnsi="仿宋" w:eastAsia="仿宋"/>
          <w:color w:val="auto"/>
          <w:sz w:val="24"/>
          <w:szCs w:val="24"/>
          <w:highlight w:val="none"/>
        </w:rPr>
        <w:t>供</w:t>
      </w:r>
      <w:r>
        <w:rPr>
          <w:rFonts w:hint="eastAsia" w:ascii="仿宋" w:hAnsi="仿宋" w:eastAsia="仿宋"/>
          <w:color w:val="auto"/>
          <w:sz w:val="24"/>
          <w:szCs w:val="24"/>
          <w:highlight w:val="none"/>
          <w:lang w:val="en-US" w:eastAsia="zh-CN"/>
        </w:rPr>
        <w:t>垃圾分类收集站</w:t>
      </w:r>
      <w:r>
        <w:rPr>
          <w:rFonts w:ascii="仿宋" w:hAnsi="仿宋" w:eastAsia="仿宋"/>
          <w:color w:val="auto"/>
          <w:sz w:val="24"/>
          <w:szCs w:val="24"/>
          <w:highlight w:val="none"/>
        </w:rPr>
        <w:t>和</w:t>
      </w:r>
      <w:r>
        <w:rPr>
          <w:rFonts w:hint="eastAsia" w:ascii="仿宋" w:hAnsi="仿宋" w:eastAsia="仿宋"/>
          <w:color w:val="auto"/>
          <w:sz w:val="24"/>
          <w:szCs w:val="24"/>
          <w:highlight w:val="none"/>
          <w:lang w:val="en-US" w:eastAsia="zh-CN"/>
        </w:rPr>
        <w:t>安装、售后服务</w:t>
      </w:r>
      <w:r>
        <w:rPr>
          <w:rFonts w:ascii="仿宋" w:hAnsi="仿宋" w:eastAsia="仿宋"/>
          <w:color w:val="auto"/>
          <w:sz w:val="24"/>
          <w:szCs w:val="24"/>
          <w:highlight w:val="none"/>
        </w:rPr>
        <w:t>的资格</w:t>
      </w:r>
      <w:r>
        <w:rPr>
          <w:rFonts w:hint="eastAsia" w:ascii="仿宋" w:hAnsi="仿宋" w:eastAsia="仿宋"/>
          <w:color w:val="auto"/>
          <w:sz w:val="24"/>
          <w:szCs w:val="24"/>
          <w:highlight w:val="none"/>
        </w:rPr>
        <w:t>及</w:t>
      </w:r>
      <w:r>
        <w:rPr>
          <w:rFonts w:ascii="仿宋" w:hAnsi="仿宋" w:eastAsia="仿宋"/>
          <w:color w:val="auto"/>
          <w:sz w:val="24"/>
          <w:szCs w:val="24"/>
          <w:highlight w:val="none"/>
        </w:rPr>
        <w:t>能力</w:t>
      </w:r>
      <w:r>
        <w:rPr>
          <w:rFonts w:hint="eastAsia" w:ascii="仿宋" w:hAnsi="仿宋" w:eastAsia="仿宋"/>
          <w:color w:val="auto"/>
          <w:sz w:val="24"/>
          <w:szCs w:val="24"/>
          <w:highlight w:val="none"/>
          <w:lang w:eastAsia="zh-CN"/>
        </w:rPr>
        <w:t>。</w:t>
      </w:r>
    </w:p>
    <w:p>
      <w:pPr>
        <w:widowControl w:val="0"/>
        <w:numPr>
          <w:ilvl w:val="1"/>
          <w:numId w:val="1"/>
        </w:numPr>
        <w:spacing w:after="0" w:line="500" w:lineRule="exact"/>
        <w:rPr>
          <w:rFonts w:ascii="仿宋" w:hAnsi="仿宋" w:eastAsia="仿宋"/>
          <w:color w:val="auto"/>
          <w:sz w:val="24"/>
          <w:szCs w:val="24"/>
          <w:highlight w:val="none"/>
          <w:shd w:val="clear" w:color="auto" w:fill="FFFFFF"/>
        </w:rPr>
      </w:pPr>
      <w:r>
        <w:rPr>
          <w:rFonts w:hint="eastAsia" w:ascii="仿宋" w:hAnsi="仿宋" w:eastAsia="仿宋"/>
          <w:color w:val="auto"/>
          <w:sz w:val="24"/>
          <w:szCs w:val="24"/>
          <w:highlight w:val="none"/>
        </w:rPr>
        <w:t>报价响应文件递交方式：密封报价，按规定时间送达</w:t>
      </w:r>
      <w:r>
        <w:rPr>
          <w:rFonts w:hint="eastAsia" w:ascii="仿宋" w:hAnsi="仿宋" w:eastAsia="仿宋"/>
          <w:color w:val="auto"/>
          <w:sz w:val="24"/>
          <w:szCs w:val="24"/>
          <w:highlight w:val="none"/>
          <w:lang w:val="en-US" w:eastAsia="zh-CN"/>
        </w:rPr>
        <w:t>/邮寄</w:t>
      </w:r>
      <w:r>
        <w:rPr>
          <w:rFonts w:hint="eastAsia" w:ascii="仿宋" w:hAnsi="仿宋" w:eastAsia="仿宋"/>
          <w:color w:val="auto"/>
          <w:sz w:val="24"/>
          <w:szCs w:val="24"/>
          <w:highlight w:val="none"/>
        </w:rPr>
        <w:t>。</w:t>
      </w:r>
    </w:p>
    <w:p>
      <w:pPr>
        <w:widowControl w:val="0"/>
        <w:numPr>
          <w:ilvl w:val="1"/>
          <w:numId w:val="1"/>
        </w:numPr>
        <w:spacing w:after="0" w:line="500" w:lineRule="exact"/>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en-US" w:eastAsia="zh-CN"/>
        </w:rPr>
        <w:t>项目询价截止时间：</w:t>
      </w:r>
      <w:r>
        <w:rPr>
          <w:rFonts w:hint="eastAsia" w:ascii="仿宋" w:hAnsi="仿宋" w:eastAsia="仿宋"/>
          <w:color w:val="auto"/>
          <w:sz w:val="24"/>
          <w:szCs w:val="24"/>
          <w:highlight w:val="none"/>
          <w:shd w:val="clear" w:color="auto" w:fill="FFFFFF"/>
        </w:rPr>
        <w:t>202</w:t>
      </w:r>
      <w:r>
        <w:rPr>
          <w:rFonts w:hint="eastAsia" w:ascii="仿宋" w:hAnsi="仿宋" w:eastAsia="仿宋"/>
          <w:color w:val="auto"/>
          <w:sz w:val="24"/>
          <w:szCs w:val="24"/>
          <w:highlight w:val="none"/>
          <w:shd w:val="clear" w:color="auto" w:fill="FFFFFF"/>
          <w:lang w:val="en-US" w:eastAsia="zh-CN"/>
        </w:rPr>
        <w:t>3</w:t>
      </w:r>
      <w:r>
        <w:rPr>
          <w:rFonts w:hint="eastAsia" w:ascii="仿宋" w:hAnsi="仿宋" w:eastAsia="仿宋"/>
          <w:color w:val="auto"/>
          <w:sz w:val="24"/>
          <w:szCs w:val="24"/>
          <w:highlight w:val="none"/>
          <w:shd w:val="clear" w:color="auto" w:fill="FFFFFF"/>
        </w:rPr>
        <w:t>年0</w:t>
      </w:r>
      <w:r>
        <w:rPr>
          <w:rFonts w:hint="eastAsia" w:ascii="仿宋" w:hAnsi="仿宋" w:eastAsia="仿宋"/>
          <w:color w:val="auto"/>
          <w:sz w:val="24"/>
          <w:szCs w:val="24"/>
          <w:highlight w:val="none"/>
          <w:shd w:val="clear" w:color="auto" w:fill="FFFFFF"/>
          <w:lang w:val="en-US" w:eastAsia="zh-CN"/>
        </w:rPr>
        <w:t>7</w:t>
      </w:r>
      <w:r>
        <w:rPr>
          <w:rFonts w:hint="eastAsia" w:ascii="仿宋" w:hAnsi="仿宋" w:eastAsia="仿宋"/>
          <w:color w:val="auto"/>
          <w:sz w:val="24"/>
          <w:szCs w:val="24"/>
          <w:highlight w:val="none"/>
          <w:shd w:val="clear" w:color="auto" w:fill="FFFFFF"/>
        </w:rPr>
        <w:t>月</w:t>
      </w:r>
      <w:r>
        <w:rPr>
          <w:rFonts w:hint="eastAsia" w:ascii="仿宋" w:hAnsi="仿宋" w:eastAsia="仿宋"/>
          <w:color w:val="auto"/>
          <w:sz w:val="24"/>
          <w:szCs w:val="24"/>
          <w:highlight w:val="none"/>
          <w:shd w:val="clear" w:color="auto" w:fill="FFFFFF"/>
          <w:lang w:val="en-US" w:eastAsia="zh-CN"/>
        </w:rPr>
        <w:t>11</w:t>
      </w:r>
      <w:r>
        <w:rPr>
          <w:rFonts w:hint="eastAsia" w:ascii="仿宋" w:hAnsi="仿宋" w:eastAsia="仿宋"/>
          <w:color w:val="auto"/>
          <w:sz w:val="24"/>
          <w:szCs w:val="24"/>
          <w:highlight w:val="none"/>
          <w:shd w:val="clear" w:color="auto" w:fill="FFFFFF"/>
        </w:rPr>
        <w:t>日</w:t>
      </w:r>
      <w:r>
        <w:rPr>
          <w:rFonts w:hint="eastAsia" w:ascii="仿宋" w:hAnsi="仿宋" w:eastAsia="仿宋" w:cs="仿宋"/>
          <w:color w:val="auto"/>
          <w:sz w:val="24"/>
          <w:szCs w:val="24"/>
          <w:highlight w:val="none"/>
          <w:lang w:val="en-US" w:eastAsia="zh-CN"/>
        </w:rPr>
        <w:t>上午10</w:t>
      </w:r>
      <w:r>
        <w:rPr>
          <w:rFonts w:hint="eastAsia" w:ascii="仿宋" w:hAnsi="仿宋" w:eastAsia="仿宋" w:cs="仿宋"/>
          <w:color w:val="auto"/>
          <w:sz w:val="24"/>
          <w:szCs w:val="24"/>
          <w:highlight w:val="none"/>
        </w:rPr>
        <w:t>点</w:t>
      </w:r>
      <w:r>
        <w:rPr>
          <w:rFonts w:hint="eastAsia" w:ascii="仿宋" w:hAnsi="仿宋" w:eastAsia="仿宋" w:cs="仿宋"/>
          <w:color w:val="auto"/>
          <w:sz w:val="24"/>
          <w:szCs w:val="24"/>
          <w:highlight w:val="none"/>
          <w:lang w:val="en-US" w:eastAsia="zh-CN"/>
        </w:rPr>
        <w:t>前</w:t>
      </w:r>
      <w:r>
        <w:rPr>
          <w:rFonts w:hint="eastAsia" w:ascii="仿宋" w:hAnsi="仿宋" w:eastAsia="仿宋"/>
          <w:color w:val="auto"/>
          <w:sz w:val="24"/>
          <w:szCs w:val="24"/>
          <w:highlight w:val="none"/>
          <w:shd w:val="clear" w:color="auto" w:fill="FFFFFF"/>
          <w:lang w:val="en-US" w:eastAsia="zh-CN"/>
        </w:rPr>
        <w:t>，提交报名资料</w:t>
      </w:r>
      <w:r>
        <w:rPr>
          <w:rFonts w:hint="eastAsia" w:ascii="仿宋" w:hAnsi="仿宋" w:eastAsia="仿宋"/>
          <w:color w:val="auto"/>
          <w:sz w:val="24"/>
          <w:szCs w:val="24"/>
          <w:highlight w:val="none"/>
          <w:shd w:val="clear" w:color="auto" w:fill="FFFFFF"/>
        </w:rPr>
        <w:t>（彩色扫描件）以PDF形式发送至</w:t>
      </w:r>
      <w:r>
        <w:rPr>
          <w:rFonts w:hint="eastAsia" w:ascii="仿宋" w:hAnsi="仿宋" w:eastAsia="仿宋"/>
          <w:color w:val="auto"/>
          <w:sz w:val="24"/>
          <w:szCs w:val="24"/>
          <w:highlight w:val="none"/>
          <w:shd w:val="clear" w:color="auto" w:fill="FFFFFF"/>
          <w:lang w:val="en-US" w:eastAsia="zh-CN"/>
        </w:rPr>
        <w:t>邮箱964582085@qq.com</w:t>
      </w:r>
      <w:r>
        <w:rPr>
          <w:rFonts w:hint="eastAsia" w:ascii="仿宋" w:hAnsi="仿宋" w:eastAsia="仿宋"/>
          <w:color w:val="auto"/>
          <w:sz w:val="24"/>
          <w:szCs w:val="24"/>
          <w:highlight w:val="none"/>
          <w:shd w:val="clear" w:color="auto" w:fill="FFFFFF"/>
        </w:rPr>
        <w:t>（文件需汇总成一个PDF文件）。</w:t>
      </w:r>
    </w:p>
    <w:p>
      <w:pPr>
        <w:widowControl w:val="0"/>
        <w:numPr>
          <w:ilvl w:val="0"/>
          <w:numId w:val="0"/>
        </w:numPr>
        <w:spacing w:after="0" w:line="500" w:lineRule="exact"/>
        <w:ind w:left="420" w:leftChars="0" w:firstLine="480" w:firstLineChars="200"/>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shd w:val="clear" w:color="auto" w:fill="FFFFFF"/>
          <w:lang w:val="en-US" w:eastAsia="zh-CN"/>
        </w:rPr>
        <w:t>报名资料：</w:t>
      </w:r>
      <w:r>
        <w:rPr>
          <w:rFonts w:hint="eastAsia" w:ascii="仿宋" w:hAnsi="仿宋" w:eastAsia="仿宋"/>
          <w:color w:val="auto"/>
          <w:sz w:val="24"/>
          <w:szCs w:val="24"/>
          <w:highlight w:val="none"/>
          <w:lang w:val="en-US" w:eastAsia="zh-CN"/>
        </w:rPr>
        <w:t>营业执照、业绩文件（附不少于1份合同和送货单或其他验收合格确认资料）、投标联系人名称及联系方式。</w:t>
      </w:r>
    </w:p>
    <w:p>
      <w:pPr>
        <w:pStyle w:val="57"/>
        <w:numPr>
          <w:ilvl w:val="1"/>
          <w:numId w:val="1"/>
        </w:numPr>
        <w:spacing w:after="0" w:line="500" w:lineRule="exact"/>
        <w:ind w:firstLineChars="0"/>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报价响应文件</w:t>
      </w:r>
      <w:r>
        <w:rPr>
          <w:rFonts w:hint="eastAsia" w:ascii="仿宋" w:hAnsi="仿宋" w:eastAsia="仿宋"/>
          <w:color w:val="auto"/>
          <w:sz w:val="24"/>
          <w:szCs w:val="24"/>
          <w:highlight w:val="none"/>
        </w:rPr>
        <w:t>递交截止时间</w:t>
      </w:r>
      <w:r>
        <w:rPr>
          <w:rFonts w:hint="eastAsia" w:ascii="仿宋" w:hAnsi="仿宋" w:eastAsia="仿宋"/>
          <w:color w:val="auto"/>
          <w:sz w:val="24"/>
          <w:szCs w:val="24"/>
          <w:highlight w:val="none"/>
          <w:shd w:val="clear" w:color="auto" w:fill="FFFFFF"/>
        </w:rPr>
        <w:t>：202</w:t>
      </w:r>
      <w:r>
        <w:rPr>
          <w:rFonts w:hint="eastAsia" w:ascii="仿宋" w:hAnsi="仿宋" w:eastAsia="仿宋"/>
          <w:color w:val="auto"/>
          <w:sz w:val="24"/>
          <w:szCs w:val="24"/>
          <w:highlight w:val="none"/>
          <w:shd w:val="clear" w:color="auto" w:fill="FFFFFF"/>
          <w:lang w:val="en-US" w:eastAsia="zh-CN"/>
        </w:rPr>
        <w:t>3</w:t>
      </w:r>
      <w:r>
        <w:rPr>
          <w:rFonts w:hint="eastAsia" w:ascii="仿宋" w:hAnsi="仿宋" w:eastAsia="仿宋"/>
          <w:color w:val="auto"/>
          <w:sz w:val="24"/>
          <w:szCs w:val="24"/>
          <w:highlight w:val="none"/>
          <w:shd w:val="clear" w:color="auto" w:fill="FFFFFF"/>
        </w:rPr>
        <w:t>年0</w:t>
      </w:r>
      <w:r>
        <w:rPr>
          <w:rFonts w:hint="eastAsia" w:ascii="仿宋" w:hAnsi="仿宋" w:eastAsia="仿宋"/>
          <w:color w:val="auto"/>
          <w:sz w:val="24"/>
          <w:szCs w:val="24"/>
          <w:highlight w:val="none"/>
          <w:shd w:val="clear" w:color="auto" w:fill="FFFFFF"/>
          <w:lang w:val="en-US" w:eastAsia="zh-CN"/>
        </w:rPr>
        <w:t>7</w:t>
      </w:r>
      <w:r>
        <w:rPr>
          <w:rFonts w:ascii="仿宋" w:hAnsi="仿宋" w:eastAsia="仿宋"/>
          <w:color w:val="auto"/>
          <w:sz w:val="24"/>
          <w:szCs w:val="24"/>
          <w:highlight w:val="none"/>
          <w:shd w:val="clear" w:color="auto" w:fill="FFFFFF"/>
        </w:rPr>
        <w:t>月</w:t>
      </w:r>
      <w:r>
        <w:rPr>
          <w:rFonts w:hint="eastAsia" w:ascii="仿宋" w:hAnsi="仿宋" w:eastAsia="仿宋"/>
          <w:color w:val="auto"/>
          <w:sz w:val="24"/>
          <w:szCs w:val="24"/>
          <w:highlight w:val="none"/>
          <w:shd w:val="clear" w:color="auto" w:fill="FFFFFF"/>
          <w:lang w:val="en-US" w:eastAsia="zh-CN"/>
        </w:rPr>
        <w:t>13</w:t>
      </w:r>
      <w:r>
        <w:rPr>
          <w:rFonts w:ascii="仿宋" w:hAnsi="仿宋" w:eastAsia="仿宋"/>
          <w:color w:val="auto"/>
          <w:sz w:val="24"/>
          <w:szCs w:val="24"/>
          <w:highlight w:val="none"/>
          <w:shd w:val="clear" w:color="auto" w:fill="FFFFFF"/>
        </w:rPr>
        <w:t>日</w:t>
      </w:r>
      <w:r>
        <w:rPr>
          <w:rFonts w:hint="eastAsia" w:ascii="仿宋" w:hAnsi="仿宋" w:eastAsia="仿宋"/>
          <w:color w:val="auto"/>
          <w:sz w:val="24"/>
          <w:szCs w:val="24"/>
          <w:highlight w:val="none"/>
          <w:shd w:val="clear" w:color="auto" w:fill="FFFFFF"/>
        </w:rPr>
        <w:t>下午</w:t>
      </w:r>
      <w:r>
        <w:rPr>
          <w:rFonts w:ascii="仿宋" w:hAnsi="仿宋" w:eastAsia="仿宋"/>
          <w:color w:val="auto"/>
          <w:sz w:val="24"/>
          <w:szCs w:val="24"/>
          <w:highlight w:val="none"/>
          <w:shd w:val="clear" w:color="auto" w:fill="FFFFFF"/>
        </w:rPr>
        <w:t>1</w:t>
      </w:r>
      <w:r>
        <w:rPr>
          <w:rFonts w:hint="eastAsia" w:ascii="仿宋" w:hAnsi="仿宋" w:eastAsia="仿宋"/>
          <w:color w:val="auto"/>
          <w:sz w:val="24"/>
          <w:szCs w:val="24"/>
          <w:highlight w:val="none"/>
          <w:shd w:val="clear" w:color="auto" w:fill="FFFFFF"/>
          <w:lang w:val="en-US" w:eastAsia="zh-CN"/>
        </w:rPr>
        <w:t>6</w:t>
      </w:r>
      <w:r>
        <w:rPr>
          <w:rFonts w:hint="eastAsia" w:ascii="仿宋" w:hAnsi="仿宋" w:eastAsia="仿宋"/>
          <w:color w:val="auto"/>
          <w:sz w:val="24"/>
          <w:szCs w:val="24"/>
          <w:highlight w:val="none"/>
          <w:shd w:val="clear" w:color="auto" w:fill="FFFFFF"/>
        </w:rPr>
        <w:t>:</w:t>
      </w:r>
      <w:r>
        <w:rPr>
          <w:rFonts w:ascii="仿宋" w:hAnsi="仿宋" w:eastAsia="仿宋"/>
          <w:color w:val="auto"/>
          <w:sz w:val="24"/>
          <w:szCs w:val="24"/>
          <w:highlight w:val="none"/>
          <w:shd w:val="clear" w:color="auto" w:fill="FFFFFF"/>
        </w:rPr>
        <w:t>00</w:t>
      </w:r>
      <w:r>
        <w:rPr>
          <w:rFonts w:hint="eastAsia" w:ascii="仿宋" w:hAnsi="仿宋" w:eastAsia="仿宋"/>
          <w:color w:val="auto"/>
          <w:sz w:val="24"/>
          <w:szCs w:val="24"/>
          <w:highlight w:val="none"/>
          <w:shd w:val="clear" w:color="auto" w:fill="FFFFFF"/>
        </w:rPr>
        <w:t>前。（</w:t>
      </w:r>
      <w:r>
        <w:rPr>
          <w:rFonts w:hint="eastAsia" w:ascii="仿宋" w:hAnsi="仿宋" w:eastAsia="仿宋"/>
          <w:color w:val="auto"/>
          <w:sz w:val="24"/>
          <w:szCs w:val="24"/>
          <w:highlight w:val="none"/>
          <w:shd w:val="clear" w:color="auto" w:fill="FFFFFF"/>
          <w:lang w:val="en-US" w:eastAsia="zh-CN"/>
        </w:rPr>
        <w:t>邮寄截止时间</w:t>
      </w:r>
      <w:r>
        <w:rPr>
          <w:rFonts w:hint="eastAsia" w:ascii="仿宋" w:hAnsi="仿宋" w:eastAsia="仿宋"/>
          <w:color w:val="auto"/>
          <w:sz w:val="24"/>
          <w:szCs w:val="24"/>
          <w:highlight w:val="none"/>
          <w:shd w:val="clear" w:color="auto" w:fill="FFFFFF"/>
        </w:rPr>
        <w:t>提前</w:t>
      </w:r>
      <w:r>
        <w:rPr>
          <w:rFonts w:hint="eastAsia" w:ascii="仿宋" w:hAnsi="仿宋" w:eastAsia="仿宋"/>
          <w:color w:val="auto"/>
          <w:sz w:val="24"/>
          <w:szCs w:val="24"/>
          <w:highlight w:val="none"/>
          <w:shd w:val="clear" w:color="auto" w:fill="FFFFFF"/>
          <w:lang w:val="en-US" w:eastAsia="zh-CN"/>
        </w:rPr>
        <w:t>1天</w:t>
      </w:r>
      <w:r>
        <w:rPr>
          <w:rFonts w:hint="eastAsia" w:ascii="仿宋" w:hAnsi="仿宋" w:eastAsia="仿宋"/>
          <w:color w:val="auto"/>
          <w:sz w:val="24"/>
          <w:szCs w:val="24"/>
          <w:highlight w:val="none"/>
          <w:shd w:val="clear" w:color="auto" w:fill="FFFFFF"/>
        </w:rPr>
        <w:t>）</w:t>
      </w:r>
    </w:p>
    <w:p>
      <w:pPr>
        <w:pStyle w:val="57"/>
        <w:numPr>
          <w:ilvl w:val="1"/>
          <w:numId w:val="1"/>
        </w:numPr>
        <w:spacing w:after="0" w:line="500" w:lineRule="exact"/>
        <w:ind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报价响应文件递交地点：</w:t>
      </w:r>
      <w:r>
        <w:rPr>
          <w:rFonts w:hint="eastAsia" w:ascii="仿宋" w:hAnsi="仿宋" w:eastAsia="仿宋" w:cs="仿宋"/>
          <w:color w:val="auto"/>
          <w:sz w:val="24"/>
          <w:szCs w:val="24"/>
          <w:highlight w:val="none"/>
          <w:lang w:eastAsia="zh-CN"/>
        </w:rPr>
        <w:t>肇庆市鼎湖区莲花镇丰乐路20号，广州应用科技学院（肇庆校区）采购办公室</w:t>
      </w:r>
    </w:p>
    <w:p>
      <w:pPr>
        <w:pStyle w:val="57"/>
        <w:numPr>
          <w:ilvl w:val="0"/>
          <w:numId w:val="0"/>
        </w:numPr>
        <w:spacing w:after="0" w:line="500" w:lineRule="exact"/>
        <w:ind w:firstLine="960" w:firstLineChars="400"/>
        <w:rPr>
          <w:rFonts w:hint="default" w:ascii="仿宋" w:hAnsi="仿宋" w:eastAsia="仿宋"/>
          <w:color w:val="auto"/>
          <w:sz w:val="24"/>
          <w:szCs w:val="24"/>
          <w:highlight w:val="none"/>
          <w:lang w:val="en-US"/>
        </w:rPr>
      </w:pPr>
      <w:r>
        <w:rPr>
          <w:rFonts w:hint="eastAsia" w:ascii="仿宋" w:hAnsi="仿宋" w:eastAsia="仿宋"/>
          <w:color w:val="auto"/>
          <w:sz w:val="24"/>
          <w:szCs w:val="24"/>
          <w:highlight w:val="none"/>
          <w:shd w:val="clear" w:color="auto" w:fill="FFFFFF"/>
        </w:rPr>
        <w:t>联系人：</w:t>
      </w:r>
      <w:r>
        <w:rPr>
          <w:rFonts w:hint="eastAsia" w:ascii="仿宋" w:hAnsi="仿宋" w:eastAsia="仿宋"/>
          <w:color w:val="auto"/>
          <w:sz w:val="24"/>
          <w:szCs w:val="24"/>
          <w:highlight w:val="none"/>
          <w:shd w:val="clear" w:color="auto" w:fill="FFFFFF"/>
          <w:lang w:val="en-US" w:eastAsia="zh-CN"/>
        </w:rPr>
        <w:t>黄老师</w:t>
      </w:r>
      <w:r>
        <w:rPr>
          <w:rFonts w:hint="eastAsia" w:ascii="仿宋" w:hAnsi="仿宋" w:eastAsia="仿宋"/>
          <w:color w:val="auto"/>
          <w:sz w:val="24"/>
          <w:szCs w:val="24"/>
          <w:highlight w:val="none"/>
          <w:shd w:val="clear" w:color="auto" w:fill="FFFFFF"/>
        </w:rPr>
        <w:t>，电话：</w:t>
      </w:r>
      <w:bookmarkStart w:id="46" w:name="_Hlk97917519"/>
      <w:r>
        <w:rPr>
          <w:rFonts w:hint="eastAsia" w:ascii="仿宋" w:hAnsi="仿宋" w:eastAsia="仿宋"/>
          <w:color w:val="auto"/>
          <w:sz w:val="24"/>
          <w:szCs w:val="24"/>
          <w:highlight w:val="none"/>
          <w:shd w:val="clear" w:color="auto" w:fill="FFFFFF"/>
          <w:lang w:val="en-US" w:eastAsia="zh-CN"/>
        </w:rPr>
        <w:t>13610240607</w:t>
      </w:r>
    </w:p>
    <w:p>
      <w:pPr>
        <w:widowControl w:val="0"/>
        <w:numPr>
          <w:ilvl w:val="1"/>
          <w:numId w:val="1"/>
        </w:numPr>
        <w:spacing w:after="0" w:line="460" w:lineRule="exact"/>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报名参加</w:t>
      </w:r>
      <w:r>
        <w:rPr>
          <w:rFonts w:hint="eastAsia" w:ascii="仿宋" w:hAnsi="仿宋" w:eastAsia="仿宋"/>
          <w:color w:val="auto"/>
          <w:sz w:val="24"/>
          <w:szCs w:val="24"/>
          <w:highlight w:val="none"/>
        </w:rPr>
        <w:t>本项目的参与人如对</w:t>
      </w:r>
      <w:r>
        <w:rPr>
          <w:rFonts w:hint="eastAsia" w:ascii="仿宋" w:hAnsi="仿宋" w:eastAsia="仿宋"/>
          <w:b/>
          <w:bCs/>
          <w:color w:val="auto"/>
          <w:sz w:val="24"/>
          <w:szCs w:val="24"/>
          <w:highlight w:val="none"/>
        </w:rPr>
        <w:t>公开询价邀请函列示内容存有疑问的</w:t>
      </w:r>
      <w:r>
        <w:rPr>
          <w:rFonts w:hint="eastAsia" w:ascii="仿宋" w:hAnsi="仿宋" w:eastAsia="仿宋"/>
          <w:color w:val="auto"/>
          <w:sz w:val="24"/>
          <w:szCs w:val="24"/>
          <w:highlight w:val="none"/>
        </w:rPr>
        <w:t>，请在报价响应文件递交截止之日前，将问题以书面形式（有效签署的原件并加盖公章）提交至学校业务对接人，联系人</w:t>
      </w:r>
      <w:r>
        <w:rPr>
          <w:rFonts w:hint="eastAsia" w:ascii="仿宋" w:hAnsi="仿宋" w:eastAsia="仿宋"/>
          <w:color w:val="auto"/>
          <w:sz w:val="24"/>
          <w:szCs w:val="24"/>
          <w:highlight w:val="none"/>
          <w:shd w:val="clear" w:color="auto" w:fill="FFFFFF"/>
        </w:rPr>
        <w:t>：</w:t>
      </w:r>
      <w:r>
        <w:rPr>
          <w:rFonts w:hint="eastAsia" w:ascii="仿宋" w:hAnsi="仿宋" w:eastAsia="仿宋"/>
          <w:color w:val="auto"/>
          <w:sz w:val="24"/>
          <w:szCs w:val="24"/>
          <w:highlight w:val="none"/>
          <w:shd w:val="clear" w:color="auto" w:fill="FFFFFF"/>
          <w:lang w:val="en-US" w:eastAsia="zh-CN"/>
        </w:rPr>
        <w:t>黄老师</w:t>
      </w:r>
      <w:r>
        <w:rPr>
          <w:rFonts w:hint="eastAsia" w:ascii="仿宋" w:hAnsi="仿宋" w:eastAsia="仿宋"/>
          <w:color w:val="auto"/>
          <w:sz w:val="24"/>
          <w:szCs w:val="24"/>
          <w:highlight w:val="none"/>
          <w:shd w:val="clear" w:color="auto" w:fill="FFFFFF"/>
        </w:rPr>
        <w:t>，电话：</w:t>
      </w:r>
      <w:r>
        <w:rPr>
          <w:rFonts w:hint="eastAsia" w:ascii="仿宋" w:hAnsi="仿宋" w:eastAsia="仿宋"/>
          <w:color w:val="auto"/>
          <w:sz w:val="24"/>
          <w:szCs w:val="24"/>
          <w:highlight w:val="none"/>
          <w:shd w:val="clear" w:color="auto" w:fill="FFFFFF"/>
          <w:lang w:val="en-US" w:eastAsia="zh-CN"/>
        </w:rPr>
        <w:t>13610240607</w:t>
      </w:r>
      <w:r>
        <w:rPr>
          <w:rFonts w:hint="eastAsia" w:ascii="仿宋" w:hAnsi="仿宋" w:eastAsia="仿宋"/>
          <w:color w:val="auto"/>
          <w:sz w:val="24"/>
          <w:szCs w:val="24"/>
          <w:highlight w:val="none"/>
        </w:rPr>
        <w:t>。采购人不对超时提交及未加盖公章的质疑文件进行回复。</w:t>
      </w:r>
    </w:p>
    <w:p>
      <w:pPr>
        <w:widowControl w:val="0"/>
        <w:numPr>
          <w:ilvl w:val="1"/>
          <w:numId w:val="1"/>
        </w:numPr>
        <w:spacing w:after="0" w:line="4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参加本项目的参与人如对</w:t>
      </w:r>
      <w:r>
        <w:rPr>
          <w:rFonts w:hint="eastAsia" w:ascii="仿宋" w:hAnsi="仿宋" w:eastAsia="仿宋"/>
          <w:b/>
          <w:bCs/>
          <w:color w:val="auto"/>
          <w:sz w:val="24"/>
          <w:szCs w:val="24"/>
          <w:highlight w:val="none"/>
        </w:rPr>
        <w:t>采购过程有异议的，</w:t>
      </w:r>
      <w:bookmarkEnd w:id="46"/>
      <w:r>
        <w:rPr>
          <w:rFonts w:hint="eastAsia" w:ascii="仿宋" w:hAnsi="仿宋" w:eastAsia="仿宋"/>
          <w:color w:val="auto"/>
          <w:sz w:val="24"/>
          <w:szCs w:val="24"/>
          <w:highlight w:val="none"/>
        </w:rPr>
        <w:t>请以书面形式（有效签署的原件并加盖公章），并附有相关的证据材料，提交至集团</w:t>
      </w:r>
      <w:r>
        <w:rPr>
          <w:rFonts w:hint="eastAsia" w:ascii="仿宋" w:hAnsi="仿宋" w:eastAsia="仿宋"/>
          <w:color w:val="auto"/>
          <w:sz w:val="24"/>
          <w:szCs w:val="24"/>
          <w:highlight w:val="none"/>
          <w:lang w:val="en-US" w:eastAsia="zh-CN"/>
        </w:rPr>
        <w:t>监审</w:t>
      </w:r>
      <w:r>
        <w:rPr>
          <w:rFonts w:hint="eastAsia" w:ascii="仿宋" w:hAnsi="仿宋" w:eastAsia="仿宋"/>
          <w:color w:val="auto"/>
          <w:sz w:val="24"/>
          <w:szCs w:val="24"/>
          <w:highlight w:val="none"/>
        </w:rPr>
        <w:t>部。</w:t>
      </w:r>
    </w:p>
    <w:p>
      <w:pPr>
        <w:widowControl w:val="0"/>
        <w:tabs>
          <w:tab w:val="left" w:pos="839"/>
        </w:tabs>
        <w:spacing w:after="0" w:line="460" w:lineRule="exact"/>
        <w:ind w:left="839"/>
        <w:rPr>
          <w:rFonts w:ascii="仿宋" w:hAnsi="仿宋" w:eastAsia="仿宋"/>
          <w:color w:val="auto"/>
          <w:sz w:val="24"/>
          <w:szCs w:val="24"/>
          <w:highlight w:val="none"/>
        </w:rPr>
      </w:pPr>
      <w:r>
        <w:rPr>
          <w:rFonts w:hint="eastAsia" w:ascii="仿宋" w:hAnsi="仿宋" w:eastAsia="仿宋"/>
          <w:color w:val="auto"/>
          <w:sz w:val="24"/>
          <w:szCs w:val="24"/>
          <w:highlight w:val="none"/>
        </w:rPr>
        <w:t>投诉受理部门：中教集团</w:t>
      </w:r>
      <w:r>
        <w:rPr>
          <w:rFonts w:hint="eastAsia" w:ascii="仿宋" w:hAnsi="仿宋" w:eastAsia="仿宋"/>
          <w:color w:val="auto"/>
          <w:sz w:val="24"/>
          <w:szCs w:val="24"/>
          <w:highlight w:val="none"/>
          <w:lang w:eastAsia="zh-CN"/>
        </w:rPr>
        <w:t>监审部</w:t>
      </w:r>
      <w:r>
        <w:rPr>
          <w:rFonts w:hint="eastAsia" w:ascii="仿宋" w:hAnsi="仿宋" w:eastAsia="仿宋"/>
          <w:color w:val="auto"/>
          <w:sz w:val="24"/>
          <w:szCs w:val="24"/>
          <w:highlight w:val="none"/>
        </w:rPr>
        <w:t>；投诉电话： 0791-88106510 /0791-88102608</w:t>
      </w:r>
    </w:p>
    <w:p>
      <w:pPr>
        <w:widowControl w:val="0"/>
        <w:tabs>
          <w:tab w:val="left" w:pos="839"/>
        </w:tabs>
        <w:spacing w:after="0" w:line="460" w:lineRule="exact"/>
        <w:ind w:left="420"/>
        <w:rPr>
          <w:rFonts w:ascii="仿宋" w:hAnsi="仿宋" w:eastAsia="仿宋"/>
          <w:b/>
          <w:bCs/>
          <w:color w:val="auto"/>
          <w:sz w:val="24"/>
          <w:szCs w:val="24"/>
          <w:highlight w:val="none"/>
        </w:rPr>
      </w:pPr>
      <w:r>
        <w:rPr>
          <w:rFonts w:hint="eastAsia" w:ascii="仿宋" w:hAnsi="仿宋" w:eastAsia="仿宋"/>
          <w:color w:val="auto"/>
          <w:sz w:val="24"/>
          <w:szCs w:val="24"/>
          <w:highlight w:val="none"/>
        </w:rPr>
        <w:t>二、参与人须知</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所有货物均以</w:t>
      </w:r>
      <w:r>
        <w:rPr>
          <w:rFonts w:hint="eastAsia" w:ascii="仿宋" w:hAnsi="仿宋" w:eastAsia="仿宋"/>
          <w:color w:val="auto"/>
          <w:sz w:val="24"/>
          <w:szCs w:val="24"/>
          <w:highlight w:val="none"/>
          <w:lang w:val="en-US" w:eastAsia="zh-CN"/>
        </w:rPr>
        <w:t>含税</w:t>
      </w:r>
      <w:r>
        <w:rPr>
          <w:rFonts w:hint="eastAsia" w:ascii="仿宋" w:hAnsi="仿宋" w:eastAsia="仿宋"/>
          <w:color w:val="auto"/>
          <w:sz w:val="24"/>
          <w:szCs w:val="24"/>
          <w:highlight w:val="none"/>
        </w:rPr>
        <w:t>人民币报价；</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报价响应文件</w:t>
      </w:r>
      <w:r>
        <w:rPr>
          <w:rFonts w:ascii="仿宋" w:hAnsi="仿宋" w:eastAsia="仿宋"/>
          <w:color w:val="auto"/>
          <w:sz w:val="24"/>
          <w:szCs w:val="24"/>
          <w:highlight w:val="none"/>
        </w:rPr>
        <w:t>必须用A4幅面纸张打印</w:t>
      </w:r>
      <w:r>
        <w:rPr>
          <w:rFonts w:hint="eastAsia" w:ascii="仿宋" w:hAnsi="仿宋" w:eastAsia="仿宋"/>
          <w:color w:val="auto"/>
          <w:sz w:val="24"/>
          <w:szCs w:val="24"/>
          <w:highlight w:val="none"/>
        </w:rPr>
        <w:t>，须由参与人填写并加盖公章</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一式两份，一正一副，另附一份报价一览表；</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报价响应文件用不退色墨水书写或打印，因字迹潦草或表达不清所引起的后果由参与人自负；</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报价响应文件及所有相关资料需同时进行密封处理，并在密封处加盖公章，未做密封处理及未加盖公章的视为无效报价；</w:t>
      </w:r>
    </w:p>
    <w:p>
      <w:pPr>
        <w:widowControl w:val="0"/>
        <w:numPr>
          <w:ilvl w:val="1"/>
          <w:numId w:val="3"/>
        </w:numPr>
        <w:spacing w:after="0" w:line="5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一个参与人只能提交一个报价响应文件，本项目不接受联合体报价。</w:t>
      </w:r>
    </w:p>
    <w:p>
      <w:pPr>
        <w:spacing w:after="0" w:line="500" w:lineRule="exact"/>
        <w:ind w:firstLine="364" w:firstLineChars="152"/>
        <w:jc w:val="left"/>
        <w:rPr>
          <w:rFonts w:ascii="仿宋" w:hAnsi="仿宋" w:eastAsia="仿宋"/>
          <w:color w:val="auto"/>
          <w:sz w:val="24"/>
          <w:szCs w:val="24"/>
          <w:highlight w:val="none"/>
        </w:rPr>
      </w:pPr>
      <w:r>
        <w:rPr>
          <w:rFonts w:hint="eastAsia" w:ascii="仿宋" w:hAnsi="仿宋" w:eastAsia="仿宋"/>
          <w:color w:val="auto"/>
          <w:sz w:val="24"/>
          <w:szCs w:val="24"/>
          <w:highlight w:val="none"/>
        </w:rPr>
        <w:t>三、售后服务要求</w:t>
      </w:r>
    </w:p>
    <w:p>
      <w:pPr>
        <w:pStyle w:val="57"/>
        <w:widowControl w:val="0"/>
        <w:numPr>
          <w:ilvl w:val="3"/>
          <w:numId w:val="4"/>
        </w:numPr>
        <w:spacing w:after="0" w:line="500" w:lineRule="exact"/>
        <w:ind w:left="851" w:hanging="425" w:firstLineChars="0"/>
        <w:jc w:val="left"/>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质保期：</w:t>
      </w:r>
      <w:r>
        <w:rPr>
          <w:rFonts w:hint="eastAsia" w:ascii="仿宋" w:hAnsi="仿宋" w:eastAsia="仿宋"/>
          <w:color w:val="auto"/>
          <w:sz w:val="24"/>
          <w:szCs w:val="24"/>
          <w:highlight w:val="none"/>
        </w:rPr>
        <w:t>不少于</w:t>
      </w:r>
      <w:r>
        <w:rPr>
          <w:rFonts w:hint="eastAsia" w:ascii="仿宋" w:hAnsi="仿宋" w:eastAsia="仿宋"/>
          <w:color w:val="auto"/>
          <w:sz w:val="24"/>
          <w:szCs w:val="24"/>
          <w:highlight w:val="none"/>
          <w:lang w:val="en-US" w:eastAsia="zh-CN"/>
        </w:rPr>
        <w:t>1年；</w:t>
      </w:r>
    </w:p>
    <w:p>
      <w:pPr>
        <w:pStyle w:val="57"/>
        <w:widowControl w:val="0"/>
        <w:numPr>
          <w:ilvl w:val="0"/>
          <w:numId w:val="4"/>
        </w:numPr>
        <w:spacing w:after="0" w:line="500" w:lineRule="exact"/>
        <w:ind w:firstLineChars="0"/>
        <w:jc w:val="left"/>
        <w:rPr>
          <w:rFonts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需提供</w:t>
      </w:r>
      <w:r>
        <w:rPr>
          <w:rFonts w:hint="eastAsia" w:ascii="仿宋" w:hAnsi="仿宋" w:eastAsia="仿宋"/>
          <w:color w:val="auto"/>
          <w:sz w:val="24"/>
          <w:szCs w:val="24"/>
          <w:highlight w:val="none"/>
        </w:rPr>
        <w:t>应急维修时间安排</w:t>
      </w:r>
      <w:r>
        <w:rPr>
          <w:rFonts w:hint="eastAsia" w:ascii="仿宋" w:hAnsi="仿宋" w:eastAsia="仿宋"/>
          <w:color w:val="auto"/>
          <w:sz w:val="24"/>
          <w:szCs w:val="24"/>
          <w:highlight w:val="none"/>
          <w:lang w:eastAsia="zh-CN"/>
        </w:rPr>
        <w:t>。</w:t>
      </w:r>
    </w:p>
    <w:p>
      <w:pPr>
        <w:spacing w:after="0" w:line="500" w:lineRule="exact"/>
        <w:ind w:firstLine="364" w:firstLineChars="152"/>
        <w:jc w:val="left"/>
        <w:rPr>
          <w:rFonts w:ascii="仿宋" w:hAnsi="仿宋" w:eastAsia="仿宋"/>
          <w:color w:val="auto"/>
          <w:sz w:val="24"/>
          <w:szCs w:val="24"/>
          <w:highlight w:val="none"/>
        </w:rPr>
      </w:pPr>
      <w:r>
        <w:rPr>
          <w:rFonts w:hint="eastAsia" w:ascii="仿宋" w:hAnsi="仿宋" w:eastAsia="仿宋"/>
          <w:color w:val="auto"/>
          <w:sz w:val="24"/>
          <w:szCs w:val="24"/>
          <w:highlight w:val="none"/>
        </w:rPr>
        <w:t>四、确定成交参与人标准及原则：</w:t>
      </w:r>
    </w:p>
    <w:p>
      <w:pPr>
        <w:pStyle w:val="57"/>
        <w:numPr>
          <w:ilvl w:val="0"/>
          <w:numId w:val="5"/>
        </w:numPr>
        <w:spacing w:after="0" w:line="500" w:lineRule="exact"/>
        <w:ind w:left="851" w:hanging="425" w:firstLineChars="0"/>
        <w:jc w:val="left"/>
        <w:rPr>
          <w:rFonts w:ascii="仿宋" w:hAnsi="仿宋" w:eastAsia="仿宋"/>
          <w:color w:val="auto"/>
          <w:sz w:val="24"/>
          <w:szCs w:val="24"/>
          <w:highlight w:val="none"/>
        </w:rPr>
      </w:pPr>
      <w:r>
        <w:rPr>
          <w:rFonts w:hint="eastAsia" w:ascii="仿宋" w:hAnsi="仿宋" w:eastAsia="仿宋"/>
          <w:color w:val="auto"/>
          <w:sz w:val="24"/>
          <w:szCs w:val="24"/>
          <w:highlight w:val="none"/>
        </w:rPr>
        <w:t>本项目为自有资金而非财政性资金采购，采购人按企业内部规定的标准进行评定</w:t>
      </w:r>
      <w:r>
        <w:rPr>
          <w:rFonts w:ascii="仿宋" w:hAnsi="仿宋" w:eastAsia="仿宋"/>
          <w:color w:val="auto"/>
          <w:sz w:val="24"/>
          <w:szCs w:val="24"/>
          <w:highlight w:val="none"/>
        </w:rPr>
        <w:t xml:space="preserve"> </w:t>
      </w:r>
      <w:r>
        <w:rPr>
          <w:rFonts w:hint="eastAsia" w:ascii="仿宋" w:hAnsi="仿宋" w:eastAsia="仿宋"/>
          <w:color w:val="auto"/>
          <w:sz w:val="24"/>
          <w:szCs w:val="24"/>
          <w:highlight w:val="none"/>
        </w:rPr>
        <w:t>。</w:t>
      </w:r>
    </w:p>
    <w:p>
      <w:pPr>
        <w:pStyle w:val="57"/>
        <w:numPr>
          <w:ilvl w:val="0"/>
          <w:numId w:val="5"/>
        </w:numPr>
        <w:spacing w:after="0" w:line="500" w:lineRule="exact"/>
        <w:ind w:left="851" w:hanging="425" w:firstLineChars="0"/>
        <w:jc w:val="left"/>
        <w:rPr>
          <w:rFonts w:ascii="仿宋" w:hAnsi="仿宋" w:eastAsia="仿宋"/>
          <w:color w:val="auto"/>
          <w:sz w:val="24"/>
          <w:szCs w:val="24"/>
          <w:highlight w:val="none"/>
        </w:rPr>
      </w:pPr>
      <w:r>
        <w:rPr>
          <w:rFonts w:hint="eastAsia" w:ascii="仿宋" w:hAnsi="仿宋" w:eastAsia="仿宋"/>
          <w:color w:val="auto"/>
          <w:sz w:val="24"/>
          <w:szCs w:val="24"/>
          <w:highlight w:val="none"/>
        </w:rPr>
        <w:t>参与人所投物品符合需求、质量和服务等的要求,经过磋商所报价格为合理价格的参与人为成交参与人。</w:t>
      </w:r>
    </w:p>
    <w:p>
      <w:pPr>
        <w:pStyle w:val="57"/>
        <w:numPr>
          <w:ilvl w:val="0"/>
          <w:numId w:val="5"/>
        </w:numPr>
        <w:spacing w:after="0" w:line="500" w:lineRule="exact"/>
        <w:ind w:left="851" w:hanging="425" w:firstLineChars="0"/>
        <w:jc w:val="left"/>
        <w:rPr>
          <w:rFonts w:ascii="仿宋" w:hAnsi="仿宋" w:eastAsia="仿宋"/>
          <w:color w:val="auto"/>
          <w:sz w:val="24"/>
          <w:szCs w:val="24"/>
          <w:highlight w:val="none"/>
        </w:rPr>
      </w:pPr>
      <w:r>
        <w:rPr>
          <w:rFonts w:hint="eastAsia" w:ascii="仿宋" w:hAnsi="仿宋" w:eastAsia="仿宋"/>
          <w:color w:val="auto"/>
          <w:sz w:val="24"/>
          <w:szCs w:val="24"/>
          <w:highlight w:val="none"/>
        </w:rPr>
        <w:t>最低报价不作为成交的保证。</w:t>
      </w:r>
    </w:p>
    <w:p>
      <w:pPr>
        <w:spacing w:line="500" w:lineRule="exact"/>
        <w:ind w:firstLine="5810" w:firstLineChars="2421"/>
        <w:jc w:val="righ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华教教育科技（江西）有限公司</w:t>
      </w:r>
    </w:p>
    <w:p>
      <w:pPr>
        <w:pStyle w:val="57"/>
        <w:spacing w:after="0" w:line="500" w:lineRule="exact"/>
        <w:ind w:left="7371" w:firstLine="0" w:firstLineChars="0"/>
        <w:jc w:val="right"/>
        <w:rPr>
          <w:rFonts w:ascii="仿宋" w:hAnsi="仿宋" w:eastAsia="仿宋"/>
          <w:color w:val="auto"/>
          <w:sz w:val="24"/>
          <w:szCs w:val="24"/>
          <w:highlight w:val="none"/>
        </w:rPr>
      </w:pPr>
      <w:r>
        <w:rPr>
          <w:rFonts w:hint="eastAsia" w:ascii="仿宋" w:hAnsi="仿宋" w:eastAsia="仿宋"/>
          <w:color w:val="auto"/>
          <w:sz w:val="24"/>
          <w:szCs w:val="24"/>
          <w:highlight w:val="none"/>
        </w:rPr>
        <w:t>20</w:t>
      </w:r>
      <w:r>
        <w:rPr>
          <w:rFonts w:hint="eastAsia" w:ascii="仿宋" w:hAnsi="仿宋" w:eastAsia="仿宋"/>
          <w:color w:val="auto"/>
          <w:sz w:val="24"/>
          <w:szCs w:val="24"/>
          <w:highlight w:val="none"/>
          <w:lang w:val="en-US" w:eastAsia="zh-CN"/>
        </w:rPr>
        <w:t>23</w:t>
      </w:r>
      <w:r>
        <w:rPr>
          <w:rFonts w:hint="eastAsia" w:ascii="仿宋" w:hAnsi="仿宋" w:eastAsia="仿宋"/>
          <w:color w:val="auto"/>
          <w:sz w:val="24"/>
          <w:szCs w:val="24"/>
          <w:highlight w:val="none"/>
        </w:rPr>
        <w:t>年</w:t>
      </w:r>
      <w:r>
        <w:rPr>
          <w:rFonts w:hint="eastAsia" w:ascii="仿宋" w:hAnsi="仿宋" w:eastAsia="仿宋"/>
          <w:color w:val="auto"/>
          <w:sz w:val="24"/>
          <w:szCs w:val="24"/>
          <w:highlight w:val="none"/>
          <w:lang w:val="en-US" w:eastAsia="zh-CN"/>
        </w:rPr>
        <w:t>7</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7</w:t>
      </w:r>
      <w:r>
        <w:rPr>
          <w:rFonts w:hint="eastAsia" w:ascii="仿宋" w:hAnsi="仿宋" w:eastAsia="仿宋"/>
          <w:color w:val="auto"/>
          <w:sz w:val="24"/>
          <w:szCs w:val="24"/>
          <w:highlight w:val="none"/>
        </w:rPr>
        <w:t>日</w:t>
      </w:r>
    </w:p>
    <w:p>
      <w:pPr>
        <w:pStyle w:val="57"/>
        <w:spacing w:after="0" w:line="500" w:lineRule="exact"/>
        <w:ind w:left="851" w:firstLine="0" w:firstLineChars="0"/>
        <w:jc w:val="center"/>
        <w:rPr>
          <w:rFonts w:hint="eastAsia" w:asciiTheme="minorEastAsia" w:hAnsiTheme="minorEastAsia" w:eastAsiaTheme="minorEastAsia" w:cstheme="minorEastAsia"/>
          <w:b/>
          <w:color w:val="auto"/>
          <w:sz w:val="44"/>
          <w:szCs w:val="44"/>
          <w:highlight w:val="none"/>
        </w:rPr>
      </w:pPr>
      <w:r>
        <w:rPr>
          <w:rFonts w:ascii="仿宋" w:hAnsi="仿宋" w:eastAsia="仿宋"/>
          <w:color w:val="0000FF"/>
          <w:sz w:val="28"/>
          <w:szCs w:val="28"/>
          <w:highlight w:val="none"/>
        </w:rPr>
        <w:br w:type="page"/>
      </w:r>
      <w:r>
        <w:rPr>
          <w:rFonts w:hint="eastAsia" w:ascii="仿宋" w:hAnsi="仿宋" w:eastAsia="仿宋" w:cs="仿宋"/>
          <w:b/>
          <w:color w:val="auto"/>
          <w:sz w:val="44"/>
          <w:szCs w:val="44"/>
          <w:highlight w:val="none"/>
        </w:rPr>
        <w:t>公开询价货物一览表</w:t>
      </w:r>
      <w:bookmarkEnd w:id="45"/>
    </w:p>
    <w:p>
      <w:pPr>
        <w:pStyle w:val="57"/>
        <w:spacing w:after="0" w:line="500" w:lineRule="exact"/>
        <w:ind w:left="851" w:firstLine="0" w:firstLineChars="0"/>
        <w:jc w:val="right"/>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单位：元</w:t>
      </w:r>
    </w:p>
    <w:tbl>
      <w:tblPr>
        <w:tblStyle w:val="25"/>
        <w:tblW w:w="5139" w:type="pct"/>
        <w:jc w:val="center"/>
        <w:tblLayout w:type="fixed"/>
        <w:tblCellMar>
          <w:top w:w="0" w:type="dxa"/>
          <w:left w:w="108" w:type="dxa"/>
          <w:bottom w:w="0" w:type="dxa"/>
          <w:right w:w="108" w:type="dxa"/>
        </w:tblCellMar>
      </w:tblPr>
      <w:tblGrid>
        <w:gridCol w:w="562"/>
        <w:gridCol w:w="1452"/>
        <w:gridCol w:w="2835"/>
        <w:gridCol w:w="637"/>
        <w:gridCol w:w="750"/>
        <w:gridCol w:w="1470"/>
        <w:gridCol w:w="1305"/>
        <w:gridCol w:w="1264"/>
      </w:tblGrid>
      <w:tr>
        <w:tblPrEx>
          <w:tblCellMar>
            <w:top w:w="0" w:type="dxa"/>
            <w:left w:w="108" w:type="dxa"/>
            <w:bottom w:w="0" w:type="dxa"/>
            <w:right w:w="108" w:type="dxa"/>
          </w:tblCellMar>
        </w:tblPrEx>
        <w:trPr>
          <w:trHeight w:val="693"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70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物资</w:t>
            </w:r>
            <w:r>
              <w:rPr>
                <w:rFonts w:hint="eastAsia" w:ascii="仿宋" w:hAnsi="仿宋" w:eastAsia="仿宋" w:cs="仿宋"/>
                <w:b/>
                <w:bCs/>
                <w:color w:val="auto"/>
                <w:sz w:val="24"/>
                <w:szCs w:val="24"/>
                <w:highlight w:val="none"/>
              </w:rPr>
              <w:t>名称</w:t>
            </w:r>
          </w:p>
        </w:tc>
        <w:tc>
          <w:tcPr>
            <w:tcW w:w="137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bCs/>
                <w:color w:val="auto"/>
                <w:sz w:val="24"/>
                <w:szCs w:val="24"/>
                <w:highlight w:val="none"/>
              </w:rPr>
            </w:pPr>
            <w:bookmarkStart w:id="47" w:name="_Hlk78721021"/>
            <w:r>
              <w:rPr>
                <w:rFonts w:hint="eastAsia" w:ascii="仿宋" w:hAnsi="仿宋" w:eastAsia="仿宋" w:cs="仿宋"/>
                <w:b/>
                <w:bCs/>
                <w:color w:val="auto"/>
                <w:sz w:val="24"/>
                <w:szCs w:val="24"/>
                <w:highlight w:val="none"/>
              </w:rPr>
              <w:t>规格型号</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（技术参数）</w:t>
            </w:r>
            <w:bookmarkEnd w:id="47"/>
          </w:p>
        </w:tc>
        <w:tc>
          <w:tcPr>
            <w:tcW w:w="30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364"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71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含税</w:t>
            </w:r>
            <w:r>
              <w:rPr>
                <w:rFonts w:hint="eastAsia" w:ascii="仿宋" w:hAnsi="仿宋" w:eastAsia="仿宋" w:cs="仿宋"/>
                <w:b/>
                <w:bCs/>
                <w:color w:val="auto"/>
                <w:sz w:val="24"/>
                <w:szCs w:val="24"/>
                <w:highlight w:val="none"/>
              </w:rPr>
              <w:t>单价</w:t>
            </w:r>
          </w:p>
        </w:tc>
        <w:tc>
          <w:tcPr>
            <w:tcW w:w="63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金额</w:t>
            </w:r>
          </w:p>
        </w:tc>
        <w:tc>
          <w:tcPr>
            <w:tcW w:w="615"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iCs/>
                <w:color w:val="auto"/>
                <w:spacing w:val="-11"/>
                <w:kern w:val="0"/>
                <w:sz w:val="24"/>
                <w:szCs w:val="24"/>
                <w:highlight w:val="none"/>
                <w:lang w:val="en-US" w:eastAsia="zh-CN" w:bidi="ar-SA"/>
              </w:rPr>
            </w:pPr>
            <w:r>
              <w:rPr>
                <w:rFonts w:hint="eastAsia" w:ascii="仿宋" w:hAnsi="仿宋" w:eastAsia="仿宋" w:cs="仿宋"/>
                <w:b w:val="0"/>
                <w:bCs w:val="0"/>
                <w:iCs/>
                <w:color w:val="auto"/>
                <w:spacing w:val="-11"/>
                <w:kern w:val="0"/>
                <w:sz w:val="24"/>
                <w:szCs w:val="24"/>
                <w:highlight w:val="none"/>
                <w:lang w:val="en-US" w:eastAsia="zh-CN" w:bidi="ar-SA"/>
              </w:rPr>
              <w:t>备注</w:t>
            </w:r>
          </w:p>
        </w:tc>
      </w:tr>
      <w:tr>
        <w:tblPrEx>
          <w:tblCellMar>
            <w:top w:w="0" w:type="dxa"/>
            <w:left w:w="108" w:type="dxa"/>
            <w:bottom w:w="0" w:type="dxa"/>
            <w:right w:w="108" w:type="dxa"/>
          </w:tblCellMar>
        </w:tblPrEx>
        <w:trPr>
          <w:trHeight w:val="649" w:hRule="atLeast"/>
          <w:jc w:val="center"/>
        </w:trPr>
        <w:tc>
          <w:tcPr>
            <w:tcW w:w="273" w:type="pct"/>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06"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垃圾分类收集站</w:t>
            </w:r>
          </w:p>
        </w:tc>
        <w:tc>
          <w:tcPr>
            <w:tcW w:w="1379" w:type="pct"/>
            <w:tcBorders>
              <w:top w:val="nil"/>
              <w:left w:val="nil"/>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外：长7m*宽3m*高2.4m，9个投放口(其他垃圾4，可回收垃圾2，厨余垃圾2，有害垃圾1)，左右各一扇门。 内：长6.8m*宽2.6m*2m，安装3根LED照明灯及2个吸顶扇，收集站的夹层有隔热材料。开门方式为单边脚踩开门（踏板采用不锈钢花纹板）。室内地面和墙壁采用2.0mm304不锈钢花纹板，钢结构材料采用国标、热浸锌材质。垃圾站外表面喷涂汽车漆。</w:t>
            </w:r>
          </w:p>
        </w:tc>
        <w:tc>
          <w:tcPr>
            <w:tcW w:w="309"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套</w:t>
            </w:r>
          </w:p>
        </w:tc>
        <w:tc>
          <w:tcPr>
            <w:tcW w:w="364"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71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highlight w:val="none"/>
              </w:rPr>
            </w:pPr>
          </w:p>
        </w:tc>
        <w:tc>
          <w:tcPr>
            <w:tcW w:w="635"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highlight w:val="none"/>
              </w:rPr>
            </w:pPr>
          </w:p>
        </w:tc>
        <w:tc>
          <w:tcPr>
            <w:tcW w:w="615" w:type="pct"/>
            <w:tcBorders>
              <w:top w:val="single" w:color="auto" w:sz="4" w:space="0"/>
              <w:left w:val="nil"/>
              <w:bottom w:val="single" w:color="auto" w:sz="4" w:space="0"/>
              <w:right w:val="single" w:color="auto" w:sz="4" w:space="0"/>
            </w:tcBorders>
            <w:vAlign w:val="center"/>
          </w:tcPr>
          <w:p>
            <w:pPr>
              <w:pStyle w:val="23"/>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bidi="ar-SA"/>
              </w:rPr>
              <w:t>款式如附图所示。</w:t>
            </w:r>
            <w:bookmarkStart w:id="180" w:name="_GoBack"/>
            <w:bookmarkEnd w:id="180"/>
          </w:p>
        </w:tc>
      </w:tr>
      <w:tr>
        <w:tblPrEx>
          <w:tblCellMar>
            <w:top w:w="0" w:type="dxa"/>
            <w:left w:w="108" w:type="dxa"/>
            <w:bottom w:w="0" w:type="dxa"/>
            <w:right w:w="108" w:type="dxa"/>
          </w:tblCellMar>
        </w:tblPrEx>
        <w:trPr>
          <w:trHeight w:val="552" w:hRule="atLeast"/>
          <w:jc w:val="center"/>
        </w:trPr>
        <w:tc>
          <w:tcPr>
            <w:tcW w:w="273" w:type="pc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highlight w:val="none"/>
                <w:lang w:val="en-US" w:eastAsia="zh-CN"/>
              </w:rPr>
            </w:pPr>
          </w:p>
        </w:tc>
        <w:tc>
          <w:tcPr>
            <w:tcW w:w="4726"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bidi="ar"/>
              </w:rPr>
              <w:t>合计金额：            元，大写（                     ）</w:t>
            </w:r>
          </w:p>
        </w:tc>
      </w:tr>
    </w:tbl>
    <w:p>
      <w:pPr>
        <w:pStyle w:val="57"/>
        <w:spacing w:after="0" w:line="500" w:lineRule="exact"/>
        <w:ind w:left="851" w:firstLine="0" w:firstLineChars="0"/>
        <w:jc w:val="center"/>
        <w:rPr>
          <w:rFonts w:hint="eastAsia" w:asciiTheme="minorEastAsia" w:hAnsiTheme="minorEastAsia" w:eastAsiaTheme="minorEastAsia" w:cstheme="minorEastAsia"/>
          <w:b/>
          <w:color w:val="auto"/>
          <w:sz w:val="44"/>
          <w:szCs w:val="44"/>
          <w:highlight w:val="none"/>
        </w:rPr>
      </w:pP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w:t>
      </w:r>
    </w:p>
    <w:p>
      <w:pPr>
        <w:numPr>
          <w:ilvl w:val="0"/>
          <w:numId w:val="6"/>
        </w:numPr>
        <w:spacing w:after="0" w:line="440" w:lineRule="exact"/>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本项目采用“</w:t>
      </w:r>
      <w:r>
        <w:rPr>
          <w:rFonts w:hint="eastAsia" w:ascii="仿宋" w:hAnsi="仿宋" w:eastAsia="仿宋" w:cs="仿宋"/>
          <w:b/>
          <w:bCs w:val="0"/>
          <w:color w:val="auto"/>
          <w:sz w:val="24"/>
          <w:szCs w:val="24"/>
          <w:highlight w:val="none"/>
          <w:lang w:val="en-US" w:eastAsia="zh-CN"/>
        </w:rPr>
        <w:t>公开询价</w:t>
      </w:r>
      <w:r>
        <w:rPr>
          <w:rFonts w:hint="eastAsia" w:ascii="仿宋" w:hAnsi="仿宋" w:eastAsia="仿宋" w:cs="仿宋"/>
          <w:b/>
          <w:bCs w:val="0"/>
          <w:color w:val="auto"/>
          <w:sz w:val="24"/>
          <w:szCs w:val="24"/>
          <w:highlight w:val="none"/>
        </w:rPr>
        <w:t>”方式进行，《</w:t>
      </w:r>
      <w:r>
        <w:rPr>
          <w:rFonts w:hint="eastAsia" w:ascii="仿宋" w:hAnsi="仿宋" w:eastAsia="仿宋" w:cs="仿宋"/>
          <w:b/>
          <w:bCs w:val="0"/>
          <w:color w:val="auto"/>
          <w:sz w:val="24"/>
          <w:szCs w:val="24"/>
          <w:highlight w:val="none"/>
          <w:lang w:val="en-US" w:eastAsia="zh-CN"/>
        </w:rPr>
        <w:t>公开询价</w:t>
      </w:r>
      <w:r>
        <w:rPr>
          <w:rFonts w:hint="eastAsia" w:ascii="仿宋" w:hAnsi="仿宋" w:eastAsia="仿宋" w:cs="仿宋"/>
          <w:b/>
          <w:bCs w:val="0"/>
          <w:color w:val="auto"/>
          <w:sz w:val="24"/>
          <w:szCs w:val="24"/>
          <w:highlight w:val="none"/>
        </w:rPr>
        <w:t>货物一览表》中所描述的“物资名称”、“规格型号（技术参数）”等信息均为采购人根据自身需求提供的参考数据，除采购人特殊要求外，参与人可根据以上信息满足采购人要求基础上提供优化方案</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rPr>
        <w:t>所匹配产品，采购人将优先选择性价比高且符合要求的产品。</w:t>
      </w:r>
    </w:p>
    <w:p>
      <w:pPr>
        <w:numPr>
          <w:ilvl w:val="0"/>
          <w:numId w:val="6"/>
        </w:numPr>
        <w:spacing w:after="0"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参与人所投商品</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耗材均</w:t>
      </w:r>
      <w:r>
        <w:rPr>
          <w:rFonts w:hint="eastAsia" w:ascii="仿宋" w:hAnsi="仿宋" w:eastAsia="仿宋" w:cs="仿宋"/>
          <w:bCs/>
          <w:color w:val="auto"/>
          <w:sz w:val="24"/>
          <w:szCs w:val="24"/>
          <w:highlight w:val="none"/>
        </w:rPr>
        <w:t>需要提供品牌、规格型号</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lang w:val="en-US" w:eastAsia="zh-CN"/>
        </w:rPr>
        <w:t>产品配置</w:t>
      </w:r>
      <w:r>
        <w:rPr>
          <w:rFonts w:hint="eastAsia" w:ascii="仿宋" w:hAnsi="仿宋" w:eastAsia="仿宋" w:cs="仿宋"/>
          <w:bCs/>
          <w:color w:val="auto"/>
          <w:sz w:val="24"/>
          <w:szCs w:val="24"/>
          <w:highlight w:val="none"/>
        </w:rPr>
        <w:t>等真实详细信息，禁止复制采购人所提供的参考参数。</w:t>
      </w:r>
    </w:p>
    <w:p>
      <w:pPr>
        <w:numPr>
          <w:ilvl w:val="0"/>
          <w:numId w:val="6"/>
        </w:numPr>
        <w:spacing w:after="0" w:line="440" w:lineRule="exact"/>
        <w:rPr>
          <w:rFonts w:hint="eastAsia" w:ascii="仿宋" w:hAnsi="仿宋" w:eastAsia="仿宋" w:cs="仿宋"/>
          <w:b/>
          <w:color w:val="auto"/>
          <w:sz w:val="24"/>
          <w:szCs w:val="24"/>
          <w:highlight w:val="none"/>
          <w:lang w:val="en-US" w:eastAsia="zh-CN"/>
        </w:rPr>
      </w:pPr>
      <w:r>
        <w:rPr>
          <w:rFonts w:hint="eastAsia" w:ascii="仿宋" w:hAnsi="仿宋" w:eastAsia="仿宋" w:cs="仿宋"/>
          <w:bCs/>
          <w:color w:val="auto"/>
          <w:sz w:val="24"/>
          <w:szCs w:val="24"/>
          <w:highlight w:val="none"/>
        </w:rPr>
        <w:t>参</w:t>
      </w:r>
      <w:r>
        <w:rPr>
          <w:rFonts w:hint="eastAsia" w:ascii="仿宋" w:hAnsi="仿宋" w:eastAsia="仿宋" w:cs="仿宋"/>
          <w:b w:val="0"/>
          <w:bCs/>
          <w:color w:val="auto"/>
          <w:sz w:val="24"/>
          <w:szCs w:val="24"/>
          <w:highlight w:val="none"/>
        </w:rPr>
        <w:t>与人所投商品单价</w:t>
      </w:r>
      <w:r>
        <w:rPr>
          <w:rFonts w:hint="eastAsia" w:ascii="仿宋" w:hAnsi="仿宋" w:eastAsia="仿宋" w:cs="仿宋"/>
          <w:b w:val="0"/>
          <w:bCs/>
          <w:color w:val="auto"/>
          <w:sz w:val="24"/>
          <w:szCs w:val="24"/>
          <w:highlight w:val="none"/>
          <w:lang w:val="en-US" w:eastAsia="zh-CN"/>
        </w:rPr>
        <w:t>为</w:t>
      </w:r>
      <w:r>
        <w:rPr>
          <w:rFonts w:hint="eastAsia" w:ascii="仿宋" w:hAnsi="仿宋" w:eastAsia="仿宋" w:cs="仿宋"/>
          <w:color w:val="auto"/>
          <w:sz w:val="24"/>
          <w:szCs w:val="24"/>
          <w:highlight w:val="none"/>
          <w:lang w:val="en-US" w:eastAsia="zh-CN"/>
        </w:rPr>
        <w:t>含</w:t>
      </w:r>
      <w:r>
        <w:rPr>
          <w:rFonts w:hint="eastAsia" w:ascii="仿宋" w:hAnsi="仿宋" w:eastAsia="仿宋" w:cs="仿宋"/>
          <w:b/>
          <w:bCs/>
          <w:color w:val="auto"/>
          <w:sz w:val="24"/>
          <w:szCs w:val="24"/>
          <w:highlight w:val="none"/>
          <w:lang w:val="en-US" w:eastAsia="zh-CN"/>
        </w:rPr>
        <w:t>税</w:t>
      </w:r>
      <w:r>
        <w:rPr>
          <w:rFonts w:hint="eastAsia" w:ascii="仿宋" w:hAnsi="仿宋" w:eastAsia="仿宋" w:cs="仿宋"/>
          <w:b w:val="0"/>
          <w:bCs/>
          <w:color w:val="auto"/>
          <w:sz w:val="24"/>
          <w:szCs w:val="24"/>
          <w:highlight w:val="none"/>
        </w:rPr>
        <w:t>固定不变价，包含乙方将货物运送至甲方指定交货地点交甲方指定收货人并经甲方验收合格并现场安装完成等所有费用，包括但不限于成本及利润、税费、运输费、包装费、保险费、仓储费、损耗费</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装卸搬运费、辅材费、整体实施、现场安装、验收、调试以及后续全部相关费用，包括但不限于后续的到货检验、保修和维修、技术服务等</w:t>
      </w:r>
      <w:r>
        <w:rPr>
          <w:rFonts w:hint="eastAsia" w:ascii="仿宋" w:hAnsi="仿宋" w:eastAsia="仿宋" w:cs="仿宋"/>
          <w:b w:val="0"/>
          <w:bCs/>
          <w:color w:val="auto"/>
          <w:sz w:val="24"/>
          <w:szCs w:val="24"/>
          <w:highlight w:val="none"/>
          <w:lang w:val="en-US" w:eastAsia="zh-CN"/>
        </w:rPr>
        <w:t>一切</w:t>
      </w:r>
      <w:r>
        <w:rPr>
          <w:rFonts w:hint="eastAsia" w:ascii="仿宋" w:hAnsi="仿宋" w:eastAsia="仿宋" w:cs="仿宋"/>
          <w:b w:val="0"/>
          <w:bCs/>
          <w:color w:val="auto"/>
          <w:sz w:val="24"/>
          <w:szCs w:val="24"/>
          <w:highlight w:val="none"/>
        </w:rPr>
        <w:t>费用。在免费保修期内负责免费上门修理。</w:t>
      </w:r>
    </w:p>
    <w:p>
      <w:pPr>
        <w:numPr>
          <w:ilvl w:val="0"/>
          <w:numId w:val="6"/>
        </w:numPr>
        <w:spacing w:after="0" w:line="440" w:lineRule="exact"/>
        <w:rPr>
          <w:rFonts w:hint="eastAsia" w:ascii="仿宋" w:hAnsi="仿宋" w:eastAsia="仿宋" w:cs="仿宋"/>
          <w:bCs/>
          <w:color w:val="auto"/>
          <w:sz w:val="24"/>
          <w:szCs w:val="24"/>
          <w:highlight w:val="none"/>
        </w:rPr>
        <w:sectPr>
          <w:footerReference r:id="rId6" w:type="first"/>
          <w:footerReference r:id="rId5" w:type="default"/>
          <w:type w:val="continuous"/>
          <w:pgSz w:w="11906" w:h="16838"/>
          <w:pgMar w:top="1440" w:right="1133" w:bottom="1440" w:left="993" w:header="680" w:footer="227" w:gutter="0"/>
          <w:cols w:space="425" w:num="1"/>
          <w:titlePg/>
          <w:docGrid w:type="lines" w:linePitch="312" w:charSpace="0"/>
        </w:sectPr>
      </w:pPr>
      <w:r>
        <w:rPr>
          <w:rFonts w:hint="eastAsia" w:ascii="仿宋" w:hAnsi="仿宋" w:eastAsia="仿宋" w:cs="仿宋"/>
          <w:bCs/>
          <w:color w:val="auto"/>
          <w:sz w:val="24"/>
          <w:szCs w:val="24"/>
          <w:highlight w:val="none"/>
        </w:rPr>
        <w:t>付款方式为设备到货</w:t>
      </w:r>
      <w:r>
        <w:rPr>
          <w:rFonts w:hint="eastAsia" w:ascii="仿宋" w:hAnsi="仿宋" w:eastAsia="仿宋" w:cs="仿宋"/>
          <w:bCs/>
          <w:color w:val="auto"/>
          <w:sz w:val="24"/>
          <w:szCs w:val="24"/>
          <w:highlight w:val="none"/>
          <w:lang w:val="en-US" w:eastAsia="zh-CN"/>
        </w:rPr>
        <w:t>安装完成</w:t>
      </w:r>
      <w:r>
        <w:rPr>
          <w:rFonts w:hint="eastAsia" w:ascii="仿宋" w:hAnsi="仿宋" w:eastAsia="仿宋" w:cs="仿宋"/>
          <w:bCs/>
          <w:color w:val="auto"/>
          <w:sz w:val="24"/>
          <w:szCs w:val="24"/>
          <w:highlight w:val="none"/>
        </w:rPr>
        <w:t>初验合格后二十个工作日内支付合同金额50%，验收合格后二十个工作日内支付合同金额45%，余款5%作为质保金在</w:t>
      </w:r>
      <w:r>
        <w:rPr>
          <w:rFonts w:hint="eastAsia" w:ascii="仿宋" w:hAnsi="仿宋" w:eastAsia="仿宋" w:cs="仿宋"/>
          <w:bCs/>
          <w:color w:val="auto"/>
          <w:sz w:val="24"/>
          <w:szCs w:val="24"/>
          <w:highlight w:val="none"/>
          <w:lang w:val="en-US" w:eastAsia="zh-CN"/>
        </w:rPr>
        <w:t>质保期</w:t>
      </w:r>
      <w:r>
        <w:rPr>
          <w:rFonts w:hint="eastAsia" w:ascii="仿宋" w:hAnsi="仿宋" w:eastAsia="仿宋" w:cs="仿宋"/>
          <w:bCs/>
          <w:color w:val="auto"/>
          <w:sz w:val="24"/>
          <w:szCs w:val="24"/>
          <w:highlight w:val="none"/>
        </w:rPr>
        <w:t>后经二次验收合格后退还（乙方须提供申请退还质保金函）。</w:t>
      </w:r>
    </w:p>
    <w:p>
      <w:pPr>
        <w:pStyle w:val="65"/>
        <w:tabs>
          <w:tab w:val="left" w:pos="384"/>
        </w:tabs>
        <w:spacing w:after="0" w:line="492" w:lineRule="exact"/>
        <w:rPr>
          <w:rFonts w:ascii="仿宋" w:hAnsi="仿宋" w:eastAsia="仿宋"/>
          <w:color w:val="auto"/>
          <w:sz w:val="24"/>
          <w:szCs w:val="24"/>
          <w:highlight w:val="none"/>
          <w:lang w:eastAsia="zh-CN"/>
        </w:rPr>
      </w:pPr>
      <w:r>
        <w:rPr>
          <w:rFonts w:ascii="仿宋" w:hAnsi="仿宋" w:eastAsia="仿宋"/>
          <w:color w:val="auto"/>
          <w:sz w:val="24"/>
          <w:szCs w:val="24"/>
          <w:highlight w:val="none"/>
          <w:lang w:eastAsia="zh-CN"/>
        </w:rPr>
        <w:drawing>
          <wp:anchor distT="0" distB="0" distL="114300" distR="114300" simplePos="0" relativeHeight="251659264" behindDoc="0" locked="0" layoutInCell="1" allowOverlap="1">
            <wp:simplePos x="0" y="0"/>
            <wp:positionH relativeFrom="column">
              <wp:posOffset>57150</wp:posOffset>
            </wp:positionH>
            <wp:positionV relativeFrom="paragraph">
              <wp:posOffset>240030</wp:posOffset>
            </wp:positionV>
            <wp:extent cx="6210300" cy="3790950"/>
            <wp:effectExtent l="0" t="0" r="0" b="0"/>
            <wp:wrapSquare wrapText="bothSides"/>
            <wp:docPr id="1" name="图片 1" descr="168869389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8693891593"/>
                    <pic:cNvPicPr>
                      <a:picLocks noChangeAspect="1"/>
                    </pic:cNvPicPr>
                  </pic:nvPicPr>
                  <pic:blipFill>
                    <a:blip r:embed="rId15"/>
                    <a:stretch>
                      <a:fillRect/>
                    </a:stretch>
                  </pic:blipFill>
                  <pic:spPr>
                    <a:xfrm>
                      <a:off x="0" y="0"/>
                      <a:ext cx="6210300" cy="3790950"/>
                    </a:xfrm>
                    <a:prstGeom prst="rect">
                      <a:avLst/>
                    </a:prstGeom>
                  </pic:spPr>
                </pic:pic>
              </a:graphicData>
            </a:graphic>
          </wp:anchor>
        </w:drawing>
      </w:r>
    </w:p>
    <w:p>
      <w:pPr>
        <w:spacing w:line="40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anchor distT="0" distB="0" distL="114300" distR="114300" simplePos="0" relativeHeight="251660288" behindDoc="0" locked="0" layoutInCell="1" allowOverlap="1">
            <wp:simplePos x="0" y="0"/>
            <wp:positionH relativeFrom="column">
              <wp:posOffset>933450</wp:posOffset>
            </wp:positionH>
            <wp:positionV relativeFrom="paragraph">
              <wp:posOffset>4445</wp:posOffset>
            </wp:positionV>
            <wp:extent cx="3971925" cy="3901440"/>
            <wp:effectExtent l="0" t="0" r="9525" b="3810"/>
            <wp:wrapSquare wrapText="bothSides"/>
            <wp:docPr id="2" name="图片 2" descr="168869400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8694007709"/>
                    <pic:cNvPicPr>
                      <a:picLocks noChangeAspect="1"/>
                    </pic:cNvPicPr>
                  </pic:nvPicPr>
                  <pic:blipFill>
                    <a:blip r:embed="rId16"/>
                    <a:stretch>
                      <a:fillRect/>
                    </a:stretch>
                  </pic:blipFill>
                  <pic:spPr>
                    <a:xfrm>
                      <a:off x="0" y="0"/>
                      <a:ext cx="3971925" cy="3901440"/>
                    </a:xfrm>
                    <a:prstGeom prst="rect">
                      <a:avLst/>
                    </a:prstGeom>
                  </pic:spPr>
                </pic:pic>
              </a:graphicData>
            </a:graphic>
          </wp:anchor>
        </w:drawing>
      </w:r>
    </w:p>
    <w:p>
      <w:pPr>
        <w:spacing w:line="400" w:lineRule="exact"/>
        <w:rPr>
          <w:rFonts w:hint="eastAsia" w:ascii="仿宋" w:hAnsi="仿宋" w:eastAsia="仿宋" w:cs="仿宋"/>
          <w:color w:val="auto"/>
          <w:sz w:val="24"/>
          <w:szCs w:val="24"/>
          <w:highlight w:val="none"/>
          <w:lang w:val="en-US" w:eastAsia="zh-CN"/>
        </w:rPr>
      </w:pPr>
    </w:p>
    <w:p>
      <w:pPr>
        <w:spacing w:line="400" w:lineRule="exact"/>
        <w:rPr>
          <w:rFonts w:hint="eastAsia" w:ascii="仿宋" w:hAnsi="仿宋" w:eastAsia="仿宋" w:cs="仿宋"/>
          <w:color w:val="auto"/>
          <w:sz w:val="24"/>
          <w:szCs w:val="24"/>
          <w:highlight w:val="none"/>
          <w:lang w:val="en-US" w:eastAsia="zh-CN"/>
        </w:rPr>
      </w:pPr>
    </w:p>
    <w:p>
      <w:pPr>
        <w:spacing w:line="400" w:lineRule="exact"/>
        <w:rPr>
          <w:rFonts w:hint="eastAsia" w:ascii="仿宋" w:hAnsi="仿宋" w:eastAsia="仿宋" w:cs="仿宋"/>
          <w:color w:val="auto"/>
          <w:sz w:val="24"/>
          <w:szCs w:val="24"/>
          <w:highlight w:val="none"/>
          <w:lang w:val="en-US" w:eastAsia="zh-CN"/>
        </w:rPr>
      </w:pPr>
    </w:p>
    <w:p>
      <w:pPr>
        <w:spacing w:line="400" w:lineRule="exact"/>
        <w:rPr>
          <w:rFonts w:hint="eastAsia" w:ascii="仿宋" w:hAnsi="仿宋" w:eastAsia="仿宋" w:cs="仿宋"/>
          <w:color w:val="auto"/>
          <w:sz w:val="24"/>
          <w:szCs w:val="24"/>
          <w:highlight w:val="none"/>
          <w:lang w:val="en-US" w:eastAsia="zh-CN"/>
        </w:rPr>
      </w:pPr>
    </w:p>
    <w:p>
      <w:pPr>
        <w:spacing w:line="400" w:lineRule="exact"/>
        <w:rPr>
          <w:rFonts w:hint="eastAsia" w:ascii="仿宋" w:hAnsi="仿宋" w:eastAsia="仿宋" w:cs="仿宋"/>
          <w:color w:val="auto"/>
          <w:sz w:val="24"/>
          <w:szCs w:val="24"/>
          <w:highlight w:val="none"/>
          <w:lang w:val="en-US" w:eastAsia="zh-CN"/>
        </w:rPr>
      </w:pPr>
    </w:p>
    <w:p>
      <w:pPr>
        <w:spacing w:line="400" w:lineRule="exact"/>
        <w:rPr>
          <w:rFonts w:hint="eastAsia" w:ascii="仿宋" w:hAnsi="仿宋" w:eastAsia="仿宋" w:cs="仿宋"/>
          <w:color w:val="auto"/>
          <w:sz w:val="24"/>
          <w:szCs w:val="24"/>
          <w:highlight w:val="none"/>
          <w:lang w:val="en-US" w:eastAsia="zh-CN"/>
        </w:rPr>
      </w:pPr>
    </w:p>
    <w:p>
      <w:pPr>
        <w:spacing w:line="400" w:lineRule="exact"/>
        <w:rPr>
          <w:rFonts w:hint="eastAsia" w:ascii="仿宋" w:hAnsi="仿宋" w:eastAsia="仿宋" w:cs="仿宋"/>
          <w:color w:val="auto"/>
          <w:sz w:val="24"/>
          <w:szCs w:val="24"/>
          <w:highlight w:val="none"/>
          <w:lang w:val="en-US" w:eastAsia="zh-CN"/>
        </w:rPr>
      </w:pPr>
    </w:p>
    <w:p>
      <w:pPr>
        <w:spacing w:line="400" w:lineRule="exact"/>
        <w:rPr>
          <w:rFonts w:hint="eastAsia" w:ascii="仿宋" w:hAnsi="仿宋" w:eastAsia="仿宋" w:cs="仿宋"/>
          <w:color w:val="auto"/>
          <w:sz w:val="24"/>
          <w:szCs w:val="24"/>
          <w:highlight w:val="none"/>
          <w:lang w:val="en-US" w:eastAsia="zh-CN"/>
        </w:rPr>
      </w:pPr>
    </w:p>
    <w:p>
      <w:pPr>
        <w:spacing w:line="400" w:lineRule="exact"/>
        <w:rPr>
          <w:rFonts w:hint="eastAsia" w:ascii="仿宋" w:hAnsi="仿宋" w:eastAsia="仿宋" w:cs="仿宋"/>
          <w:color w:val="auto"/>
          <w:sz w:val="24"/>
          <w:szCs w:val="24"/>
          <w:highlight w:val="none"/>
          <w:lang w:val="en-US" w:eastAsia="zh-CN"/>
        </w:rPr>
      </w:pPr>
    </w:p>
    <w:p>
      <w:pPr>
        <w:spacing w:line="580" w:lineRule="exact"/>
        <w:jc w:val="both"/>
        <w:rPr>
          <w:rFonts w:hint="eastAsia" w:ascii="仿宋" w:hAnsi="仿宋" w:eastAsia="仿宋" w:cs="仿宋"/>
          <w:b/>
          <w:color w:val="auto"/>
          <w:sz w:val="52"/>
          <w:szCs w:val="52"/>
          <w:highlight w:val="none"/>
        </w:rPr>
        <w:sectPr>
          <w:headerReference r:id="rId8" w:type="first"/>
          <w:footerReference r:id="rId10" w:type="first"/>
          <w:headerReference r:id="rId7" w:type="default"/>
          <w:footerReference r:id="rId9" w:type="default"/>
          <w:type w:val="continuous"/>
          <w:pgSz w:w="11906" w:h="16838"/>
          <w:pgMar w:top="1440" w:right="1416" w:bottom="1440" w:left="1134" w:header="851" w:footer="227" w:gutter="0"/>
          <w:cols w:space="425" w:num="1"/>
          <w:titlePg/>
          <w:docGrid w:type="lines" w:linePitch="312" w:charSpace="0"/>
        </w:sectPr>
      </w:pPr>
    </w:p>
    <w:p>
      <w:pPr>
        <w:spacing w:line="580" w:lineRule="exact"/>
        <w:jc w:val="center"/>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广州应用科技学院肇庆校区</w:t>
      </w:r>
    </w:p>
    <w:p>
      <w:pPr>
        <w:spacing w:line="580" w:lineRule="exact"/>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lang w:val="en-US" w:eastAsia="zh-CN"/>
        </w:rPr>
        <w:t>3个垃圾分类收集站</w:t>
      </w:r>
      <w:r>
        <w:rPr>
          <w:rFonts w:hint="eastAsia" w:ascii="仿宋" w:hAnsi="仿宋" w:eastAsia="仿宋" w:cs="仿宋"/>
          <w:b/>
          <w:color w:val="auto"/>
          <w:sz w:val="44"/>
          <w:szCs w:val="44"/>
          <w:highlight w:val="none"/>
        </w:rPr>
        <w:t>采购及安装项目</w:t>
      </w:r>
    </w:p>
    <w:p>
      <w:pPr>
        <w:pStyle w:val="2"/>
        <w:rPr>
          <w:rFonts w:hint="eastAsia"/>
        </w:rPr>
      </w:pPr>
    </w:p>
    <w:p>
      <w:pPr>
        <w:spacing w:line="360" w:lineRule="auto"/>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报</w:t>
      </w:r>
    </w:p>
    <w:p>
      <w:pPr>
        <w:spacing w:line="360" w:lineRule="auto"/>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价</w:t>
      </w:r>
    </w:p>
    <w:p>
      <w:pPr>
        <w:spacing w:line="360" w:lineRule="auto"/>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响</w:t>
      </w:r>
    </w:p>
    <w:p>
      <w:pPr>
        <w:spacing w:line="360" w:lineRule="auto"/>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应</w:t>
      </w:r>
    </w:p>
    <w:p>
      <w:pPr>
        <w:spacing w:line="360" w:lineRule="auto"/>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pPr>
        <w:spacing w:line="360" w:lineRule="auto"/>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件</w:t>
      </w:r>
    </w:p>
    <w:p>
      <w:pPr>
        <w:pStyle w:val="2"/>
        <w:rPr>
          <w:rFonts w:hint="eastAsia"/>
        </w:rPr>
      </w:pPr>
    </w:p>
    <w:p>
      <w:pPr>
        <w:spacing w:line="580" w:lineRule="exact"/>
        <w:jc w:val="center"/>
        <w:rPr>
          <w:rFonts w:hint="eastAsia" w:ascii="仿宋" w:hAnsi="仿宋" w:eastAsia="仿宋" w:cs="仿宋"/>
          <w:b/>
          <w:color w:val="auto"/>
          <w:sz w:val="72"/>
          <w:szCs w:val="72"/>
          <w:highlight w:val="none"/>
        </w:rPr>
      </w:pPr>
    </w:p>
    <w:p>
      <w:pPr>
        <w:spacing w:line="500" w:lineRule="exact"/>
        <w:ind w:firstLine="2331" w:firstLineChars="645"/>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参与人名称（公司全称）：XXXX</w:t>
      </w:r>
    </w:p>
    <w:p>
      <w:pPr>
        <w:spacing w:line="5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参与人授权代表：XXXX</w:t>
      </w:r>
      <w:r>
        <w:rPr>
          <w:rFonts w:hint="eastAsia" w:ascii="仿宋" w:hAnsi="仿宋" w:eastAsia="仿宋"/>
          <w:b/>
          <w:sz w:val="36"/>
          <w:szCs w:val="36"/>
          <w:lang w:eastAsia="zh-CN"/>
        </w:rPr>
        <w:t>（</w:t>
      </w:r>
      <w:r>
        <w:rPr>
          <w:rFonts w:hint="eastAsia" w:ascii="仿宋" w:hAnsi="仿宋" w:eastAsia="仿宋"/>
          <w:b/>
          <w:sz w:val="36"/>
          <w:szCs w:val="36"/>
          <w:lang w:val="en-US" w:eastAsia="zh-CN"/>
        </w:rPr>
        <w:t>联系电话：XX</w:t>
      </w:r>
      <w:r>
        <w:rPr>
          <w:rFonts w:hint="eastAsia" w:ascii="仿宋" w:hAnsi="仿宋" w:eastAsia="仿宋"/>
          <w:b/>
          <w:sz w:val="36"/>
          <w:szCs w:val="36"/>
          <w:lang w:eastAsia="zh-CN"/>
        </w:rPr>
        <w:t>）</w:t>
      </w:r>
    </w:p>
    <w:p>
      <w:pPr>
        <w:pStyle w:val="23"/>
        <w:rPr>
          <w:rFonts w:hint="eastAsia" w:ascii="仿宋" w:hAnsi="仿宋" w:eastAsia="仿宋" w:cs="仿宋"/>
          <w:b/>
          <w:bCs/>
          <w:color w:val="auto"/>
          <w:sz w:val="30"/>
          <w:szCs w:val="30"/>
          <w:highlight w:val="none"/>
        </w:rPr>
      </w:pPr>
    </w:p>
    <w:p>
      <w:pPr>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此封面应作为报价响应文件封面</w:t>
      </w:r>
    </w:p>
    <w:p>
      <w:pPr>
        <w:pStyle w:val="23"/>
        <w:rPr>
          <w:rFonts w:hint="eastAsia" w:ascii="仿宋" w:hAnsi="仿宋" w:eastAsia="仿宋" w:cs="仿宋"/>
          <w:color w:val="auto"/>
          <w:highlight w:val="none"/>
        </w:rPr>
        <w:sectPr>
          <w:pgSz w:w="11906" w:h="16838"/>
          <w:pgMar w:top="1440" w:right="1416" w:bottom="1440" w:left="1134" w:header="851" w:footer="227" w:gutter="0"/>
          <w:cols w:space="425" w:num="1"/>
          <w:titlePg/>
          <w:docGrid w:type="lines" w:linePitch="312" w:charSpace="0"/>
        </w:sectPr>
      </w:pPr>
    </w:p>
    <w:p>
      <w:pPr>
        <w:pStyle w:val="2"/>
        <w:rPr>
          <w:rFonts w:hint="eastAsia" w:ascii="仿宋" w:hAnsi="仿宋" w:eastAsia="仿宋" w:cs="仿宋"/>
          <w:b/>
          <w:bCs/>
          <w:color w:val="auto"/>
          <w:sz w:val="24"/>
          <w:szCs w:val="24"/>
          <w:highlight w:val="none"/>
        </w:rPr>
      </w:pPr>
      <w:bookmarkStart w:id="48" w:name="_Toc251613829"/>
      <w:bookmarkStart w:id="49" w:name="_Toc192664153"/>
      <w:bookmarkStart w:id="50" w:name="_Toc236021449"/>
      <w:bookmarkStart w:id="51" w:name="_Toc191803626"/>
      <w:bookmarkStart w:id="52" w:name="_Toc160880529"/>
      <w:bookmarkStart w:id="53" w:name="_Toc249325711"/>
      <w:bookmarkStart w:id="54" w:name="_Toc170798793"/>
      <w:bookmarkStart w:id="55" w:name="_Toc267059653"/>
      <w:bookmarkStart w:id="56" w:name="_Toc253066614"/>
      <w:bookmarkStart w:id="57" w:name="_Toc267060321"/>
      <w:bookmarkStart w:id="58" w:name="_Toc192996338"/>
      <w:bookmarkStart w:id="59" w:name="_Toc181436461"/>
      <w:bookmarkStart w:id="60" w:name="_Toc254790899"/>
      <w:bookmarkStart w:id="61" w:name="_Toc273178698"/>
      <w:bookmarkStart w:id="62" w:name="_Toc191783222"/>
      <w:bookmarkStart w:id="63" w:name="_Toc266868670"/>
      <w:bookmarkStart w:id="64" w:name="_Toc203355733"/>
      <w:bookmarkStart w:id="65" w:name="_Toc191789329"/>
      <w:bookmarkStart w:id="66" w:name="_Toc192663686"/>
      <w:bookmarkStart w:id="67" w:name="_Toc160880160"/>
      <w:bookmarkStart w:id="68" w:name="_Toc266870907"/>
      <w:bookmarkStart w:id="69" w:name="_Toc267060453"/>
      <w:bookmarkStart w:id="70" w:name="_Toc235437991"/>
      <w:bookmarkStart w:id="71" w:name="_Toc193165734"/>
      <w:bookmarkStart w:id="72" w:name="_Toc211917116"/>
      <w:bookmarkStart w:id="73" w:name="_Toc266870833"/>
      <w:bookmarkStart w:id="74" w:name="_Toc267059919"/>
      <w:bookmarkStart w:id="75" w:name="_Toc192663835"/>
      <w:bookmarkStart w:id="76" w:name="_Toc267059181"/>
      <w:bookmarkStart w:id="77" w:name="_Toc259692740"/>
      <w:bookmarkStart w:id="78" w:name="_Toc255975007"/>
      <w:bookmarkStart w:id="79" w:name="_Toc266868937"/>
      <w:bookmarkStart w:id="80" w:name="_Toc177985469"/>
      <w:bookmarkStart w:id="81" w:name="_Toc258401256"/>
      <w:bookmarkStart w:id="82" w:name="_Toc235438344"/>
      <w:bookmarkStart w:id="83" w:name="_Toc267060068"/>
      <w:bookmarkStart w:id="84" w:name="_Toc266870432"/>
      <w:bookmarkStart w:id="85" w:name="_Toc267060208"/>
      <w:bookmarkStart w:id="86" w:name="_Toc235438274"/>
      <w:bookmarkStart w:id="87" w:name="_Toc182805217"/>
      <w:bookmarkStart w:id="88" w:name="_Toc267059030"/>
      <w:bookmarkStart w:id="89" w:name="_Toc230071147"/>
      <w:bookmarkStart w:id="90" w:name="_Toc223146608"/>
      <w:bookmarkStart w:id="91" w:name="_Toc213756051"/>
      <w:bookmarkStart w:id="92" w:name="_Toc251586231"/>
      <w:bookmarkStart w:id="93" w:name="_Toc227058530"/>
      <w:bookmarkStart w:id="94" w:name="_Toc232302115"/>
      <w:bookmarkStart w:id="95" w:name="_Toc180302913"/>
      <w:bookmarkStart w:id="96" w:name="_Toc259520865"/>
      <w:bookmarkStart w:id="97" w:name="_Toc169332949"/>
      <w:bookmarkStart w:id="98" w:name="_Toc267059806"/>
      <w:bookmarkStart w:id="99" w:name="_Toc259692647"/>
      <w:bookmarkStart w:id="100" w:name="_Toc225669322"/>
      <w:bookmarkStart w:id="101" w:name="_Toc169332838"/>
      <w:bookmarkStart w:id="102" w:name="_Toc267059539"/>
      <w:bookmarkStart w:id="103" w:name="_Toc213755858"/>
      <w:bookmarkStart w:id="104" w:name="_Toc193160448"/>
      <w:bookmarkStart w:id="105" w:name="_Toc181436565"/>
      <w:bookmarkStart w:id="106" w:name="_Toc192996446"/>
      <w:bookmarkStart w:id="107" w:name="_Toc213755995"/>
      <w:bookmarkStart w:id="108" w:name="_Toc191802690"/>
      <w:bookmarkStart w:id="109" w:name="_Toc217891402"/>
      <w:bookmarkStart w:id="110" w:name="_Toc219800243"/>
      <w:bookmarkStart w:id="111" w:name="_Toc213208766"/>
      <w:bookmarkStart w:id="112" w:name="_Toc182372782"/>
      <w:bookmarkStart w:id="113" w:name="_Toc213755939"/>
    </w:p>
    <w:p>
      <w:pPr>
        <w:rPr>
          <w:rFonts w:hint="eastAsia"/>
        </w:rPr>
      </w:pPr>
    </w:p>
    <w:p>
      <w:pPr>
        <w:jc w:val="center"/>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hint="eastAsia" w:ascii="仿宋" w:hAnsi="仿宋" w:eastAsia="仿宋" w:cs="仿宋"/>
          <w:b/>
          <w:bCs/>
          <w:color w:val="auto"/>
          <w:sz w:val="24"/>
          <w:szCs w:val="24"/>
          <w:highlight w:val="none"/>
        </w:rPr>
        <w:t>询价响应函</w:t>
      </w:r>
    </w:p>
    <w:p>
      <w:pPr>
        <w:spacing w:after="0" w:line="4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lang w:val="en-US" w:eastAsia="zh-CN"/>
        </w:rPr>
        <w:t>广州应用科技学院</w:t>
      </w:r>
    </w:p>
    <w:p>
      <w:pPr>
        <w:spacing w:after="0" w:line="480" w:lineRule="exact"/>
        <w:rPr>
          <w:rFonts w:hint="eastAsia" w:ascii="仿宋" w:hAnsi="仿宋" w:eastAsia="仿宋" w:cs="仿宋"/>
          <w:color w:val="0000FF"/>
          <w:sz w:val="24"/>
          <w:szCs w:val="24"/>
          <w:highlight w:val="none"/>
          <w:lang w:val="en-US" w:eastAsia="zh-CN"/>
        </w:rPr>
      </w:pPr>
      <w:r>
        <w:rPr>
          <w:rFonts w:hint="eastAsia" w:ascii="仿宋" w:hAnsi="仿宋" w:eastAsia="仿宋" w:cs="仿宋"/>
          <w:color w:val="auto"/>
          <w:sz w:val="24"/>
          <w:szCs w:val="24"/>
          <w:highlight w:val="none"/>
        </w:rPr>
        <w:t xml:space="preserve">    根据</w:t>
      </w:r>
      <w:r>
        <w:rPr>
          <w:rFonts w:hint="eastAsia" w:ascii="仿宋" w:hAnsi="仿宋" w:eastAsia="仿宋" w:cs="仿宋"/>
          <w:color w:val="auto"/>
          <w:sz w:val="24"/>
          <w:szCs w:val="24"/>
          <w:highlight w:val="none"/>
          <w:lang w:val="en-US" w:eastAsia="zh-CN"/>
        </w:rPr>
        <w:t>贵校</w:t>
      </w:r>
      <w:r>
        <w:rPr>
          <w:rFonts w:hint="eastAsia" w:ascii="仿宋" w:hAnsi="仿宋" w:eastAsia="仿宋" w:cs="仿宋"/>
          <w:color w:val="auto"/>
          <w:sz w:val="24"/>
          <w:szCs w:val="24"/>
          <w:highlight w:val="none"/>
        </w:rPr>
        <w:t>编号为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项目名称为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的公开询价邀请，本签字代表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（全名、职务）正式授权并代表我方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（参与人公司名称）提交下述文件。</w:t>
      </w:r>
      <w:r>
        <w:rPr>
          <w:rFonts w:hint="eastAsia" w:ascii="仿宋" w:hAnsi="仿宋" w:eastAsia="仿宋" w:cs="仿宋"/>
          <w:color w:val="auto"/>
          <w:sz w:val="24"/>
          <w:szCs w:val="24"/>
          <w:highlight w:val="none"/>
          <w:lang w:val="en-US" w:eastAsia="zh-CN"/>
        </w:rPr>
        <w:t>一式三份，一正两副。</w:t>
      </w:r>
    </w:p>
    <w:p>
      <w:pPr>
        <w:spacing w:after="0"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报价一览表</w:t>
      </w:r>
    </w:p>
    <w:p>
      <w:pPr>
        <w:spacing w:after="0" w:line="480" w:lineRule="exact"/>
        <w:ind w:firstLine="364" w:firstLineChars="15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 参与人资质证明</w:t>
      </w:r>
    </w:p>
    <w:p>
      <w:pPr>
        <w:spacing w:after="0"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据此函，签字代表宣布同意如下：</w:t>
      </w:r>
    </w:p>
    <w:p>
      <w:pPr>
        <w:spacing w:after="0" w:line="4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1.所附详细报价表中规定的应提供和交付的货物及服务报价总价（国内现场交货价）为人民币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，即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（中文表述），交货期为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天 。</w:t>
      </w:r>
    </w:p>
    <w:p>
      <w:pPr>
        <w:spacing w:after="0"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2.同意参加本项目的报价，并已详细审查全部公开询价文件，包括修改文件（如有的话）和有关附件，将自行承担因对全部询价文件理解不正确或误解而产生的相应后果。</w:t>
      </w:r>
    </w:p>
    <w:p>
      <w:pPr>
        <w:spacing w:after="0" w:line="4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3.保证遵守公开询价文件的全部规定，所提交的材料中所含的信息均为真实、准确、完整，且不具有任何误导性。</w:t>
      </w:r>
    </w:p>
    <w:p>
      <w:pPr>
        <w:spacing w:after="0" w:line="4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4.同意按公开询价文件的规定履行合同责任和义务。</w:t>
      </w:r>
    </w:p>
    <w:p>
      <w:pPr>
        <w:spacing w:after="0"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5.同意提供按照贵方可能要求的与其公开询价有关的一切数据或资料</w:t>
      </w:r>
    </w:p>
    <w:p>
      <w:pPr>
        <w:spacing w:after="0" w:line="4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6.完全了解本项目是贵方自有资金而非财政性资金组织的采购，并接受贵方按企业内部规定的标准进行的评定，以及完全理解贵方不一定要接受最低的报价作为成交价。</w:t>
      </w:r>
    </w:p>
    <w:p>
      <w:pPr>
        <w:spacing w:after="0" w:line="480" w:lineRule="exact"/>
        <w:ind w:firstLine="480" w:firstLineChars="200"/>
        <w:rPr>
          <w:rFonts w:hint="eastAsia" w:ascii="仿宋" w:hAnsi="仿宋" w:eastAsia="仿宋" w:cs="仿宋"/>
          <w:color w:val="auto"/>
          <w:sz w:val="24"/>
          <w:szCs w:val="24"/>
          <w:highlight w:val="none"/>
        </w:rPr>
      </w:pPr>
    </w:p>
    <w:p>
      <w:pPr>
        <w:spacing w:after="0" w:line="48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w:t>
      </w:r>
    </w:p>
    <w:p>
      <w:pPr>
        <w:spacing w:after="0" w:line="48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w:t>
      </w:r>
    </w:p>
    <w:p>
      <w:pPr>
        <w:spacing w:after="0" w:line="480" w:lineRule="exact"/>
        <w:ind w:left="284" w:leftChars="129" w:firstLine="242" w:firstLineChars="101"/>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参与人（公司全称并加盖公章）：</w:t>
      </w:r>
      <w:r>
        <w:rPr>
          <w:rFonts w:hint="eastAsia" w:ascii="仿宋" w:hAnsi="仿宋" w:eastAsia="仿宋" w:cs="仿宋"/>
          <w:color w:val="auto"/>
          <w:sz w:val="24"/>
          <w:szCs w:val="24"/>
          <w:highlight w:val="none"/>
          <w:u w:val="single"/>
        </w:rPr>
        <w:t xml:space="preserve">                       </w:t>
      </w:r>
    </w:p>
    <w:p>
      <w:pPr>
        <w:spacing w:after="0" w:line="480" w:lineRule="exact"/>
        <w:ind w:left="284" w:leftChars="129" w:firstLine="242" w:firstLineChars="101"/>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参与人授权代表签字： </w:t>
      </w:r>
      <w:r>
        <w:rPr>
          <w:rFonts w:hint="eastAsia" w:ascii="仿宋" w:hAnsi="仿宋" w:eastAsia="仿宋" w:cs="仿宋"/>
          <w:color w:val="auto"/>
          <w:sz w:val="24"/>
          <w:szCs w:val="24"/>
          <w:highlight w:val="none"/>
          <w:u w:val="single"/>
        </w:rPr>
        <w:t xml:space="preserve">                </w:t>
      </w:r>
    </w:p>
    <w:p>
      <w:pPr>
        <w:spacing w:after="0" w:line="480" w:lineRule="exact"/>
        <w:ind w:left="284" w:leftChars="129" w:firstLine="242" w:firstLineChars="101"/>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电  话：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（手机号码）</w:t>
      </w:r>
    </w:p>
    <w:p>
      <w:pPr>
        <w:pStyle w:val="59"/>
        <w:spacing w:line="480" w:lineRule="exact"/>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年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月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rPr>
          <w:rFonts w:hint="eastAsia" w:ascii="仿宋" w:hAnsi="仿宋" w:eastAsia="仿宋" w:cs="仿宋"/>
          <w:color w:val="auto"/>
          <w:kern w:val="2"/>
          <w:sz w:val="24"/>
          <w:szCs w:val="24"/>
          <w:highlight w:val="none"/>
        </w:rPr>
      </w:pPr>
      <w:r>
        <w:rPr>
          <w:rFonts w:hint="eastAsia" w:ascii="仿宋" w:hAnsi="仿宋" w:eastAsia="仿宋" w:cs="仿宋"/>
          <w:color w:val="auto"/>
          <w:sz w:val="24"/>
          <w:szCs w:val="24"/>
          <w:highlight w:val="none"/>
        </w:rPr>
        <w:br w:type="page"/>
      </w:r>
    </w:p>
    <w:p>
      <w:pPr>
        <w:jc w:val="center"/>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2、报价一览表</w:t>
      </w:r>
    </w:p>
    <w:p>
      <w:pPr>
        <w:spacing w:line="380" w:lineRule="exact"/>
        <w:ind w:left="147" w:leftChars="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参与人：</w:t>
      </w:r>
      <w:r>
        <w:rPr>
          <w:rFonts w:hint="eastAsia" w:ascii="仿宋" w:hAnsi="仿宋" w:eastAsia="仿宋" w:cs="仿宋"/>
          <w:color w:val="auto"/>
          <w:sz w:val="24"/>
          <w:szCs w:val="24"/>
          <w:highlight w:val="none"/>
          <w:lang w:val="zh-CN"/>
        </w:rPr>
        <w:t>（公司全称并加盖公章）</w:t>
      </w:r>
      <w:r>
        <w:rPr>
          <w:rFonts w:hint="eastAsia" w:ascii="仿宋" w:hAnsi="仿宋" w:eastAsia="仿宋" w:cs="仿宋"/>
          <w:color w:val="auto"/>
          <w:sz w:val="24"/>
          <w:szCs w:val="24"/>
          <w:highlight w:val="none"/>
        </w:rPr>
        <w:t xml:space="preserve">                   项目编号：</w:t>
      </w:r>
    </w:p>
    <w:p>
      <w:pPr>
        <w:spacing w:line="380" w:lineRule="exact"/>
        <w:ind w:left="147" w:leftChars="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货币单位：</w:t>
      </w:r>
    </w:p>
    <w:tbl>
      <w:tblPr>
        <w:tblStyle w:val="25"/>
        <w:tblW w:w="5134" w:type="pct"/>
        <w:tblInd w:w="0" w:type="dxa"/>
        <w:tblLayout w:type="autofit"/>
        <w:tblCellMar>
          <w:top w:w="0" w:type="dxa"/>
          <w:left w:w="108" w:type="dxa"/>
          <w:bottom w:w="0" w:type="dxa"/>
          <w:right w:w="108" w:type="dxa"/>
        </w:tblCellMar>
      </w:tblPr>
      <w:tblGrid>
        <w:gridCol w:w="720"/>
        <w:gridCol w:w="1161"/>
        <w:gridCol w:w="2716"/>
        <w:gridCol w:w="738"/>
        <w:gridCol w:w="614"/>
        <w:gridCol w:w="858"/>
        <w:gridCol w:w="984"/>
        <w:gridCol w:w="1023"/>
        <w:gridCol w:w="1015"/>
      </w:tblGrid>
      <w:tr>
        <w:tblPrEx>
          <w:tblCellMar>
            <w:top w:w="0" w:type="dxa"/>
            <w:left w:w="108" w:type="dxa"/>
            <w:bottom w:w="0" w:type="dxa"/>
            <w:right w:w="108" w:type="dxa"/>
          </w:tblCellMar>
        </w:tblPrEx>
        <w:trPr>
          <w:trHeight w:val="492" w:hRule="atLeast"/>
        </w:trPr>
        <w:tc>
          <w:tcPr>
            <w:tcW w:w="36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序号</w:t>
            </w:r>
          </w:p>
        </w:tc>
        <w:tc>
          <w:tcPr>
            <w:tcW w:w="590"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设备名称</w:t>
            </w:r>
          </w:p>
        </w:tc>
        <w:tc>
          <w:tcPr>
            <w:tcW w:w="1380"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规格型号（技术参数）</w:t>
            </w:r>
          </w:p>
        </w:tc>
        <w:tc>
          <w:tcPr>
            <w:tcW w:w="375"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单位</w:t>
            </w:r>
          </w:p>
        </w:tc>
        <w:tc>
          <w:tcPr>
            <w:tcW w:w="312"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数量</w:t>
            </w:r>
          </w:p>
        </w:tc>
        <w:tc>
          <w:tcPr>
            <w:tcW w:w="436"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单价（元）</w:t>
            </w:r>
          </w:p>
        </w:tc>
        <w:tc>
          <w:tcPr>
            <w:tcW w:w="500"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总价（元）</w:t>
            </w:r>
          </w:p>
        </w:tc>
        <w:tc>
          <w:tcPr>
            <w:tcW w:w="520"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是否提供样品</w:t>
            </w:r>
          </w:p>
        </w:tc>
        <w:tc>
          <w:tcPr>
            <w:tcW w:w="51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备注</w:t>
            </w:r>
          </w:p>
        </w:tc>
      </w:tr>
      <w:tr>
        <w:tblPrEx>
          <w:tblCellMar>
            <w:top w:w="0" w:type="dxa"/>
            <w:left w:w="108" w:type="dxa"/>
            <w:bottom w:w="0" w:type="dxa"/>
            <w:right w:w="108" w:type="dxa"/>
          </w:tblCellMar>
        </w:tblPrEx>
        <w:trPr>
          <w:trHeight w:val="794" w:hRule="atLeast"/>
        </w:trPr>
        <w:tc>
          <w:tcPr>
            <w:tcW w:w="366" w:type="pct"/>
            <w:tcBorders>
              <w:top w:val="nil"/>
              <w:left w:val="single" w:color="auto" w:sz="4" w:space="0"/>
              <w:bottom w:val="single" w:color="auto" w:sz="4" w:space="0"/>
              <w:right w:val="single" w:color="auto" w:sz="4" w:space="0"/>
            </w:tcBorders>
            <w:shd w:val="clear" w:color="000000" w:fill="FFFFFF"/>
            <w:vAlign w:val="center"/>
          </w:tcPr>
          <w:p>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w:t>
            </w:r>
          </w:p>
        </w:tc>
        <w:tc>
          <w:tcPr>
            <w:tcW w:w="590" w:type="pct"/>
            <w:tcBorders>
              <w:top w:val="nil"/>
              <w:left w:val="nil"/>
              <w:bottom w:val="single" w:color="auto" w:sz="4" w:space="0"/>
              <w:right w:val="single" w:color="auto" w:sz="4" w:space="0"/>
            </w:tcBorders>
            <w:shd w:val="clear" w:color="auto" w:fill="auto"/>
            <w:vAlign w:val="center"/>
          </w:tcPr>
          <w:p>
            <w:pPr>
              <w:jc w:val="center"/>
              <w:rPr>
                <w:rFonts w:hint="eastAsia" w:ascii="仿宋" w:hAnsi="仿宋" w:eastAsia="仿宋" w:cs="仿宋"/>
                <w:color w:val="auto"/>
                <w:sz w:val="20"/>
                <w:szCs w:val="20"/>
                <w:highlight w:val="none"/>
              </w:rPr>
            </w:pPr>
          </w:p>
        </w:tc>
        <w:tc>
          <w:tcPr>
            <w:tcW w:w="1380" w:type="pct"/>
            <w:tcBorders>
              <w:top w:val="nil"/>
              <w:left w:val="nil"/>
              <w:bottom w:val="single" w:color="auto" w:sz="4" w:space="0"/>
              <w:right w:val="single" w:color="auto" w:sz="4" w:space="0"/>
            </w:tcBorders>
            <w:shd w:val="clear" w:color="000000" w:fill="FFFFFF"/>
            <w:vAlign w:val="center"/>
          </w:tcPr>
          <w:p>
            <w:pPr>
              <w:rPr>
                <w:rFonts w:hint="eastAsia" w:ascii="仿宋" w:hAnsi="仿宋" w:eastAsia="仿宋" w:cs="仿宋"/>
                <w:color w:val="auto"/>
                <w:sz w:val="20"/>
                <w:szCs w:val="20"/>
                <w:highlight w:val="none"/>
              </w:rPr>
            </w:pPr>
          </w:p>
        </w:tc>
        <w:tc>
          <w:tcPr>
            <w:tcW w:w="375"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312"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436"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500"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520"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lang w:eastAsia="zh-CN"/>
              </w:rPr>
            </w:pPr>
            <w:r>
              <w:rPr>
                <w:rFonts w:hint="eastAsia" w:ascii="仿宋" w:hAnsi="仿宋" w:eastAsia="仿宋" w:cs="仿宋"/>
                <w:color w:val="auto"/>
                <w:sz w:val="20"/>
                <w:szCs w:val="20"/>
                <w:highlight w:val="none"/>
                <w:lang w:val="en-US" w:eastAsia="zh-CN"/>
              </w:rPr>
              <w:t>是</w:t>
            </w:r>
          </w:p>
        </w:tc>
        <w:tc>
          <w:tcPr>
            <w:tcW w:w="51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794" w:hRule="atLeast"/>
        </w:trPr>
        <w:tc>
          <w:tcPr>
            <w:tcW w:w="366" w:type="pct"/>
            <w:tcBorders>
              <w:top w:val="nil"/>
              <w:left w:val="single" w:color="auto" w:sz="4" w:space="0"/>
              <w:bottom w:val="single" w:color="auto" w:sz="4" w:space="0"/>
              <w:right w:val="single" w:color="auto" w:sz="4" w:space="0"/>
            </w:tcBorders>
            <w:shd w:val="clear" w:color="000000" w:fill="FFFFFF"/>
            <w:vAlign w:val="center"/>
          </w:tcPr>
          <w:p>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w:t>
            </w:r>
          </w:p>
        </w:tc>
        <w:tc>
          <w:tcPr>
            <w:tcW w:w="590" w:type="pct"/>
            <w:tcBorders>
              <w:top w:val="nil"/>
              <w:left w:val="nil"/>
              <w:bottom w:val="single" w:color="auto" w:sz="4" w:space="0"/>
              <w:right w:val="single" w:color="auto" w:sz="4" w:space="0"/>
            </w:tcBorders>
            <w:shd w:val="clear" w:color="auto" w:fill="auto"/>
            <w:vAlign w:val="center"/>
          </w:tcPr>
          <w:p>
            <w:pPr>
              <w:jc w:val="center"/>
              <w:rPr>
                <w:rFonts w:hint="eastAsia" w:ascii="仿宋" w:hAnsi="仿宋" w:eastAsia="仿宋" w:cs="仿宋"/>
                <w:color w:val="auto"/>
                <w:sz w:val="20"/>
                <w:szCs w:val="20"/>
                <w:highlight w:val="none"/>
              </w:rPr>
            </w:pPr>
          </w:p>
        </w:tc>
        <w:tc>
          <w:tcPr>
            <w:tcW w:w="1380" w:type="pct"/>
            <w:tcBorders>
              <w:top w:val="nil"/>
              <w:left w:val="nil"/>
              <w:bottom w:val="single" w:color="auto" w:sz="4" w:space="0"/>
              <w:right w:val="single" w:color="auto" w:sz="4" w:space="0"/>
            </w:tcBorders>
            <w:shd w:val="clear" w:color="000000" w:fill="FFFFFF"/>
            <w:vAlign w:val="center"/>
          </w:tcPr>
          <w:p>
            <w:pPr>
              <w:rPr>
                <w:rFonts w:hint="eastAsia" w:ascii="仿宋" w:hAnsi="仿宋" w:eastAsia="仿宋" w:cs="仿宋"/>
                <w:color w:val="auto"/>
                <w:sz w:val="20"/>
                <w:szCs w:val="20"/>
                <w:highlight w:val="none"/>
              </w:rPr>
            </w:pPr>
          </w:p>
        </w:tc>
        <w:tc>
          <w:tcPr>
            <w:tcW w:w="375"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312"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436"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500"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520"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是</w:t>
            </w:r>
          </w:p>
        </w:tc>
        <w:tc>
          <w:tcPr>
            <w:tcW w:w="51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r>
      <w:tr>
        <w:trPr>
          <w:trHeight w:val="794" w:hRule="atLeast"/>
        </w:trPr>
        <w:tc>
          <w:tcPr>
            <w:tcW w:w="366" w:type="pct"/>
            <w:tcBorders>
              <w:top w:val="nil"/>
              <w:left w:val="single" w:color="auto" w:sz="4" w:space="0"/>
              <w:bottom w:val="single" w:color="auto" w:sz="4" w:space="0"/>
              <w:right w:val="single" w:color="auto" w:sz="4" w:space="0"/>
            </w:tcBorders>
            <w:shd w:val="clear" w:color="000000" w:fill="FFFFFF"/>
            <w:vAlign w:val="center"/>
          </w:tcPr>
          <w:p>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w:t>
            </w:r>
          </w:p>
        </w:tc>
        <w:tc>
          <w:tcPr>
            <w:tcW w:w="590" w:type="pct"/>
            <w:tcBorders>
              <w:top w:val="nil"/>
              <w:left w:val="nil"/>
              <w:bottom w:val="single" w:color="auto" w:sz="4" w:space="0"/>
              <w:right w:val="single" w:color="auto" w:sz="4" w:space="0"/>
            </w:tcBorders>
            <w:shd w:val="clear" w:color="auto" w:fill="auto"/>
            <w:vAlign w:val="center"/>
          </w:tcPr>
          <w:p>
            <w:pPr>
              <w:jc w:val="center"/>
              <w:rPr>
                <w:rFonts w:hint="eastAsia" w:ascii="仿宋" w:hAnsi="仿宋" w:eastAsia="仿宋" w:cs="仿宋"/>
                <w:color w:val="auto"/>
                <w:sz w:val="20"/>
                <w:szCs w:val="20"/>
                <w:highlight w:val="none"/>
              </w:rPr>
            </w:pPr>
          </w:p>
        </w:tc>
        <w:tc>
          <w:tcPr>
            <w:tcW w:w="1380" w:type="pct"/>
            <w:tcBorders>
              <w:top w:val="nil"/>
              <w:left w:val="nil"/>
              <w:bottom w:val="single" w:color="auto" w:sz="4" w:space="0"/>
              <w:right w:val="single" w:color="auto" w:sz="4" w:space="0"/>
            </w:tcBorders>
            <w:shd w:val="clear" w:color="000000" w:fill="FFFFFF"/>
            <w:vAlign w:val="center"/>
          </w:tcPr>
          <w:p>
            <w:pPr>
              <w:rPr>
                <w:rFonts w:hint="eastAsia" w:ascii="仿宋" w:hAnsi="仿宋" w:eastAsia="仿宋" w:cs="仿宋"/>
                <w:color w:val="auto"/>
                <w:sz w:val="20"/>
                <w:szCs w:val="20"/>
                <w:highlight w:val="none"/>
              </w:rPr>
            </w:pPr>
          </w:p>
        </w:tc>
        <w:tc>
          <w:tcPr>
            <w:tcW w:w="375"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312"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436"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500"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520"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是</w:t>
            </w:r>
          </w:p>
        </w:tc>
        <w:tc>
          <w:tcPr>
            <w:tcW w:w="51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794" w:hRule="atLeast"/>
        </w:trPr>
        <w:tc>
          <w:tcPr>
            <w:tcW w:w="366" w:type="pct"/>
            <w:tcBorders>
              <w:top w:val="nil"/>
              <w:left w:val="single" w:color="auto" w:sz="4" w:space="0"/>
              <w:bottom w:val="single" w:color="auto" w:sz="4" w:space="0"/>
              <w:right w:val="single" w:color="auto" w:sz="4" w:space="0"/>
            </w:tcBorders>
            <w:shd w:val="clear" w:color="000000" w:fill="FFFFFF"/>
            <w:vAlign w:val="center"/>
          </w:tcPr>
          <w:p>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w:t>
            </w:r>
          </w:p>
        </w:tc>
        <w:tc>
          <w:tcPr>
            <w:tcW w:w="590" w:type="pct"/>
            <w:tcBorders>
              <w:top w:val="nil"/>
              <w:left w:val="nil"/>
              <w:bottom w:val="single" w:color="auto" w:sz="4" w:space="0"/>
              <w:right w:val="single" w:color="auto" w:sz="4" w:space="0"/>
            </w:tcBorders>
            <w:shd w:val="clear" w:color="auto" w:fill="auto"/>
            <w:vAlign w:val="center"/>
          </w:tcPr>
          <w:p>
            <w:pPr>
              <w:jc w:val="center"/>
              <w:rPr>
                <w:rFonts w:hint="eastAsia" w:ascii="仿宋" w:hAnsi="仿宋" w:eastAsia="仿宋" w:cs="仿宋"/>
                <w:color w:val="auto"/>
                <w:sz w:val="20"/>
                <w:szCs w:val="20"/>
                <w:highlight w:val="none"/>
              </w:rPr>
            </w:pPr>
          </w:p>
        </w:tc>
        <w:tc>
          <w:tcPr>
            <w:tcW w:w="1380" w:type="pct"/>
            <w:tcBorders>
              <w:top w:val="nil"/>
              <w:left w:val="nil"/>
              <w:bottom w:val="single" w:color="auto" w:sz="4" w:space="0"/>
              <w:right w:val="single" w:color="auto" w:sz="4" w:space="0"/>
            </w:tcBorders>
            <w:shd w:val="clear" w:color="000000" w:fill="FFFFFF"/>
            <w:vAlign w:val="center"/>
          </w:tcPr>
          <w:p>
            <w:pPr>
              <w:rPr>
                <w:rFonts w:hint="eastAsia" w:ascii="仿宋" w:hAnsi="仿宋" w:eastAsia="仿宋" w:cs="仿宋"/>
                <w:color w:val="auto"/>
                <w:sz w:val="20"/>
                <w:szCs w:val="20"/>
                <w:highlight w:val="none"/>
              </w:rPr>
            </w:pPr>
          </w:p>
        </w:tc>
        <w:tc>
          <w:tcPr>
            <w:tcW w:w="375"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312"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436"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500" w:type="pct"/>
            <w:tcBorders>
              <w:top w:val="nil"/>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c>
          <w:tcPr>
            <w:tcW w:w="520"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lang w:val="en-US" w:eastAsia="zh-CN"/>
              </w:rPr>
              <w:t>是</w:t>
            </w:r>
          </w:p>
        </w:tc>
        <w:tc>
          <w:tcPr>
            <w:tcW w:w="516"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0"/>
                <w:szCs w:val="20"/>
                <w:highlight w:val="none"/>
              </w:rPr>
            </w:pPr>
          </w:p>
        </w:tc>
      </w:tr>
    </w:tbl>
    <w:p>
      <w:pPr>
        <w:spacing w:line="380" w:lineRule="exact"/>
        <w:ind w:left="147" w:leftChars="67"/>
        <w:rPr>
          <w:rFonts w:hint="eastAsia" w:ascii="仿宋" w:hAnsi="仿宋" w:eastAsia="仿宋" w:cs="仿宋"/>
          <w:color w:val="auto"/>
          <w:sz w:val="24"/>
          <w:szCs w:val="24"/>
          <w:highlight w:val="none"/>
        </w:rPr>
      </w:pPr>
    </w:p>
    <w:p>
      <w:pPr>
        <w:spacing w:line="380" w:lineRule="exact"/>
        <w:ind w:left="147" w:leftChars="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注：1.如果按单价计算的结果与总价不一致,以单价为准修正总价。</w:t>
      </w:r>
    </w:p>
    <w:p>
      <w:pPr>
        <w:spacing w:line="380" w:lineRule="exact"/>
        <w:ind w:left="147" w:leftChars="67"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2.如果不提供详细参数和报价将视为没有实质性响应公开询价文件。</w:t>
      </w:r>
    </w:p>
    <w:p>
      <w:pPr>
        <w:spacing w:after="0" w:line="300" w:lineRule="exact"/>
        <w:ind w:firstLine="480" w:firstLineChars="200"/>
        <w:rPr>
          <w:rFonts w:hint="eastAsia" w:ascii="仿宋" w:hAnsi="仿宋" w:eastAsia="仿宋" w:cs="仿宋"/>
          <w:color w:val="auto"/>
          <w:sz w:val="24"/>
          <w:szCs w:val="24"/>
          <w:highlight w:val="none"/>
          <w:lang w:val="zh-CN"/>
        </w:rPr>
      </w:pPr>
    </w:p>
    <w:p>
      <w:pPr>
        <w:spacing w:line="380" w:lineRule="exact"/>
        <w:rPr>
          <w:rFonts w:hint="eastAsia" w:ascii="仿宋" w:hAnsi="仿宋" w:eastAsia="仿宋" w:cs="仿宋"/>
          <w:color w:val="auto"/>
          <w:sz w:val="24"/>
          <w:szCs w:val="24"/>
          <w:highlight w:val="none"/>
          <w:lang w:val="zh-CN"/>
        </w:rPr>
      </w:pPr>
    </w:p>
    <w:p>
      <w:pPr>
        <w:spacing w:line="360" w:lineRule="auto"/>
        <w:ind w:right="960"/>
        <w:jc w:val="right"/>
        <w:rPr>
          <w:rFonts w:hint="eastAsia" w:ascii="仿宋" w:hAnsi="仿宋" w:eastAsia="仿宋" w:cs="仿宋"/>
          <w:color w:val="auto"/>
          <w:sz w:val="24"/>
          <w:szCs w:val="24"/>
          <w:highlight w:val="none"/>
          <w:lang w:val="zh-CN"/>
        </w:rPr>
      </w:pPr>
    </w:p>
    <w:p>
      <w:pPr>
        <w:spacing w:line="360" w:lineRule="auto"/>
        <w:ind w:right="1440"/>
        <w:jc w:val="righ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参与人授权代表（签字或盖章）：</w:t>
      </w:r>
    </w:p>
    <w:p>
      <w:pPr>
        <w:spacing w:line="360" w:lineRule="auto"/>
        <w:ind w:right="1406"/>
        <w:jc w:val="right"/>
        <w:rPr>
          <w:rFonts w:hint="eastAsia" w:ascii="仿宋" w:hAnsi="仿宋" w:eastAsia="仿宋" w:cs="仿宋"/>
          <w:color w:val="auto"/>
          <w:sz w:val="24"/>
          <w:szCs w:val="24"/>
          <w:highlight w:val="none"/>
          <w:lang w:val="zh-CN"/>
        </w:rPr>
        <w:sectPr>
          <w:headerReference r:id="rId12" w:type="first"/>
          <w:headerReference r:id="rId11" w:type="default"/>
          <w:footerReference r:id="rId13" w:type="default"/>
          <w:type w:val="continuous"/>
          <w:pgSz w:w="11906" w:h="16838"/>
          <w:pgMar w:top="1440" w:right="1416" w:bottom="1440" w:left="1134" w:header="851" w:footer="680" w:gutter="0"/>
          <w:cols w:space="425" w:num="1"/>
          <w:titlePg/>
          <w:docGrid w:type="lines" w:linePitch="312" w:charSpace="0"/>
        </w:sectPr>
      </w:pPr>
      <w:r>
        <w:rPr>
          <w:rFonts w:hint="eastAsia" w:ascii="仿宋" w:hAnsi="仿宋" w:eastAsia="仿宋" w:cs="仿宋"/>
          <w:color w:val="auto"/>
          <w:sz w:val="24"/>
          <w:szCs w:val="24"/>
          <w:highlight w:val="none"/>
          <w:lang w:val="zh-CN"/>
        </w:rPr>
        <w:t>日         期：</w:t>
      </w:r>
      <w:bookmarkStart w:id="114" w:name="_Toc259520874"/>
      <w:bookmarkStart w:id="115" w:name="_Toc267059035"/>
      <w:bookmarkStart w:id="116" w:name="_Toc235438281"/>
      <w:bookmarkStart w:id="117" w:name="_Toc177985474"/>
      <w:bookmarkStart w:id="118" w:name="_Toc180302918"/>
      <w:bookmarkStart w:id="119" w:name="_Toc191802695"/>
      <w:bookmarkStart w:id="120" w:name="_Toc267059658"/>
      <w:bookmarkStart w:id="121" w:name="_Toc192663691"/>
      <w:bookmarkStart w:id="122" w:name="_Toc182372787"/>
      <w:bookmarkStart w:id="123" w:name="_Toc191789334"/>
      <w:bookmarkStart w:id="124" w:name="_Toc266870916"/>
      <w:bookmarkStart w:id="125" w:name="_Toc267060076"/>
      <w:bookmarkStart w:id="126" w:name="_Toc254790909"/>
      <w:bookmarkStart w:id="127" w:name="_Toc213755945"/>
      <w:bookmarkStart w:id="128" w:name="_Toc266868679"/>
      <w:bookmarkStart w:id="129" w:name="_Toc193160453"/>
      <w:bookmarkStart w:id="130" w:name="_Toc267060216"/>
      <w:bookmarkStart w:id="131" w:name="_Toc236021457"/>
      <w:bookmarkStart w:id="132" w:name="_Toc193165739"/>
      <w:bookmarkStart w:id="133" w:name="_Toc160880165"/>
      <w:bookmarkStart w:id="134" w:name="_Toc217891408"/>
      <w:bookmarkStart w:id="135" w:name="_Toc266868943"/>
      <w:bookmarkStart w:id="136" w:name="_Toc266870441"/>
      <w:bookmarkStart w:id="137" w:name="_Toc258401265"/>
      <w:bookmarkStart w:id="138" w:name="_Toc223146614"/>
      <w:bookmarkStart w:id="139" w:name="_Toc267059811"/>
      <w:bookmarkStart w:id="140" w:name="_Toc181436570"/>
      <w:bookmarkStart w:id="141" w:name="_Toc259692749"/>
      <w:bookmarkStart w:id="142" w:name="_Toc192664158"/>
      <w:bookmarkStart w:id="143" w:name="_Toc251613839"/>
      <w:bookmarkStart w:id="144" w:name="_Toc213755864"/>
      <w:bookmarkStart w:id="145" w:name="_Toc230071153"/>
      <w:bookmarkStart w:id="146" w:name="_Toc232302122"/>
      <w:bookmarkStart w:id="147" w:name="_Toc191783227"/>
      <w:bookmarkStart w:id="148" w:name="_Toc169332843"/>
      <w:bookmarkStart w:id="149" w:name="_Toc192663840"/>
      <w:bookmarkStart w:id="150" w:name="_Toc249325720"/>
      <w:bookmarkStart w:id="151" w:name="_Toc213756057"/>
      <w:bookmarkStart w:id="152" w:name="_Toc259692656"/>
      <w:bookmarkStart w:id="153" w:name="_Toc191803631"/>
      <w:bookmarkStart w:id="154" w:name="_Toc160880534"/>
      <w:bookmarkStart w:id="155" w:name="_Toc267060461"/>
      <w:bookmarkStart w:id="156" w:name="_Toc182805222"/>
      <w:bookmarkStart w:id="157" w:name="_Toc267060326"/>
      <w:bookmarkStart w:id="158" w:name="_Toc253066624"/>
      <w:bookmarkStart w:id="159" w:name="_Toc235437998"/>
      <w:bookmarkStart w:id="160" w:name="_Toc267059186"/>
      <w:bookmarkStart w:id="161" w:name="_Toc219800249"/>
      <w:bookmarkStart w:id="162" w:name="_Toc170798798"/>
      <w:bookmarkStart w:id="163" w:name="_Toc192996451"/>
      <w:bookmarkStart w:id="164" w:name="_Toc235438352"/>
      <w:bookmarkStart w:id="165" w:name="_Toc203355738"/>
      <w:bookmarkStart w:id="166" w:name="_Toc251586241"/>
      <w:bookmarkStart w:id="167" w:name="_Toc273178703"/>
      <w:bookmarkStart w:id="168" w:name="_Toc211917121"/>
      <w:bookmarkStart w:id="169" w:name="_Toc255975016"/>
      <w:bookmarkStart w:id="170" w:name="_Toc266870839"/>
      <w:bookmarkStart w:id="171" w:name="_Toc227058536"/>
      <w:bookmarkStart w:id="172" w:name="_Toc192996343"/>
      <w:bookmarkStart w:id="173" w:name="_Toc213756001"/>
      <w:bookmarkStart w:id="174" w:name="_Toc225669328"/>
      <w:bookmarkStart w:id="175" w:name="_Toc267059544"/>
      <w:bookmarkStart w:id="176" w:name="_Toc181436466"/>
      <w:bookmarkStart w:id="177" w:name="_Toc169332954"/>
      <w:bookmarkStart w:id="178" w:name="_Toc213208771"/>
      <w:bookmarkStart w:id="179" w:name="_Toc267059924"/>
    </w:p>
    <w:p>
      <w:pPr>
        <w:jc w:val="center"/>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Pr>
          <w:rFonts w:hint="eastAsia" w:ascii="仿宋" w:hAnsi="仿宋" w:eastAsia="仿宋" w:cs="仿宋"/>
          <w:b/>
          <w:bCs/>
          <w:color w:val="auto"/>
          <w:sz w:val="24"/>
          <w:szCs w:val="24"/>
          <w:highlight w:val="none"/>
        </w:rPr>
        <w:t>参与人资质材料</w:t>
      </w:r>
    </w:p>
    <w:p>
      <w:pPr>
        <w:pStyle w:val="42"/>
        <w:rPr>
          <w:rFonts w:hint="eastAsia" w:ascii="仿宋" w:hAnsi="仿宋" w:eastAsia="仿宋" w:cs="仿宋"/>
          <w:color w:val="auto"/>
          <w:sz w:val="24"/>
          <w:szCs w:val="24"/>
          <w:highlight w:val="none"/>
        </w:rPr>
      </w:pPr>
    </w:p>
    <w:p>
      <w:pPr>
        <w:spacing w:after="0" w:line="5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参与人需要提供以下材料：</w:t>
      </w:r>
    </w:p>
    <w:p>
      <w:pPr>
        <w:pStyle w:val="57"/>
        <w:numPr>
          <w:ilvl w:val="0"/>
          <w:numId w:val="7"/>
        </w:numPr>
        <w:spacing w:after="0" w:line="500" w:lineRule="exact"/>
        <w:ind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营业执照复印件</w:t>
      </w:r>
    </w:p>
    <w:p>
      <w:pPr>
        <w:pStyle w:val="57"/>
        <w:numPr>
          <w:ilvl w:val="0"/>
          <w:numId w:val="7"/>
        </w:numPr>
        <w:spacing w:after="0" w:line="500" w:lineRule="exact"/>
        <w:ind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授权经销商或代理商证明材料复印件</w:t>
      </w:r>
    </w:p>
    <w:p>
      <w:pPr>
        <w:pStyle w:val="57"/>
        <w:numPr>
          <w:ilvl w:val="0"/>
          <w:numId w:val="7"/>
        </w:numPr>
        <w:spacing w:after="0" w:line="500" w:lineRule="exact"/>
        <w:ind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质保期和售后服务承诺书（参与人自行起草）</w:t>
      </w:r>
    </w:p>
    <w:p>
      <w:pPr>
        <w:spacing w:line="380" w:lineRule="exact"/>
        <w:rPr>
          <w:rFonts w:hint="eastAsia" w:ascii="仿宋" w:hAnsi="仿宋" w:eastAsia="仿宋" w:cs="仿宋"/>
          <w:color w:val="auto"/>
          <w:sz w:val="24"/>
          <w:szCs w:val="24"/>
          <w:highlight w:val="none"/>
        </w:rPr>
      </w:pPr>
    </w:p>
    <w:p>
      <w:pPr>
        <w:spacing w:line="38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以上材料复印件须加盖参与人公司公章，并与报价一览表一同密封</w:t>
      </w:r>
    </w:p>
    <w:p>
      <w:pPr>
        <w:spacing w:line="380" w:lineRule="exact"/>
        <w:rPr>
          <w:rFonts w:hint="eastAsia" w:asciiTheme="minorEastAsia" w:hAnsiTheme="minorEastAsia" w:eastAsiaTheme="minorEastAsia" w:cstheme="minorEastAsia"/>
          <w:color w:val="auto"/>
          <w:sz w:val="24"/>
          <w:szCs w:val="24"/>
          <w:highlight w:val="none"/>
        </w:rPr>
      </w:pPr>
    </w:p>
    <w:p>
      <w:pPr>
        <w:spacing w:line="380" w:lineRule="exact"/>
        <w:rPr>
          <w:rFonts w:hint="eastAsia" w:asciiTheme="minorEastAsia" w:hAnsiTheme="minorEastAsia" w:eastAsiaTheme="minorEastAsia" w:cstheme="minorEastAsia"/>
          <w:color w:val="auto"/>
          <w:sz w:val="24"/>
          <w:szCs w:val="24"/>
          <w:highlight w:val="none"/>
        </w:rPr>
      </w:pPr>
    </w:p>
    <w:p>
      <w:pPr>
        <w:spacing w:line="380" w:lineRule="exact"/>
        <w:rPr>
          <w:rFonts w:hint="eastAsia" w:asciiTheme="minorEastAsia" w:hAnsiTheme="minorEastAsia" w:eastAsiaTheme="minorEastAsia" w:cstheme="minorEastAsia"/>
          <w:color w:val="auto"/>
          <w:sz w:val="24"/>
          <w:szCs w:val="24"/>
          <w:highlight w:val="none"/>
        </w:rPr>
      </w:pPr>
    </w:p>
    <w:sectPr>
      <w:pgSz w:w="11906" w:h="16838"/>
      <w:pgMar w:top="1440" w:right="1416" w:bottom="1440" w:left="1134"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w:t>
                          </w:r>
                          <w:r>
                            <w:fldChar w:fldCharType="end"/>
                          </w:r>
                          <w:r>
                            <w:t xml:space="preserve"> / </w:t>
                          </w:r>
                          <w:r>
                            <w:fldChar w:fldCharType="begin"/>
                          </w:r>
                          <w:r>
                            <w:instrText xml:space="preserve"> NUMPAGES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w:t>
                    </w:r>
                    <w:r>
                      <w:fldChar w:fldCharType="end"/>
                    </w:r>
                    <w:r>
                      <w:t xml:space="preserve"> / </w:t>
                    </w:r>
                    <w:r>
                      <w:fldChar w:fldCharType="begin"/>
                    </w:r>
                    <w:r>
                      <w:instrText xml:space="preserve"> NUMPAGES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w:t>
                          </w:r>
                          <w:r>
                            <w:fldChar w:fldCharType="end"/>
                          </w:r>
                          <w:r>
                            <w:t xml:space="preserve"> / </w:t>
                          </w:r>
                          <w:r>
                            <w:fldChar w:fldCharType="begin"/>
                          </w:r>
                          <w:r>
                            <w:instrText xml:space="preserve"> NUMPAGES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w:t>
                    </w:r>
                    <w:r>
                      <w:fldChar w:fldCharType="end"/>
                    </w:r>
                    <w:r>
                      <w:t xml:space="preserve"> / </w:t>
                    </w:r>
                    <w:r>
                      <w:fldChar w:fldCharType="begin"/>
                    </w:r>
                    <w:r>
                      <w:instrText xml:space="preserve"> NUMPAGES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9</w:t>
                          </w:r>
                          <w:r>
                            <w:fldChar w:fldCharType="end"/>
                          </w:r>
                          <w:r>
                            <w:t xml:space="preserve"> / </w:t>
                          </w:r>
                          <w:r>
                            <w:fldChar w:fldCharType="begin"/>
                          </w:r>
                          <w:r>
                            <w:instrText xml:space="preserve"> NUMPAGES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9</w:t>
                    </w:r>
                    <w:r>
                      <w:fldChar w:fldCharType="end"/>
                    </w:r>
                    <w:r>
                      <w:t xml:space="preserve"> / </w:t>
                    </w:r>
                    <w:r>
                      <w:fldChar w:fldCharType="begin"/>
                    </w:r>
                    <w:r>
                      <w:instrText xml:space="preserve"> NUMPAGES  \* MERGEFORMAT </w:instrText>
                    </w:r>
                    <w:r>
                      <w:fldChar w:fldCharType="separate"/>
                    </w:r>
                    <w:r>
                      <w:t>10</w:t>
                    </w:r>
                    <w:r>
                      <w:fldChar w:fldCharType="end"/>
                    </w:r>
                  </w:p>
                </w:txbxContent>
              </v:textbox>
            </v:shape>
          </w:pict>
        </mc:Fallback>
      </mc:AlternateContent>
    </w:r>
  </w:p>
  <w:sdt>
    <w:sdtPr>
      <w:id w:val="-467357217"/>
    </w:sdtPr>
    <w:sdtContent>
      <w:sdt>
        <w:sdtPr>
          <w:id w:val="455225834"/>
        </w:sdtPr>
        <w:sdtContent>
          <w:p>
            <w:pPr>
              <w:pStyle w:val="17"/>
              <w:jc w:val="center"/>
              <w:rPr>
                <w:b/>
                <w:bCs/>
                <w:sz w:val="24"/>
                <w:szCs w:val="24"/>
              </w:rPr>
            </w:pPr>
          </w:p>
          <w:p>
            <w:pPr>
              <w:pStyle w:val="17"/>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476F1"/>
    <w:multiLevelType w:val="multilevel"/>
    <w:tmpl w:val="047476F1"/>
    <w:lvl w:ilvl="0" w:tentative="0">
      <w:start w:val="1"/>
      <w:numFmt w:val="decimal"/>
      <w:lvlText w:val="（%1）"/>
      <w:lvlJc w:val="left"/>
      <w:pPr>
        <w:ind w:left="1428" w:hanging="720"/>
      </w:pPr>
      <w:rPr>
        <w:rFonts w:hint="default"/>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1">
    <w:nsid w:val="23F05992"/>
    <w:multiLevelType w:val="multilevel"/>
    <w:tmpl w:val="23F05992"/>
    <w:lvl w:ilvl="0" w:tentative="0">
      <w:start w:val="1"/>
      <w:numFmt w:val="decimal"/>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9C41BB1"/>
    <w:multiLevelType w:val="multilevel"/>
    <w:tmpl w:val="49C41BB1"/>
    <w:lvl w:ilvl="0" w:tentative="0">
      <w:start w:val="1"/>
      <w:numFmt w:val="decimal"/>
      <w:lvlText w:val="%1."/>
      <w:lvlJc w:val="left"/>
      <w:pPr>
        <w:ind w:left="785" w:hanging="420"/>
      </w:pPr>
    </w:lvl>
    <w:lvl w:ilvl="1" w:tentative="0">
      <w:start w:val="1"/>
      <w:numFmt w:val="lowerLetter"/>
      <w:lvlText w:val="%2)"/>
      <w:lvlJc w:val="left"/>
      <w:pPr>
        <w:ind w:left="1205" w:hanging="420"/>
      </w:pPr>
    </w:lvl>
    <w:lvl w:ilvl="2" w:tentative="0">
      <w:start w:val="1"/>
      <w:numFmt w:val="lowerRoman"/>
      <w:lvlText w:val="%3."/>
      <w:lvlJc w:val="right"/>
      <w:pPr>
        <w:ind w:left="1625" w:hanging="420"/>
      </w:pPr>
    </w:lvl>
    <w:lvl w:ilvl="3" w:tentative="0">
      <w:start w:val="1"/>
      <w:numFmt w:val="decimal"/>
      <w:lvlText w:val="%4."/>
      <w:lvlJc w:val="left"/>
      <w:pPr>
        <w:ind w:left="2045" w:hanging="420"/>
      </w:pPr>
    </w:lvl>
    <w:lvl w:ilvl="4" w:tentative="0">
      <w:start w:val="1"/>
      <w:numFmt w:val="lowerLetter"/>
      <w:lvlText w:val="%5)"/>
      <w:lvlJc w:val="left"/>
      <w:pPr>
        <w:ind w:left="2465" w:hanging="420"/>
      </w:pPr>
    </w:lvl>
    <w:lvl w:ilvl="5" w:tentative="0">
      <w:start w:val="1"/>
      <w:numFmt w:val="lowerRoman"/>
      <w:lvlText w:val="%6."/>
      <w:lvlJc w:val="right"/>
      <w:pPr>
        <w:ind w:left="2885" w:hanging="420"/>
      </w:pPr>
    </w:lvl>
    <w:lvl w:ilvl="6" w:tentative="0">
      <w:start w:val="1"/>
      <w:numFmt w:val="decimal"/>
      <w:lvlText w:val="%7."/>
      <w:lvlJc w:val="left"/>
      <w:pPr>
        <w:ind w:left="3305" w:hanging="420"/>
      </w:pPr>
    </w:lvl>
    <w:lvl w:ilvl="7" w:tentative="0">
      <w:start w:val="1"/>
      <w:numFmt w:val="lowerLetter"/>
      <w:lvlText w:val="%8)"/>
      <w:lvlJc w:val="left"/>
      <w:pPr>
        <w:ind w:left="3725" w:hanging="420"/>
      </w:pPr>
    </w:lvl>
    <w:lvl w:ilvl="8" w:tentative="0">
      <w:start w:val="1"/>
      <w:numFmt w:val="lowerRoman"/>
      <w:lvlText w:val="%9."/>
      <w:lvlJc w:val="right"/>
      <w:pPr>
        <w:ind w:left="4145" w:hanging="420"/>
      </w:pPr>
    </w:lvl>
  </w:abstractNum>
  <w:abstractNum w:abstractNumId="3">
    <w:nsid w:val="5CCE0CAE"/>
    <w:multiLevelType w:val="multilevel"/>
    <w:tmpl w:val="5CCE0CAE"/>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F4057F3"/>
    <w:multiLevelType w:val="multilevel"/>
    <w:tmpl w:val="5F4057F3"/>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687F21A7"/>
    <w:multiLevelType w:val="multilevel"/>
    <w:tmpl w:val="687F21A7"/>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6">
    <w:nsid w:val="77595E0A"/>
    <w:multiLevelType w:val="multilevel"/>
    <w:tmpl w:val="77595E0A"/>
    <w:lvl w:ilvl="0" w:tentative="0">
      <w:start w:val="1"/>
      <w:numFmt w:val="decimal"/>
      <w:lvlText w:val="%1)"/>
      <w:lvlJc w:val="left"/>
      <w:pPr>
        <w:ind w:left="420" w:hanging="420"/>
      </w:pPr>
      <w:rPr>
        <w:rFonts w:hint="default"/>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4"/>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kYThjY2Q1OTQ4YzcxZjk3NzRlNTA2MDIzY2UyMGEifQ=="/>
  </w:docVars>
  <w:rsids>
    <w:rsidRoot w:val="007B0F09"/>
    <w:rsid w:val="0000490C"/>
    <w:rsid w:val="000569E1"/>
    <w:rsid w:val="00074B20"/>
    <w:rsid w:val="00082572"/>
    <w:rsid w:val="000934D4"/>
    <w:rsid w:val="000C3E2B"/>
    <w:rsid w:val="000F19E8"/>
    <w:rsid w:val="000F4F45"/>
    <w:rsid w:val="001037BF"/>
    <w:rsid w:val="0013118F"/>
    <w:rsid w:val="001561E9"/>
    <w:rsid w:val="00176CD4"/>
    <w:rsid w:val="001772BC"/>
    <w:rsid w:val="00182C6E"/>
    <w:rsid w:val="001A4D79"/>
    <w:rsid w:val="001A5B43"/>
    <w:rsid w:val="001B719E"/>
    <w:rsid w:val="001C6943"/>
    <w:rsid w:val="00235C32"/>
    <w:rsid w:val="00244E90"/>
    <w:rsid w:val="002657F7"/>
    <w:rsid w:val="002772BB"/>
    <w:rsid w:val="002A0474"/>
    <w:rsid w:val="002A633A"/>
    <w:rsid w:val="002C2C3D"/>
    <w:rsid w:val="002C4297"/>
    <w:rsid w:val="00320C30"/>
    <w:rsid w:val="00334E6F"/>
    <w:rsid w:val="003570A0"/>
    <w:rsid w:val="003C60EF"/>
    <w:rsid w:val="003E6439"/>
    <w:rsid w:val="003F20A6"/>
    <w:rsid w:val="00404FA2"/>
    <w:rsid w:val="004242F4"/>
    <w:rsid w:val="0043243C"/>
    <w:rsid w:val="00441955"/>
    <w:rsid w:val="00447890"/>
    <w:rsid w:val="004B66B1"/>
    <w:rsid w:val="004F6AE0"/>
    <w:rsid w:val="00502F52"/>
    <w:rsid w:val="00582530"/>
    <w:rsid w:val="00590957"/>
    <w:rsid w:val="005914DC"/>
    <w:rsid w:val="005A5A4D"/>
    <w:rsid w:val="005F125A"/>
    <w:rsid w:val="005F1FC8"/>
    <w:rsid w:val="00630374"/>
    <w:rsid w:val="0069669C"/>
    <w:rsid w:val="006D2FCE"/>
    <w:rsid w:val="006F3C71"/>
    <w:rsid w:val="006F5FBA"/>
    <w:rsid w:val="00754818"/>
    <w:rsid w:val="007B0F09"/>
    <w:rsid w:val="007B2319"/>
    <w:rsid w:val="00820908"/>
    <w:rsid w:val="00820F76"/>
    <w:rsid w:val="00865B30"/>
    <w:rsid w:val="00873F3A"/>
    <w:rsid w:val="00874219"/>
    <w:rsid w:val="0087518C"/>
    <w:rsid w:val="008902DC"/>
    <w:rsid w:val="009123D7"/>
    <w:rsid w:val="00916532"/>
    <w:rsid w:val="00923C7E"/>
    <w:rsid w:val="00936704"/>
    <w:rsid w:val="0094170D"/>
    <w:rsid w:val="009606BC"/>
    <w:rsid w:val="00967E57"/>
    <w:rsid w:val="00994E59"/>
    <w:rsid w:val="009B7DAD"/>
    <w:rsid w:val="00A148CE"/>
    <w:rsid w:val="00A24465"/>
    <w:rsid w:val="00A40610"/>
    <w:rsid w:val="00A4220E"/>
    <w:rsid w:val="00A44A63"/>
    <w:rsid w:val="00A45704"/>
    <w:rsid w:val="00A64A5B"/>
    <w:rsid w:val="00AD29A3"/>
    <w:rsid w:val="00AF3C2A"/>
    <w:rsid w:val="00B14C37"/>
    <w:rsid w:val="00B51EE9"/>
    <w:rsid w:val="00B54440"/>
    <w:rsid w:val="00B554E7"/>
    <w:rsid w:val="00B556FC"/>
    <w:rsid w:val="00B7278F"/>
    <w:rsid w:val="00B83714"/>
    <w:rsid w:val="00BD49FB"/>
    <w:rsid w:val="00BD51D2"/>
    <w:rsid w:val="00BD7232"/>
    <w:rsid w:val="00BE1921"/>
    <w:rsid w:val="00BF6521"/>
    <w:rsid w:val="00C035B5"/>
    <w:rsid w:val="00C66E1E"/>
    <w:rsid w:val="00C676BA"/>
    <w:rsid w:val="00C81AB4"/>
    <w:rsid w:val="00C857BF"/>
    <w:rsid w:val="00CA25CB"/>
    <w:rsid w:val="00CA6CB6"/>
    <w:rsid w:val="00CA786D"/>
    <w:rsid w:val="00D2102C"/>
    <w:rsid w:val="00D260D0"/>
    <w:rsid w:val="00D36D52"/>
    <w:rsid w:val="00D56DEA"/>
    <w:rsid w:val="00D60F0E"/>
    <w:rsid w:val="00E11567"/>
    <w:rsid w:val="00E3310A"/>
    <w:rsid w:val="00E33B9E"/>
    <w:rsid w:val="00E33C1C"/>
    <w:rsid w:val="00E34C27"/>
    <w:rsid w:val="00E47041"/>
    <w:rsid w:val="00E77225"/>
    <w:rsid w:val="00E95973"/>
    <w:rsid w:val="00ED2437"/>
    <w:rsid w:val="00EE3803"/>
    <w:rsid w:val="00F0149B"/>
    <w:rsid w:val="00F21640"/>
    <w:rsid w:val="00F8646A"/>
    <w:rsid w:val="00F876DE"/>
    <w:rsid w:val="00FF1750"/>
    <w:rsid w:val="00FF655F"/>
    <w:rsid w:val="013712F7"/>
    <w:rsid w:val="02315D47"/>
    <w:rsid w:val="03932BA4"/>
    <w:rsid w:val="044F0706"/>
    <w:rsid w:val="05393890"/>
    <w:rsid w:val="05E45D36"/>
    <w:rsid w:val="066372BB"/>
    <w:rsid w:val="086F1AAE"/>
    <w:rsid w:val="0AAC68B2"/>
    <w:rsid w:val="0AF073D4"/>
    <w:rsid w:val="0B8B296C"/>
    <w:rsid w:val="102D27B0"/>
    <w:rsid w:val="116E041E"/>
    <w:rsid w:val="18CD0120"/>
    <w:rsid w:val="19297FBA"/>
    <w:rsid w:val="19A46C57"/>
    <w:rsid w:val="1C6E5776"/>
    <w:rsid w:val="1DA04B4C"/>
    <w:rsid w:val="1F5D5326"/>
    <w:rsid w:val="230B3FDF"/>
    <w:rsid w:val="26BB5A5B"/>
    <w:rsid w:val="272F01F7"/>
    <w:rsid w:val="287C56BE"/>
    <w:rsid w:val="28F60FCD"/>
    <w:rsid w:val="2ADB521A"/>
    <w:rsid w:val="2BAC1E16"/>
    <w:rsid w:val="2C0C6D59"/>
    <w:rsid w:val="2F5729E1"/>
    <w:rsid w:val="300A23C7"/>
    <w:rsid w:val="306A22A0"/>
    <w:rsid w:val="31244B21"/>
    <w:rsid w:val="3370753D"/>
    <w:rsid w:val="33F26834"/>
    <w:rsid w:val="33FE521E"/>
    <w:rsid w:val="34821B3A"/>
    <w:rsid w:val="34D10B40"/>
    <w:rsid w:val="34EC7728"/>
    <w:rsid w:val="3592207D"/>
    <w:rsid w:val="37773C20"/>
    <w:rsid w:val="388506F2"/>
    <w:rsid w:val="39981C2C"/>
    <w:rsid w:val="399C796E"/>
    <w:rsid w:val="3A0D261A"/>
    <w:rsid w:val="3A954813"/>
    <w:rsid w:val="3BAB0B58"/>
    <w:rsid w:val="41AE6491"/>
    <w:rsid w:val="428C3E6B"/>
    <w:rsid w:val="43BB4E95"/>
    <w:rsid w:val="44BD4C3D"/>
    <w:rsid w:val="44F26A18"/>
    <w:rsid w:val="45915638"/>
    <w:rsid w:val="46004DE1"/>
    <w:rsid w:val="463B6046"/>
    <w:rsid w:val="46BA58D8"/>
    <w:rsid w:val="483E6094"/>
    <w:rsid w:val="48CB74BB"/>
    <w:rsid w:val="490B241B"/>
    <w:rsid w:val="4AAC19DB"/>
    <w:rsid w:val="4B514ACA"/>
    <w:rsid w:val="4C195BCC"/>
    <w:rsid w:val="4D3C7046"/>
    <w:rsid w:val="4F7D3946"/>
    <w:rsid w:val="50B60EBE"/>
    <w:rsid w:val="519D3E2C"/>
    <w:rsid w:val="528B0128"/>
    <w:rsid w:val="53153B52"/>
    <w:rsid w:val="55886BA1"/>
    <w:rsid w:val="55C71477"/>
    <w:rsid w:val="56797BD2"/>
    <w:rsid w:val="57CA34A1"/>
    <w:rsid w:val="57D63BF4"/>
    <w:rsid w:val="596C00CC"/>
    <w:rsid w:val="5BCE4944"/>
    <w:rsid w:val="5C277DD3"/>
    <w:rsid w:val="5DC56BE4"/>
    <w:rsid w:val="5EE44E48"/>
    <w:rsid w:val="5FD344A4"/>
    <w:rsid w:val="6066304F"/>
    <w:rsid w:val="61D218D0"/>
    <w:rsid w:val="64083A26"/>
    <w:rsid w:val="657C5397"/>
    <w:rsid w:val="66320B8F"/>
    <w:rsid w:val="663A5C95"/>
    <w:rsid w:val="66C712B9"/>
    <w:rsid w:val="676B07FC"/>
    <w:rsid w:val="68520577"/>
    <w:rsid w:val="68B27D65"/>
    <w:rsid w:val="68BF752F"/>
    <w:rsid w:val="6A7377F0"/>
    <w:rsid w:val="6B122D3D"/>
    <w:rsid w:val="6BFF1E30"/>
    <w:rsid w:val="6C523D39"/>
    <w:rsid w:val="6F045092"/>
    <w:rsid w:val="7024552D"/>
    <w:rsid w:val="70A266F9"/>
    <w:rsid w:val="71433F3F"/>
    <w:rsid w:val="725974A3"/>
    <w:rsid w:val="72850D4A"/>
    <w:rsid w:val="731A4E85"/>
    <w:rsid w:val="736C7D65"/>
    <w:rsid w:val="74A81CE6"/>
    <w:rsid w:val="75D42264"/>
    <w:rsid w:val="768F403A"/>
    <w:rsid w:val="77420E4E"/>
    <w:rsid w:val="778D20C9"/>
    <w:rsid w:val="78B47B29"/>
    <w:rsid w:val="7A154F00"/>
    <w:rsid w:val="7A293BFF"/>
    <w:rsid w:val="7A562609"/>
    <w:rsid w:val="7ACB02FA"/>
    <w:rsid w:val="7B4C4049"/>
    <w:rsid w:val="7C0E7550"/>
    <w:rsid w:val="7C960D6E"/>
    <w:rsid w:val="7F600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8"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3">
    <w:name w:val="heading 1"/>
    <w:basedOn w:val="1"/>
    <w:next w:val="1"/>
    <w:link w:val="31"/>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2">
    <w:name w:val="heading 2"/>
    <w:basedOn w:val="1"/>
    <w:next w:val="1"/>
    <w:link w:val="32"/>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3"/>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4"/>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5"/>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6"/>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7"/>
    <w:semiHidden/>
    <w:unhideWhenUsed/>
    <w:qFormat/>
    <w:uiPriority w:val="9"/>
    <w:pPr>
      <w:keepNext/>
      <w:keepLines/>
      <w:spacing w:before="120" w:after="0"/>
      <w:outlineLvl w:val="6"/>
    </w:pPr>
    <w:rPr>
      <w:i/>
      <w:iCs/>
    </w:rPr>
  </w:style>
  <w:style w:type="paragraph" w:styleId="9">
    <w:name w:val="heading 8"/>
    <w:basedOn w:val="1"/>
    <w:next w:val="1"/>
    <w:link w:val="38"/>
    <w:semiHidden/>
    <w:unhideWhenUsed/>
    <w:qFormat/>
    <w:uiPriority w:val="9"/>
    <w:pPr>
      <w:keepNext/>
      <w:keepLines/>
      <w:spacing w:before="120" w:after="0"/>
      <w:outlineLvl w:val="7"/>
    </w:pPr>
    <w:rPr>
      <w:b/>
      <w:bCs/>
    </w:rPr>
  </w:style>
  <w:style w:type="paragraph" w:styleId="10">
    <w:name w:val="heading 9"/>
    <w:basedOn w:val="1"/>
    <w:next w:val="1"/>
    <w:link w:val="39"/>
    <w:semiHidden/>
    <w:unhideWhenUsed/>
    <w:qFormat/>
    <w:uiPriority w:val="9"/>
    <w:pPr>
      <w:keepNext/>
      <w:keepLines/>
      <w:spacing w:before="120" w:after="0"/>
      <w:outlineLvl w:val="8"/>
    </w:pPr>
    <w:rPr>
      <w:i/>
      <w:iC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semiHidden/>
    <w:unhideWhenUsed/>
    <w:qFormat/>
    <w:uiPriority w:val="35"/>
    <w:rPr>
      <w:b/>
      <w:bCs/>
      <w:sz w:val="18"/>
      <w:szCs w:val="18"/>
    </w:rPr>
  </w:style>
  <w:style w:type="paragraph" w:styleId="13">
    <w:name w:val="Body Text"/>
    <w:basedOn w:val="1"/>
    <w:link w:val="61"/>
    <w:semiHidden/>
    <w:unhideWhenUsed/>
    <w:qFormat/>
    <w:uiPriority w:val="99"/>
    <w:pPr>
      <w:spacing w:after="120"/>
    </w:p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60"/>
    <w:unhideWhenUsed/>
    <w:qFormat/>
    <w:uiPriority w:val="0"/>
    <w:rPr>
      <w:rFonts w:hAnsi="Courier New" w:cs="Courier New" w:asciiTheme="minorEastAsia"/>
    </w:rPr>
  </w:style>
  <w:style w:type="paragraph" w:styleId="16">
    <w:name w:val="Balloon Text"/>
    <w:basedOn w:val="1"/>
    <w:link w:val="63"/>
    <w:semiHidden/>
    <w:unhideWhenUsed/>
    <w:qFormat/>
    <w:uiPriority w:val="99"/>
    <w:pPr>
      <w:spacing w:after="0" w:line="240" w:lineRule="auto"/>
    </w:pPr>
    <w:rPr>
      <w:sz w:val="18"/>
      <w:szCs w:val="18"/>
    </w:rPr>
  </w:style>
  <w:style w:type="paragraph" w:styleId="17">
    <w:name w:val="footer"/>
    <w:basedOn w:val="1"/>
    <w:link w:val="56"/>
    <w:unhideWhenUsed/>
    <w:qFormat/>
    <w:uiPriority w:val="99"/>
    <w:pPr>
      <w:tabs>
        <w:tab w:val="center" w:pos="4153"/>
        <w:tab w:val="right" w:pos="8306"/>
      </w:tabs>
      <w:snapToGrid w:val="0"/>
      <w:spacing w:line="240" w:lineRule="auto"/>
      <w:jc w:val="left"/>
    </w:pPr>
    <w:rPr>
      <w:sz w:val="18"/>
      <w:szCs w:val="18"/>
    </w:rPr>
  </w:style>
  <w:style w:type="paragraph" w:styleId="18">
    <w:name w:val="header"/>
    <w:basedOn w:val="1"/>
    <w:link w:val="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unhideWhenUsed/>
    <w:qFormat/>
    <w:uiPriority w:val="39"/>
    <w:pPr>
      <w:spacing w:after="100" w:line="259" w:lineRule="auto"/>
      <w:jc w:val="left"/>
    </w:pPr>
    <w:rPr>
      <w:rFonts w:cs="Times New Roman"/>
    </w:rPr>
  </w:style>
  <w:style w:type="paragraph" w:styleId="20">
    <w:name w:val="Subtitle"/>
    <w:basedOn w:val="1"/>
    <w:next w:val="1"/>
    <w:link w:val="41"/>
    <w:qFormat/>
    <w:uiPriority w:val="11"/>
    <w:pPr>
      <w:spacing w:after="240"/>
      <w:jc w:val="center"/>
    </w:pPr>
    <w:rPr>
      <w:rFonts w:asciiTheme="majorHAnsi" w:hAnsiTheme="majorHAnsi" w:eastAsiaTheme="majorEastAsia" w:cstheme="majorBidi"/>
      <w:sz w:val="24"/>
      <w:szCs w:val="24"/>
    </w:rPr>
  </w:style>
  <w:style w:type="paragraph" w:styleId="21">
    <w:name w:val="Body Text Indent 3"/>
    <w:basedOn w:val="1"/>
    <w:link w:val="58"/>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2">
    <w:name w:val="toc 2"/>
    <w:basedOn w:val="1"/>
    <w:next w:val="1"/>
    <w:unhideWhenUsed/>
    <w:qFormat/>
    <w:uiPriority w:val="39"/>
    <w:pPr>
      <w:spacing w:after="100" w:line="259" w:lineRule="auto"/>
      <w:ind w:left="220"/>
      <w:jc w:val="left"/>
    </w:pPr>
    <w:rPr>
      <w:rFonts w:cs="Times New Roman"/>
    </w:r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rPr>
  </w:style>
  <w:style w:type="paragraph" w:styleId="24">
    <w:name w:val="Title"/>
    <w:basedOn w:val="1"/>
    <w:next w:val="1"/>
    <w:link w:val="40"/>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table" w:styleId="26">
    <w:name w:val="Table Grid"/>
    <w:qFormat/>
    <w:uiPriority w:val="38"/>
    <w:pPr>
      <w:widowControl/>
      <w:wordWrap/>
      <w:autoSpaceDE/>
      <w:autoSpaceDN/>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color w:val="auto"/>
    </w:rPr>
  </w:style>
  <w:style w:type="character" w:styleId="29">
    <w:name w:val="Emphasis"/>
    <w:basedOn w:val="27"/>
    <w:qFormat/>
    <w:uiPriority w:val="20"/>
    <w:rPr>
      <w:i/>
      <w:iCs/>
      <w:color w:val="auto"/>
    </w:rPr>
  </w:style>
  <w:style w:type="character" w:styleId="30">
    <w:name w:val="Hyperlink"/>
    <w:basedOn w:val="27"/>
    <w:unhideWhenUsed/>
    <w:qFormat/>
    <w:uiPriority w:val="99"/>
    <w:rPr>
      <w:color w:val="F49100" w:themeColor="hyperlink"/>
      <w:u w:val="single"/>
      <w14:textFill>
        <w14:solidFill>
          <w14:schemeClr w14:val="hlink"/>
        </w14:solidFill>
      </w14:textFill>
    </w:rPr>
  </w:style>
  <w:style w:type="character" w:customStyle="1" w:styleId="31">
    <w:name w:val="标题 1 Char"/>
    <w:basedOn w:val="27"/>
    <w:link w:val="3"/>
    <w:qFormat/>
    <w:uiPriority w:val="9"/>
    <w:rPr>
      <w:rFonts w:asciiTheme="majorHAnsi" w:hAnsiTheme="majorHAnsi" w:eastAsiaTheme="majorEastAsia" w:cstheme="majorBidi"/>
      <w:b/>
      <w:bCs/>
      <w:caps/>
      <w:spacing w:val="4"/>
      <w:sz w:val="28"/>
      <w:szCs w:val="28"/>
    </w:rPr>
  </w:style>
  <w:style w:type="character" w:customStyle="1" w:styleId="32">
    <w:name w:val="标题 2 Char"/>
    <w:basedOn w:val="27"/>
    <w:link w:val="2"/>
    <w:semiHidden/>
    <w:qFormat/>
    <w:uiPriority w:val="9"/>
    <w:rPr>
      <w:rFonts w:asciiTheme="majorHAnsi" w:hAnsiTheme="majorHAnsi" w:eastAsiaTheme="majorEastAsia" w:cstheme="majorBidi"/>
      <w:b/>
      <w:bCs/>
      <w:sz w:val="28"/>
      <w:szCs w:val="28"/>
    </w:rPr>
  </w:style>
  <w:style w:type="character" w:customStyle="1" w:styleId="33">
    <w:name w:val="标题 3 Char"/>
    <w:basedOn w:val="27"/>
    <w:link w:val="4"/>
    <w:semiHidden/>
    <w:qFormat/>
    <w:uiPriority w:val="9"/>
    <w:rPr>
      <w:rFonts w:asciiTheme="majorHAnsi" w:hAnsiTheme="majorHAnsi" w:eastAsiaTheme="majorEastAsia" w:cstheme="majorBidi"/>
      <w:spacing w:val="4"/>
      <w:sz w:val="24"/>
      <w:szCs w:val="24"/>
    </w:rPr>
  </w:style>
  <w:style w:type="character" w:customStyle="1" w:styleId="34">
    <w:name w:val="标题 4 Char"/>
    <w:basedOn w:val="27"/>
    <w:link w:val="5"/>
    <w:semiHidden/>
    <w:qFormat/>
    <w:uiPriority w:val="9"/>
    <w:rPr>
      <w:rFonts w:asciiTheme="majorHAnsi" w:hAnsiTheme="majorHAnsi" w:eastAsiaTheme="majorEastAsia" w:cstheme="majorBidi"/>
      <w:i/>
      <w:iCs/>
      <w:sz w:val="24"/>
      <w:szCs w:val="24"/>
    </w:rPr>
  </w:style>
  <w:style w:type="character" w:customStyle="1" w:styleId="35">
    <w:name w:val="标题 5 Char"/>
    <w:basedOn w:val="27"/>
    <w:link w:val="6"/>
    <w:semiHidden/>
    <w:qFormat/>
    <w:uiPriority w:val="9"/>
    <w:rPr>
      <w:rFonts w:asciiTheme="majorHAnsi" w:hAnsiTheme="majorHAnsi" w:eastAsiaTheme="majorEastAsia" w:cstheme="majorBidi"/>
      <w:b/>
      <w:bCs/>
    </w:rPr>
  </w:style>
  <w:style w:type="character" w:customStyle="1" w:styleId="36">
    <w:name w:val="标题 6 Char"/>
    <w:basedOn w:val="27"/>
    <w:link w:val="7"/>
    <w:semiHidden/>
    <w:qFormat/>
    <w:uiPriority w:val="9"/>
    <w:rPr>
      <w:rFonts w:asciiTheme="majorHAnsi" w:hAnsiTheme="majorHAnsi" w:eastAsiaTheme="majorEastAsia" w:cstheme="majorBidi"/>
      <w:b/>
      <w:bCs/>
      <w:i/>
      <w:iCs/>
    </w:rPr>
  </w:style>
  <w:style w:type="character" w:customStyle="1" w:styleId="37">
    <w:name w:val="标题 7 Char"/>
    <w:basedOn w:val="27"/>
    <w:link w:val="8"/>
    <w:semiHidden/>
    <w:qFormat/>
    <w:uiPriority w:val="9"/>
    <w:rPr>
      <w:i/>
      <w:iCs/>
    </w:rPr>
  </w:style>
  <w:style w:type="character" w:customStyle="1" w:styleId="38">
    <w:name w:val="标题 8 Char"/>
    <w:basedOn w:val="27"/>
    <w:link w:val="9"/>
    <w:semiHidden/>
    <w:qFormat/>
    <w:uiPriority w:val="9"/>
    <w:rPr>
      <w:b/>
      <w:bCs/>
    </w:rPr>
  </w:style>
  <w:style w:type="character" w:customStyle="1" w:styleId="39">
    <w:name w:val="标题 9 Char"/>
    <w:basedOn w:val="27"/>
    <w:link w:val="10"/>
    <w:semiHidden/>
    <w:qFormat/>
    <w:uiPriority w:val="9"/>
    <w:rPr>
      <w:i/>
      <w:iCs/>
    </w:rPr>
  </w:style>
  <w:style w:type="character" w:customStyle="1" w:styleId="40">
    <w:name w:val="标题 Char"/>
    <w:basedOn w:val="27"/>
    <w:link w:val="24"/>
    <w:qFormat/>
    <w:uiPriority w:val="10"/>
    <w:rPr>
      <w:rFonts w:asciiTheme="majorHAnsi" w:hAnsiTheme="majorHAnsi" w:eastAsiaTheme="majorEastAsia" w:cstheme="majorBidi"/>
      <w:b/>
      <w:bCs/>
      <w:spacing w:val="-7"/>
      <w:sz w:val="48"/>
      <w:szCs w:val="48"/>
    </w:rPr>
  </w:style>
  <w:style w:type="character" w:customStyle="1" w:styleId="41">
    <w:name w:val="副标题 Char"/>
    <w:basedOn w:val="27"/>
    <w:link w:val="20"/>
    <w:qFormat/>
    <w:uiPriority w:val="11"/>
    <w:rPr>
      <w:rFonts w:asciiTheme="majorHAnsi" w:hAnsiTheme="majorHAnsi" w:eastAsiaTheme="majorEastAsia" w:cstheme="majorBidi"/>
      <w:sz w:val="24"/>
      <w:szCs w:val="24"/>
    </w:rPr>
  </w:style>
  <w:style w:type="paragraph" w:styleId="42">
    <w:name w:val="No Spacing"/>
    <w:link w:val="53"/>
    <w:qFormat/>
    <w:uiPriority w:val="1"/>
    <w:pPr>
      <w:jc w:val="both"/>
    </w:pPr>
    <w:rPr>
      <w:rFonts w:asciiTheme="minorHAnsi" w:hAnsiTheme="minorHAnsi" w:eastAsiaTheme="minorEastAsia" w:cstheme="minorBidi"/>
      <w:sz w:val="22"/>
      <w:szCs w:val="22"/>
      <w:lang w:val="en-US" w:eastAsia="zh-CN" w:bidi="ar-SA"/>
    </w:rPr>
  </w:style>
  <w:style w:type="paragraph" w:styleId="43">
    <w:name w:val="Quote"/>
    <w:basedOn w:val="1"/>
    <w:next w:val="1"/>
    <w:link w:val="44"/>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4">
    <w:name w:val="引用 Char"/>
    <w:basedOn w:val="27"/>
    <w:link w:val="43"/>
    <w:qFormat/>
    <w:uiPriority w:val="29"/>
    <w:rPr>
      <w:rFonts w:asciiTheme="majorHAnsi" w:hAnsiTheme="majorHAnsi" w:eastAsiaTheme="majorEastAsia" w:cstheme="majorBidi"/>
      <w:i/>
      <w:iCs/>
      <w:sz w:val="24"/>
      <w:szCs w:val="24"/>
    </w:rPr>
  </w:style>
  <w:style w:type="paragraph" w:styleId="45">
    <w:name w:val="Intense Quote"/>
    <w:basedOn w:val="1"/>
    <w:next w:val="1"/>
    <w:link w:val="46"/>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6">
    <w:name w:val="明显引用 Char"/>
    <w:basedOn w:val="27"/>
    <w:link w:val="45"/>
    <w:qFormat/>
    <w:uiPriority w:val="30"/>
    <w:rPr>
      <w:rFonts w:asciiTheme="majorHAnsi" w:hAnsiTheme="majorHAnsi" w:eastAsiaTheme="majorEastAsia" w:cstheme="majorBidi"/>
      <w:sz w:val="26"/>
      <w:szCs w:val="26"/>
    </w:rPr>
  </w:style>
  <w:style w:type="character" w:customStyle="1" w:styleId="47">
    <w:name w:val="不明显强调1"/>
    <w:basedOn w:val="27"/>
    <w:qFormat/>
    <w:uiPriority w:val="19"/>
    <w:rPr>
      <w:i/>
      <w:iCs/>
      <w:color w:val="auto"/>
    </w:rPr>
  </w:style>
  <w:style w:type="character" w:customStyle="1" w:styleId="48">
    <w:name w:val="明显强调1"/>
    <w:basedOn w:val="27"/>
    <w:qFormat/>
    <w:uiPriority w:val="21"/>
    <w:rPr>
      <w:b/>
      <w:bCs/>
      <w:i/>
      <w:iCs/>
      <w:color w:val="auto"/>
    </w:rPr>
  </w:style>
  <w:style w:type="character" w:customStyle="1" w:styleId="49">
    <w:name w:val="不明显参考1"/>
    <w:basedOn w:val="27"/>
    <w:qFormat/>
    <w:uiPriority w:val="31"/>
    <w:rPr>
      <w:smallCaps/>
      <w:color w:val="auto"/>
      <w:u w:val="single" w:color="7E7E7E" w:themeColor="text1" w:themeTint="80"/>
    </w:rPr>
  </w:style>
  <w:style w:type="character" w:customStyle="1" w:styleId="50">
    <w:name w:val="明显参考1"/>
    <w:basedOn w:val="27"/>
    <w:qFormat/>
    <w:uiPriority w:val="32"/>
    <w:rPr>
      <w:b/>
      <w:bCs/>
      <w:smallCaps/>
      <w:color w:val="auto"/>
      <w:u w:val="single"/>
    </w:rPr>
  </w:style>
  <w:style w:type="character" w:customStyle="1" w:styleId="51">
    <w:name w:val="书籍标题1"/>
    <w:basedOn w:val="27"/>
    <w:qFormat/>
    <w:uiPriority w:val="33"/>
    <w:rPr>
      <w:b/>
      <w:bCs/>
      <w:smallCaps/>
      <w:color w:val="auto"/>
    </w:rPr>
  </w:style>
  <w:style w:type="paragraph" w:customStyle="1" w:styleId="52">
    <w:name w:val="TOC 标题1"/>
    <w:basedOn w:val="3"/>
    <w:next w:val="1"/>
    <w:unhideWhenUsed/>
    <w:qFormat/>
    <w:uiPriority w:val="39"/>
    <w:pPr>
      <w:outlineLvl w:val="9"/>
    </w:pPr>
  </w:style>
  <w:style w:type="character" w:customStyle="1" w:styleId="53">
    <w:name w:val="无间隔 Char"/>
    <w:basedOn w:val="27"/>
    <w:link w:val="42"/>
    <w:qFormat/>
    <w:uiPriority w:val="1"/>
  </w:style>
  <w:style w:type="paragraph" w:customStyle="1" w:styleId="54">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55">
    <w:name w:val="页眉 Char"/>
    <w:basedOn w:val="27"/>
    <w:link w:val="18"/>
    <w:qFormat/>
    <w:uiPriority w:val="99"/>
    <w:rPr>
      <w:sz w:val="18"/>
      <w:szCs w:val="18"/>
    </w:rPr>
  </w:style>
  <w:style w:type="character" w:customStyle="1" w:styleId="56">
    <w:name w:val="页脚 Char"/>
    <w:basedOn w:val="27"/>
    <w:link w:val="17"/>
    <w:qFormat/>
    <w:uiPriority w:val="99"/>
    <w:rPr>
      <w:sz w:val="18"/>
      <w:szCs w:val="18"/>
    </w:rPr>
  </w:style>
  <w:style w:type="paragraph" w:styleId="57">
    <w:name w:val="List Paragraph"/>
    <w:basedOn w:val="1"/>
    <w:qFormat/>
    <w:uiPriority w:val="34"/>
    <w:pPr>
      <w:ind w:firstLine="420" w:firstLineChars="200"/>
    </w:pPr>
  </w:style>
  <w:style w:type="character" w:customStyle="1" w:styleId="58">
    <w:name w:val="正文文本缩进 3 Char"/>
    <w:basedOn w:val="27"/>
    <w:link w:val="21"/>
    <w:qFormat/>
    <w:uiPriority w:val="0"/>
    <w:rPr>
      <w:rFonts w:ascii="Times New Roman" w:hAnsi="Times New Roman" w:eastAsia="宋体" w:cs="Times New Roman"/>
      <w:kern w:val="2"/>
      <w:sz w:val="16"/>
      <w:szCs w:val="16"/>
    </w:rPr>
  </w:style>
  <w:style w:type="paragraph" w:customStyle="1" w:styleId="59">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60">
    <w:name w:val="纯文本 Char1"/>
    <w:basedOn w:val="27"/>
    <w:link w:val="15"/>
    <w:semiHidden/>
    <w:qFormat/>
    <w:uiPriority w:val="99"/>
    <w:rPr>
      <w:rFonts w:hAnsi="Courier New" w:cs="Courier New" w:asciiTheme="minorEastAsia"/>
    </w:rPr>
  </w:style>
  <w:style w:type="character" w:customStyle="1" w:styleId="61">
    <w:name w:val="正文文本 Char"/>
    <w:basedOn w:val="27"/>
    <w:link w:val="13"/>
    <w:semiHidden/>
    <w:qFormat/>
    <w:uiPriority w:val="99"/>
  </w:style>
  <w:style w:type="character" w:customStyle="1" w:styleId="62">
    <w:name w:val="纯文本 Char"/>
    <w:qFormat/>
    <w:uiPriority w:val="0"/>
    <w:rPr>
      <w:rFonts w:ascii="宋体" w:hAnsi="Courier New" w:eastAsia="宋体"/>
      <w:kern w:val="2"/>
      <w:sz w:val="21"/>
      <w:lang w:val="en-US" w:eastAsia="zh-CN" w:bidi="ar-SA"/>
    </w:rPr>
  </w:style>
  <w:style w:type="character" w:customStyle="1" w:styleId="63">
    <w:name w:val="批注框文本 Char"/>
    <w:basedOn w:val="27"/>
    <w:link w:val="16"/>
    <w:semiHidden/>
    <w:qFormat/>
    <w:uiPriority w:val="99"/>
    <w:rPr>
      <w:sz w:val="18"/>
      <w:szCs w:val="18"/>
    </w:rPr>
  </w:style>
  <w:style w:type="character" w:customStyle="1" w:styleId="64">
    <w:name w:val="font21"/>
    <w:basedOn w:val="27"/>
    <w:qFormat/>
    <w:uiPriority w:val="0"/>
    <w:rPr>
      <w:rFonts w:hint="eastAsia" w:ascii="宋体" w:hAnsi="宋体" w:eastAsia="宋体" w:cs="宋体"/>
      <w:color w:val="000000"/>
      <w:sz w:val="24"/>
      <w:szCs w:val="24"/>
      <w:u w:val="none"/>
    </w:rPr>
  </w:style>
  <w:style w:type="paragraph" w:customStyle="1" w:styleId="65">
    <w:name w:val="Body text|1"/>
    <w:basedOn w:val="1"/>
    <w:qFormat/>
    <w:uiPriority w:val="0"/>
    <w:pPr>
      <w:widowControl w:val="0"/>
      <w:spacing w:line="379" w:lineRule="auto"/>
    </w:pPr>
    <w:rPr>
      <w:rFonts w:ascii="宋体" w:hAnsi="宋体" w:eastAsia="宋体" w:cs="宋体"/>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FEDDF2-D76A-43DE-9ED6-B72CAEAB101F}">
  <ds:schemaRefs/>
</ds:datastoreItem>
</file>

<file path=docProps/app.xml><?xml version="1.0" encoding="utf-8"?>
<Properties xmlns="http://schemas.openxmlformats.org/officeDocument/2006/extended-properties" xmlns:vt="http://schemas.openxmlformats.org/officeDocument/2006/docPropsVTypes">
  <Template>Normal</Template>
  <Pages>9</Pages>
  <Words>2595</Words>
  <Characters>2749</Characters>
  <Lines>30</Lines>
  <Paragraphs>8</Paragraphs>
  <TotalTime>0</TotalTime>
  <ScaleCrop>false</ScaleCrop>
  <LinksUpToDate>false</LinksUpToDate>
  <CharactersWithSpaces>2993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2020-04-22T10:27:00Z</dcterms:created>
  <dc:creator>树亮 门</dc:creator>
  <cp:lastModifiedBy>黄天纬</cp:lastModifiedBy>
  <cp:lastPrinted>2022-05-25T01:32:00Z</cp:lastPrinted>
  <dcterms:modified xsi:type="dcterms:W3CDTF">2023-07-07T03:02:14Z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F69A2B0417F14701AB8456EA42A240B1_13</vt:lpwstr>
  </property>
</Properties>
</file>