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仿宋" w:hAnsi="仿宋" w:eastAsia="仿宋"/>
          <w:b/>
          <w:color w:val="000000" w:themeColor="text1"/>
          <w14:textFill>
            <w14:solidFill>
              <w14:schemeClr w14:val="tx1"/>
            </w14:solidFill>
          </w14:textFill>
        </w:rPr>
      </w:pPr>
    </w:p>
    <w:p>
      <w:pPr>
        <w:spacing w:line="240" w:lineRule="auto"/>
        <w:jc w:val="center"/>
        <w:rPr>
          <w:rFonts w:ascii="仿宋" w:hAnsi="仿宋" w:eastAsia="仿宋"/>
          <w:b/>
          <w:color w:val="000000" w:themeColor="text1"/>
          <w:sz w:val="40"/>
          <w:szCs w:val="40"/>
          <w14:textFill>
            <w14:solidFill>
              <w14:schemeClr w14:val="tx1"/>
            </w14:solidFill>
          </w14:textFill>
        </w:rPr>
      </w:pPr>
      <w:r>
        <w:rPr>
          <w:rFonts w:hint="eastAsia" w:ascii="仿宋" w:hAnsi="仿宋" w:eastAsia="仿宋"/>
          <w:b/>
          <w:color w:val="000000" w:themeColor="text1"/>
          <w:sz w:val="40"/>
          <w:szCs w:val="40"/>
          <w14:textFill>
            <w14:solidFill>
              <w14:schemeClr w14:val="tx1"/>
            </w14:solidFill>
          </w14:textFill>
        </w:rPr>
        <w:t>重庆外语外事学院</w:t>
      </w:r>
      <w:r>
        <w:rPr>
          <w:rFonts w:hint="default" w:ascii="仿宋" w:hAnsi="仿宋" w:eastAsia="仿宋"/>
          <w:b/>
          <w:color w:val="000000" w:themeColor="text1"/>
          <w:sz w:val="40"/>
          <w:szCs w:val="40"/>
          <w:lang w:val="en-US"/>
          <w14:textFill>
            <w14:solidFill>
              <w14:schemeClr w14:val="tx1"/>
            </w14:solidFill>
          </w14:textFill>
        </w:rPr>
        <w:drawing>
          <wp:anchor distT="0" distB="0" distL="114300" distR="114300" simplePos="0" relativeHeight="251659264" behindDoc="0" locked="0" layoutInCell="1" allowOverlap="1">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Pr>
          <w:rFonts w:hint="eastAsia" w:ascii="仿宋" w:hAnsi="仿宋" w:eastAsia="仿宋"/>
          <w:b/>
          <w:color w:val="000000" w:themeColor="text1"/>
          <w:sz w:val="40"/>
          <w:szCs w:val="40"/>
          <w:lang w:val="en-US" w:eastAsia="zh-CN"/>
          <w14:textFill>
            <w14:solidFill>
              <w14:schemeClr w14:val="tx1"/>
            </w14:solidFill>
          </w14:textFill>
        </w:rPr>
        <w:t>智慧教室设备采购</w:t>
      </w:r>
      <w:r>
        <w:rPr>
          <w:rFonts w:hint="eastAsia" w:ascii="仿宋" w:hAnsi="仿宋" w:eastAsia="仿宋"/>
          <w:b/>
          <w:color w:val="000000" w:themeColor="text1"/>
          <w:sz w:val="40"/>
          <w:szCs w:val="40"/>
          <w14:textFill>
            <w14:solidFill>
              <w14:schemeClr w14:val="tx1"/>
            </w14:solidFill>
          </w14:textFill>
        </w:rPr>
        <w:t>及安装项目</w:t>
      </w:r>
    </w:p>
    <w:p/>
    <w:bookmarkEnd w:id="0"/>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bookmarkStart w:id="1" w:name="_Toc212530253"/>
      <w:bookmarkStart w:id="2" w:name="_Toc267059633"/>
      <w:bookmarkStart w:id="3" w:name="_Toc177985424"/>
      <w:bookmarkStart w:id="4" w:name="_Toc223146565"/>
      <w:bookmarkStart w:id="5" w:name="_Toc267059786"/>
      <w:bookmarkStart w:id="6" w:name="_Toc249325665"/>
      <w:bookmarkStart w:id="7" w:name="_Toc258401210"/>
      <w:bookmarkStart w:id="8" w:name="_Toc160880487"/>
      <w:bookmarkStart w:id="9" w:name="_Toc207014580"/>
      <w:bookmarkStart w:id="10" w:name="_Toc254790852"/>
      <w:bookmarkStart w:id="11" w:name="_Toc217891359"/>
      <w:bookmarkStart w:id="12" w:name="_Toc169332904"/>
      <w:bookmarkStart w:id="13" w:name="_Toc216241307"/>
      <w:bookmarkStart w:id="14" w:name="_Toc266868924"/>
      <w:bookmarkStart w:id="15" w:name="_Toc259692693"/>
      <w:bookmarkStart w:id="16" w:name="_Toc212456146"/>
      <w:bookmarkStart w:id="17" w:name="_Toc211937196"/>
      <w:bookmarkStart w:id="18" w:name="_Toc267059899"/>
      <w:bookmarkStart w:id="19" w:name="_Toc267060162"/>
      <w:bookmarkStart w:id="20" w:name="_Toc235437942"/>
      <w:bookmarkStart w:id="21" w:name="_Toc267059161"/>
      <w:bookmarkStart w:id="22" w:name="_Toc227058483"/>
      <w:bookmarkStart w:id="23" w:name="_Toc212526081"/>
      <w:bookmarkStart w:id="24" w:name="_Toc236021402"/>
      <w:bookmarkStart w:id="25" w:name="_Toc267060407"/>
      <w:bookmarkStart w:id="26" w:name="_Toc235438297"/>
      <w:bookmarkStart w:id="27" w:name="_Toc266870861"/>
      <w:bookmarkStart w:id="28" w:name="_Toc266868624"/>
      <w:bookmarkStart w:id="29" w:name="_Toc267060022"/>
      <w:bookmarkStart w:id="30" w:name="_Toc266870386"/>
      <w:bookmarkStart w:id="31" w:name="_Toc251613780"/>
      <w:bookmarkStart w:id="32" w:name="_Toc235438227"/>
      <w:bookmarkStart w:id="33" w:name="_Toc212454753"/>
      <w:bookmarkStart w:id="34" w:name="_Toc225669277"/>
      <w:bookmarkStart w:id="35" w:name="_Toc267059010"/>
      <w:bookmarkStart w:id="36" w:name="_Toc251586187"/>
      <w:bookmarkStart w:id="37" w:name="_Toc267059519"/>
      <w:bookmarkStart w:id="38" w:name="_Toc259520819"/>
      <w:bookmarkStart w:id="39" w:name="_Toc170798743"/>
      <w:bookmarkStart w:id="40" w:name="_Toc219800200"/>
      <w:bookmarkStart w:id="41" w:name="_Toc169332794"/>
      <w:bookmarkStart w:id="42" w:name="_Toc259692600"/>
      <w:bookmarkStart w:id="43" w:name="_Toc273178686"/>
      <w:bookmarkStart w:id="44" w:name="_Toc255974963"/>
      <w:bookmarkStart w:id="45" w:name="_Toc253066567"/>
    </w:p>
    <w:p>
      <w:pPr>
        <w:spacing w:after="0" w:line="500" w:lineRule="exact"/>
        <w:ind w:firstLine="1405" w:firstLineChars="500"/>
        <w:rPr>
          <w:rFonts w:ascii="Times New Roman" w:hAnsi="Times New Roman" w:eastAsia="仿宋" w:cs="Times New Roman"/>
          <w:b/>
          <w:color w:val="000000" w:themeColor="text1"/>
          <w:sz w:val="28"/>
          <w:szCs w:val="32"/>
          <w:shd w:val="clear" w:color="auto" w:fill="FFFFFF" w:themeFill="background1"/>
          <w14:textFill>
            <w14:solidFill>
              <w14:schemeClr w14:val="tx1"/>
            </w14:solidFill>
          </w14:textFill>
        </w:rPr>
      </w:pPr>
      <w:r>
        <w:rPr>
          <w:rFonts w:hint="eastAsia" w:ascii="Times New Roman" w:hAnsi="Times New Roman" w:eastAsia="仿宋" w:cs="Times New Roman"/>
          <w:b/>
          <w:color w:val="000000" w:themeColor="text1"/>
          <w:sz w:val="28"/>
          <w:szCs w:val="32"/>
          <w:shd w:val="clear" w:color="auto" w:fill="FFFFFF" w:themeFill="background1"/>
          <w14:textFill>
            <w14:solidFill>
              <w14:schemeClr w14:val="tx1"/>
            </w14:solidFill>
          </w14:textFill>
        </w:rPr>
        <w:t>项目编号：</w:t>
      </w:r>
      <w:bookmarkStart w:id="46" w:name="_Toc160880118"/>
      <w:bookmarkStart w:id="47" w:name="_Toc160880485"/>
      <w:bookmarkStart w:id="48" w:name="_Toc169332792"/>
      <w:r>
        <w:rPr>
          <w:rFonts w:hint="eastAsia" w:ascii="Times New Roman" w:hAnsi="Times New Roman" w:eastAsia="仿宋" w:cs="Times New Roman"/>
          <w:color w:val="000000" w:themeColor="text1"/>
          <w:sz w:val="28"/>
          <w:szCs w:val="32"/>
          <w:shd w:val="clear" w:color="auto" w:fill="FFFFFF" w:themeFill="background1"/>
          <w14:textFill>
            <w14:solidFill>
              <w14:schemeClr w14:val="tx1"/>
            </w14:solidFill>
          </w14:textFill>
        </w:rPr>
        <w:t>IFS-2023064</w:t>
      </w:r>
    </w:p>
    <w:p>
      <w:pPr>
        <w:pStyle w:val="54"/>
        <w:spacing w:line="360" w:lineRule="auto"/>
        <w:ind w:firstLine="1405" w:firstLineChars="500"/>
        <w:outlineLvl w:val="0"/>
        <w:rPr>
          <w:rFonts w:ascii="Times New Roman" w:eastAsia="仿宋"/>
          <w:b/>
          <w:color w:val="000000" w:themeColor="text1"/>
          <w:sz w:val="28"/>
          <w:szCs w:val="32"/>
          <w:shd w:val="clear" w:color="auto" w:fill="FFFFFF" w:themeFill="background1"/>
          <w14:textFill>
            <w14:solidFill>
              <w14:schemeClr w14:val="tx1"/>
            </w14:solidFill>
          </w14:textFill>
        </w:rPr>
      </w:pPr>
      <w:r>
        <w:rPr>
          <w:rFonts w:hint="eastAsia" w:ascii="Times New Roman" w:eastAsia="仿宋"/>
          <w:b/>
          <w:color w:val="000000" w:themeColor="text1"/>
          <w:sz w:val="28"/>
          <w:szCs w:val="32"/>
          <w:shd w:val="clear" w:color="auto" w:fill="FFFFFF" w:themeFill="background1"/>
          <w14:textFill>
            <w14:solidFill>
              <w14:schemeClr w14:val="tx1"/>
            </w14:solidFill>
          </w14:textFill>
        </w:rPr>
        <w:t>项目名称</w:t>
      </w:r>
      <w:bookmarkEnd w:id="46"/>
      <w:bookmarkEnd w:id="47"/>
      <w:bookmarkEnd w:id="48"/>
      <w:r>
        <w:rPr>
          <w:rFonts w:hint="eastAsia" w:ascii="Times New Roman" w:eastAsia="仿宋"/>
          <w:b/>
          <w:color w:val="000000" w:themeColor="text1"/>
          <w:sz w:val="28"/>
          <w:szCs w:val="32"/>
          <w:shd w:val="clear" w:color="auto" w:fill="FFFFFF" w:themeFill="background1"/>
          <w14:textFill>
            <w14:solidFill>
              <w14:schemeClr w14:val="tx1"/>
            </w14:solidFill>
          </w14:textFill>
        </w:rPr>
        <w:t>：</w:t>
      </w:r>
      <w:r>
        <w:rPr>
          <w:rFonts w:hint="eastAsia" w:ascii="Times New Roman" w:eastAsia="仿宋"/>
          <w:b/>
          <w:color w:val="000000" w:themeColor="text1"/>
          <w:sz w:val="28"/>
          <w:szCs w:val="32"/>
          <w:shd w:val="clear" w:color="auto" w:fill="FFFFFF" w:themeFill="background1"/>
          <w:lang w:val="en-US" w:eastAsia="zh-CN"/>
          <w14:textFill>
            <w14:solidFill>
              <w14:schemeClr w14:val="tx1"/>
            </w14:solidFill>
          </w14:textFill>
        </w:rPr>
        <w:t>重庆外语外事学院</w:t>
      </w:r>
      <w:r>
        <w:rPr>
          <w:rFonts w:hint="eastAsia" w:ascii="Times New Roman" w:eastAsia="仿宋"/>
          <w:b/>
          <w:bCs w:val="0"/>
          <w:color w:val="000000" w:themeColor="text1"/>
          <w:sz w:val="28"/>
          <w:szCs w:val="32"/>
          <w:shd w:val="clear" w:color="auto" w:fill="FFFFFF" w:themeFill="background1"/>
          <w:lang w:val="en-US" w:eastAsia="zh-CN"/>
          <w14:textFill>
            <w14:solidFill>
              <w14:schemeClr w14:val="tx1"/>
            </w14:solidFill>
          </w14:textFill>
        </w:rPr>
        <w:t>智慧教室设备采购及安装</w:t>
      </w:r>
      <w:r>
        <w:rPr>
          <w:rFonts w:hint="eastAsia" w:ascii="Times New Roman" w:eastAsia="仿宋"/>
          <w:b/>
          <w:color w:val="000000" w:themeColor="text1"/>
          <w:sz w:val="28"/>
          <w:szCs w:val="32"/>
          <w:shd w:val="clear" w:color="auto" w:fill="FFFFFF" w:themeFill="background1"/>
          <w14:textFill>
            <w14:solidFill>
              <w14:schemeClr w14:val="tx1"/>
            </w14:solidFill>
          </w14:textFill>
        </w:rPr>
        <w:t>项目</w:t>
      </w:r>
    </w:p>
    <w:p>
      <w:pPr>
        <w:pStyle w:val="54"/>
        <w:spacing w:line="360" w:lineRule="auto"/>
        <w:ind w:firstLine="1285" w:firstLineChars="400"/>
        <w:outlineLvl w:val="0"/>
        <w:rPr>
          <w:rFonts w:ascii="Times New Roman" w:eastAsia="仿宋"/>
          <w:b/>
          <w:color w:val="000000" w:themeColor="text1"/>
          <w:sz w:val="32"/>
          <w:szCs w:val="36"/>
          <w:shd w:val="clear" w:color="auto" w:fill="FFFFFF" w:themeFill="background1"/>
          <w14:textFill>
            <w14:solidFill>
              <w14:schemeClr w14:val="tx1"/>
            </w14:solidFill>
          </w14:textFill>
        </w:rPr>
      </w:pPr>
    </w:p>
    <w:p>
      <w:pPr>
        <w:pStyle w:val="54"/>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仿宋" w:hAnsi="仿宋" w:eastAsia="仿宋"/>
          <w:b/>
          <w:color w:val="000000" w:themeColor="text1"/>
          <w:sz w:val="44"/>
          <w:szCs w:val="44"/>
          <w14:textFill>
            <w14:solidFill>
              <w14:schemeClr w14:val="tx1"/>
            </w14:solidFill>
          </w14:textFill>
        </w:rPr>
        <w:t>函</w:t>
      </w:r>
    </w:p>
    <w:p>
      <w:pPr>
        <w:spacing w:after="0" w:line="440" w:lineRule="exact"/>
        <w:ind w:firstLine="364" w:firstLineChars="152"/>
        <w:jc w:val="left"/>
        <w:rPr>
          <w:rFonts w:ascii="仿宋" w:hAnsi="仿宋" w:eastAsia="仿宋"/>
          <w:color w:val="000000" w:themeColor="text1"/>
          <w:sz w:val="24"/>
          <w:szCs w:val="24"/>
          <w14:textFill>
            <w14:solidFill>
              <w14:schemeClr w14:val="tx1"/>
            </w14:solidFill>
          </w14:textFill>
        </w:rPr>
      </w:pPr>
      <w:bookmarkStart w:id="49" w:name="_Hlk10840310"/>
      <w:r>
        <w:rPr>
          <w:rFonts w:hint="eastAsia" w:ascii="仿宋" w:hAnsi="仿宋" w:eastAsia="仿宋"/>
          <w:color w:val="000000" w:themeColor="text1"/>
          <w:sz w:val="24"/>
          <w:szCs w:val="24"/>
          <w14:textFill>
            <w14:solidFill>
              <w14:schemeClr w14:val="tx1"/>
            </w14:solidFill>
          </w14:textFill>
        </w:rPr>
        <w:t>重庆外语外事学院始建于2001年，是纳入国家普通高等教育招生计划、具有学士学位授予权的全日制普通本科高等学校。学校占地面积</w:t>
      </w:r>
      <w:r>
        <w:rPr>
          <w:rFonts w:ascii="仿宋" w:hAnsi="仿宋" w:eastAsia="仿宋"/>
          <w:color w:val="000000" w:themeColor="text1"/>
          <w:sz w:val="24"/>
          <w:szCs w:val="24"/>
          <w14:textFill>
            <w14:solidFill>
              <w14:schemeClr w14:val="tx1"/>
            </w14:solidFill>
          </w14:textFill>
        </w:rPr>
        <w:t>1572</w:t>
      </w:r>
      <w:r>
        <w:rPr>
          <w:rFonts w:hint="eastAsia" w:ascii="仿宋" w:hAnsi="仿宋" w:eastAsia="仿宋"/>
          <w:color w:val="000000" w:themeColor="text1"/>
          <w:sz w:val="24"/>
          <w:szCs w:val="24"/>
          <w14:textFill>
            <w14:solidFill>
              <w14:schemeClr w14:val="tx1"/>
            </w14:solidFill>
          </w14:textFill>
        </w:rPr>
        <w:t>亩，学生规模</w:t>
      </w:r>
      <w:r>
        <w:rPr>
          <w:rFonts w:ascii="仿宋" w:hAnsi="仿宋" w:eastAsia="仿宋"/>
          <w:color w:val="000000" w:themeColor="text1"/>
          <w:sz w:val="24"/>
          <w:szCs w:val="24"/>
          <w14:textFill>
            <w14:solidFill>
              <w14:schemeClr w14:val="tx1"/>
            </w14:solidFill>
          </w14:textFill>
        </w:rPr>
        <w:t>2.3</w:t>
      </w:r>
      <w:r>
        <w:rPr>
          <w:rFonts w:hint="eastAsia" w:ascii="仿宋" w:hAnsi="仿宋" w:eastAsia="仿宋"/>
          <w:color w:val="000000" w:themeColor="text1"/>
          <w:sz w:val="24"/>
          <w:szCs w:val="24"/>
          <w14:textFill>
            <w14:solidFill>
              <w14:schemeClr w14:val="tx1"/>
            </w14:solidFill>
          </w14:textFill>
        </w:rPr>
        <w:t>万余人。根据需要，对</w:t>
      </w:r>
      <w:r>
        <w:rPr>
          <w:rFonts w:hint="eastAsia" w:ascii="仿宋" w:hAnsi="仿宋" w:eastAsia="仿宋"/>
          <w:color w:val="000000" w:themeColor="text1"/>
          <w:sz w:val="24"/>
          <w:szCs w:val="24"/>
          <w:lang w:val="en-US" w:eastAsia="zh-CN"/>
          <w14:textFill>
            <w14:solidFill>
              <w14:schemeClr w14:val="tx1"/>
            </w14:solidFill>
          </w14:textFill>
        </w:rPr>
        <w:t>智慧教室设备采购及安装项目</w:t>
      </w:r>
      <w:r>
        <w:rPr>
          <w:rFonts w:hint="eastAsia" w:ascii="仿宋" w:hAnsi="仿宋" w:eastAsia="仿宋"/>
          <w:color w:val="000000" w:themeColor="text1"/>
          <w:sz w:val="24"/>
          <w:szCs w:val="24"/>
          <w14:textFill>
            <w14:solidFill>
              <w14:schemeClr w14:val="tx1"/>
            </w14:solidFill>
          </w14:textFill>
        </w:rPr>
        <w:t>进行公开询价，欢迎国内合格参与人参与。</w:t>
      </w:r>
    </w:p>
    <w:p>
      <w:pPr>
        <w:spacing w:after="0" w:line="440" w:lineRule="exact"/>
        <w:ind w:firstLine="366" w:firstLineChars="152"/>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一、项目说明</w:t>
      </w:r>
    </w:p>
    <w:p>
      <w:pPr>
        <w:widowControl w:val="0"/>
        <w:numPr>
          <w:ilvl w:val="1"/>
          <w:numId w:val="1"/>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w:t>
      </w:r>
      <w:r>
        <w:rPr>
          <w:rFonts w:ascii="仿宋" w:hAnsi="仿宋" w:eastAsia="仿宋"/>
          <w:color w:val="000000" w:themeColor="text1"/>
          <w:sz w:val="24"/>
          <w:szCs w:val="24"/>
          <w14:textFill>
            <w14:solidFill>
              <w14:schemeClr w14:val="tx1"/>
            </w14:solidFill>
          </w14:textFill>
        </w:rPr>
        <w:t>IFS-20230</w:t>
      </w:r>
      <w:r>
        <w:rPr>
          <w:rFonts w:hint="eastAsia" w:ascii="仿宋" w:hAnsi="仿宋" w:eastAsia="仿宋"/>
          <w:color w:val="000000" w:themeColor="text1"/>
          <w:sz w:val="24"/>
          <w:szCs w:val="24"/>
          <w:lang w:val="en-US" w:eastAsia="zh-CN"/>
          <w14:textFill>
            <w14:solidFill>
              <w14:schemeClr w14:val="tx1"/>
            </w14:solidFill>
          </w14:textFill>
        </w:rPr>
        <w:t>64</w:t>
      </w:r>
    </w:p>
    <w:p>
      <w:pPr>
        <w:widowControl w:val="0"/>
        <w:numPr>
          <w:ilvl w:val="255"/>
          <w:numId w:val="0"/>
        </w:numPr>
        <w:spacing w:after="0" w:line="440" w:lineRule="exact"/>
        <w:ind w:firstLine="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项目名称：</w:t>
      </w:r>
      <w:r>
        <w:rPr>
          <w:rFonts w:hint="eastAsia" w:ascii="仿宋" w:hAnsi="仿宋" w:eastAsia="仿宋"/>
          <w:color w:val="000000" w:themeColor="text1"/>
          <w:sz w:val="24"/>
          <w:szCs w:val="24"/>
          <w:lang w:val="en-US" w:eastAsia="zh-CN"/>
          <w14:textFill>
            <w14:solidFill>
              <w14:schemeClr w14:val="tx1"/>
            </w14:solidFill>
          </w14:textFill>
        </w:rPr>
        <w:t>智慧教室设备采购及安装</w:t>
      </w:r>
      <w:r>
        <w:rPr>
          <w:rFonts w:hint="eastAsia" w:ascii="仿宋" w:hAnsi="仿宋" w:eastAsia="仿宋"/>
          <w:color w:val="000000" w:themeColor="text1"/>
          <w:sz w:val="24"/>
          <w:szCs w:val="24"/>
          <w14:textFill>
            <w14:solidFill>
              <w14:schemeClr w14:val="tx1"/>
            </w14:solidFill>
          </w14:textFill>
        </w:rPr>
        <w:t>项目</w:t>
      </w:r>
    </w:p>
    <w:p>
      <w:pPr>
        <w:numPr>
          <w:ilvl w:val="255"/>
          <w:numId w:val="0"/>
        </w:numPr>
        <w:spacing w:after="0" w:line="440" w:lineRule="exact"/>
        <w:ind w:firstLine="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数量及主要技术要求:详见《公开询价项目介绍》</w:t>
      </w:r>
    </w:p>
    <w:p>
      <w:pPr>
        <w:widowControl w:val="0"/>
        <w:numPr>
          <w:ilvl w:val="255"/>
          <w:numId w:val="0"/>
        </w:numPr>
        <w:spacing w:after="0" w:line="440" w:lineRule="exact"/>
        <w:ind w:left="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参与人资格标准：</w:t>
      </w:r>
    </w:p>
    <w:p>
      <w:pPr>
        <w:pStyle w:val="57"/>
        <w:numPr>
          <w:ilvl w:val="0"/>
          <w:numId w:val="2"/>
        </w:numPr>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参与人应具有独立法人资格的生产厂商或授权经销商。</w:t>
      </w:r>
    </w:p>
    <w:p>
      <w:pPr>
        <w:pStyle w:val="57"/>
        <w:numPr>
          <w:ilvl w:val="0"/>
          <w:numId w:val="2"/>
        </w:numPr>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参与人应具有合法有效的营业执照，</w:t>
      </w:r>
      <w:r>
        <w:rPr>
          <w:rFonts w:hint="eastAsia" w:ascii="仿宋" w:hAnsi="仿宋" w:eastAsia="仿宋"/>
          <w:color w:val="000000" w:themeColor="text1"/>
          <w:sz w:val="24"/>
          <w:szCs w:val="24"/>
          <w:lang w:val="en-US" w:eastAsia="zh-CN"/>
          <w14:textFill>
            <w14:solidFill>
              <w14:schemeClr w14:val="tx1"/>
            </w14:solidFill>
          </w14:textFill>
        </w:rPr>
        <w:t>应具有提供智慧教室设备及安装的资格与能力</w:t>
      </w:r>
      <w:r>
        <w:rPr>
          <w:rFonts w:hint="eastAsia" w:ascii="仿宋" w:hAnsi="仿宋" w:eastAsia="仿宋"/>
          <w:color w:val="000000" w:themeColor="text1"/>
          <w:sz w:val="24"/>
          <w:szCs w:val="24"/>
          <w14:textFill>
            <w14:solidFill>
              <w14:schemeClr w14:val="tx1"/>
            </w14:solidFill>
          </w14:textFill>
        </w:rPr>
        <w:t>。</w:t>
      </w:r>
    </w:p>
    <w:p>
      <w:pPr>
        <w:pStyle w:val="57"/>
        <w:numPr>
          <w:ilvl w:val="0"/>
          <w:numId w:val="2"/>
        </w:numPr>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参与单位应成立3年以上，自2</w:t>
      </w:r>
      <w:r>
        <w:rPr>
          <w:rFonts w:ascii="仿宋" w:hAnsi="仿宋" w:eastAsia="仿宋"/>
          <w:color w:val="000000" w:themeColor="text1"/>
          <w:sz w:val="24"/>
          <w:szCs w:val="24"/>
          <w14:textFill>
            <w14:solidFill>
              <w14:schemeClr w14:val="tx1"/>
            </w14:solidFill>
          </w14:textFill>
        </w:rPr>
        <w:t>020</w:t>
      </w:r>
      <w:r>
        <w:rPr>
          <w:rFonts w:hint="eastAsia" w:ascii="仿宋" w:hAnsi="仿宋" w:eastAsia="仿宋"/>
          <w:color w:val="000000" w:themeColor="text1"/>
          <w:sz w:val="24"/>
          <w:szCs w:val="24"/>
          <w14:textFill>
            <w14:solidFill>
              <w14:schemeClr w14:val="tx1"/>
            </w14:solidFill>
          </w14:textFill>
        </w:rPr>
        <w:t>年起具有3个及以上（含3个）同类项目和良好的售后服务应用成功案例（提供合同、发票复印件)，近三年未发生重大安全或质量事故，近五年内无行政处罚记录，无被执行人、历史被执行人和失信被执行人记录。</w:t>
      </w:r>
    </w:p>
    <w:p>
      <w:pPr>
        <w:widowControl w:val="0"/>
        <w:tabs>
          <w:tab w:val="left" w:pos="839"/>
        </w:tabs>
        <w:spacing w:after="0" w:line="44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参与人有依法缴纳税金的良好记录。</w:t>
      </w:r>
    </w:p>
    <w:p>
      <w:pPr>
        <w:pStyle w:val="57"/>
        <w:widowControl w:val="0"/>
        <w:numPr>
          <w:ilvl w:val="0"/>
          <w:numId w:val="3"/>
        </w:numPr>
        <w:tabs>
          <w:tab w:val="left" w:pos="839"/>
        </w:tabs>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参与人应提供下列资格证明文件，否则其响应文件将被拒绝：</w:t>
      </w:r>
    </w:p>
    <w:p>
      <w:pPr>
        <w:widowControl w:val="0"/>
        <w:tabs>
          <w:tab w:val="left" w:pos="839"/>
        </w:tabs>
        <w:spacing w:after="0" w:line="440" w:lineRule="exact"/>
        <w:ind w:left="839"/>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营业执照副本、税务登记证副本、组织机构代码证副本（三证合一的只需要提供带有社会信用代码的营业执照）</w:t>
      </w:r>
    </w:p>
    <w:p>
      <w:pPr>
        <w:widowControl w:val="0"/>
        <w:tabs>
          <w:tab w:val="left" w:pos="839"/>
        </w:tabs>
        <w:spacing w:after="0" w:line="440" w:lineRule="exact"/>
        <w:ind w:left="839"/>
        <w:rPr>
          <w:rFonts w:ascii="仿宋" w:hAnsi="仿宋"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注：参与人提交的以上要求的文件或证明的复印件应是最新（有效）、清晰，注明“与原件一致”并加盖参与人公章。</w:t>
      </w:r>
    </w:p>
    <w:p>
      <w:pPr>
        <w:spacing w:after="0" w:line="440" w:lineRule="exact"/>
        <w:ind w:left="1070" w:leftChars="322" w:hanging="362" w:hangingChars="151"/>
        <w:jc w:val="lef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报价响应文件递交方式：</w:t>
      </w:r>
      <w:r>
        <w:rPr>
          <w:rFonts w:hint="eastAsia" w:ascii="仿宋" w:hAnsi="仿宋" w:eastAsia="仿宋"/>
          <w:b/>
          <w:color w:val="000000" w:themeColor="text1"/>
          <w:sz w:val="24"/>
          <w:szCs w:val="24"/>
          <w14:textFill>
            <w14:solidFill>
              <w14:schemeClr w14:val="tx1"/>
            </w14:solidFill>
          </w14:textFill>
        </w:rPr>
        <w:t>密封报价，按规定时间送达或邮寄</w:t>
      </w:r>
      <w:r>
        <w:rPr>
          <w:rFonts w:hint="eastAsia" w:ascii="仿宋" w:hAnsi="仿宋" w:eastAsia="仿宋"/>
          <w:color w:val="000000" w:themeColor="text1"/>
          <w:sz w:val="24"/>
          <w:szCs w:val="24"/>
          <w14:textFill>
            <w14:solidFill>
              <w14:schemeClr w14:val="tx1"/>
            </w14:solidFill>
          </w14:textFill>
        </w:rPr>
        <w:t>（封面备注联系人和电话）</w:t>
      </w:r>
      <w:r>
        <w:rPr>
          <w:rFonts w:hint="eastAsia" w:ascii="仿宋" w:hAnsi="仿宋" w:eastAsia="仿宋"/>
          <w:b/>
          <w:color w:val="000000" w:themeColor="text1"/>
          <w:sz w:val="24"/>
          <w:szCs w:val="24"/>
          <w14:textFill>
            <w14:solidFill>
              <w14:schemeClr w14:val="tx1"/>
            </w14:solidFill>
          </w14:textFill>
        </w:rPr>
        <w:t>。</w:t>
      </w:r>
    </w:p>
    <w:p>
      <w:pPr>
        <w:spacing w:after="0" w:line="440" w:lineRule="exact"/>
        <w:ind w:left="1070" w:leftChars="322" w:hanging="362" w:hangingChars="151"/>
        <w:jc w:val="left"/>
        <w:rPr>
          <w:rFonts w:ascii="仿宋" w:hAnsi="仿宋" w:eastAsia="仿宋"/>
          <w:color w:val="000000" w:themeColor="text1"/>
          <w:sz w:val="24"/>
          <w:szCs w:val="24"/>
          <w:shd w:val="clear" w:color="auto" w:fill="FFFFFF"/>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 xml:space="preserve">6. </w:t>
      </w:r>
      <w:r>
        <w:rPr>
          <w:rFonts w:hint="eastAsia" w:ascii="仿宋" w:hAnsi="仿宋" w:eastAsia="仿宋"/>
          <w:color w:val="000000" w:themeColor="text1"/>
          <w:sz w:val="24"/>
          <w:szCs w:val="24"/>
          <w14:textFill>
            <w14:solidFill>
              <w14:schemeClr w14:val="tx1"/>
            </w14:solidFill>
          </w14:textFill>
        </w:rPr>
        <w:t>报价响应文件递交截止时间</w:t>
      </w:r>
      <w:r>
        <w:rPr>
          <w:rFonts w:hint="eastAsia" w:ascii="仿宋" w:hAnsi="仿宋" w:eastAsia="仿宋"/>
          <w:color w:val="000000" w:themeColor="text1"/>
          <w:sz w:val="24"/>
          <w:szCs w:val="24"/>
          <w:shd w:val="clear" w:color="auto" w:fill="FFFFFF"/>
          <w14:textFill>
            <w14:solidFill>
              <w14:schemeClr w14:val="tx1"/>
            </w14:solidFill>
          </w14:textFill>
        </w:rPr>
        <w:t>：202</w:t>
      </w:r>
      <w:r>
        <w:rPr>
          <w:rFonts w:ascii="仿宋" w:hAnsi="仿宋" w:eastAsia="仿宋"/>
          <w:color w:val="000000" w:themeColor="text1"/>
          <w:sz w:val="24"/>
          <w:szCs w:val="24"/>
          <w:shd w:val="clear" w:color="auto" w:fill="FFFFFF"/>
          <w14:textFill>
            <w14:solidFill>
              <w14:schemeClr w14:val="tx1"/>
            </w14:solidFill>
          </w14:textFill>
        </w:rPr>
        <w:t>3</w:t>
      </w:r>
      <w:r>
        <w:rPr>
          <w:rFonts w:hint="eastAsia" w:ascii="仿宋" w:hAnsi="仿宋" w:eastAsia="仿宋"/>
          <w:color w:val="000000" w:themeColor="text1"/>
          <w:sz w:val="24"/>
          <w:szCs w:val="24"/>
          <w:shd w:val="clear" w:color="auto" w:fill="FFFFFF"/>
          <w14:textFill>
            <w14:solidFill>
              <w14:schemeClr w14:val="tx1"/>
            </w14:solidFill>
          </w14:textFill>
        </w:rPr>
        <w:t>年</w:t>
      </w:r>
      <w:r>
        <w:rPr>
          <w:rFonts w:ascii="仿宋" w:hAnsi="仿宋" w:eastAsia="仿宋"/>
          <w:color w:val="000000" w:themeColor="text1"/>
          <w:sz w:val="24"/>
          <w:szCs w:val="24"/>
          <w:shd w:val="clear" w:color="auto" w:fill="FFFFFF"/>
          <w14:textFill>
            <w14:solidFill>
              <w14:schemeClr w14:val="tx1"/>
            </w14:solidFill>
          </w14:textFill>
        </w:rPr>
        <w:t>0</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9</w:t>
      </w:r>
      <w:r>
        <w:rPr>
          <w:rFonts w:ascii="仿宋" w:hAnsi="仿宋" w:eastAsia="仿宋"/>
          <w:color w:val="000000" w:themeColor="text1"/>
          <w:sz w:val="24"/>
          <w:szCs w:val="24"/>
          <w:shd w:val="clear" w:color="auto" w:fill="FFFFFF"/>
          <w14:textFill>
            <w14:solidFill>
              <w14:schemeClr w14:val="tx1"/>
            </w14:solidFill>
          </w14:textFill>
        </w:rPr>
        <w:t>月</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13</w:t>
      </w:r>
      <w:bookmarkStart w:id="182" w:name="_GoBack"/>
      <w:bookmarkEnd w:id="182"/>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color w:val="000000" w:themeColor="text1"/>
          <w:sz w:val="24"/>
          <w:szCs w:val="24"/>
          <w:shd w:val="clear" w:color="auto" w:fill="FFFFFF"/>
          <w14:textFill>
            <w14:solidFill>
              <w14:schemeClr w14:val="tx1"/>
            </w14:solidFill>
          </w14:textFill>
        </w:rPr>
        <w:t>下午</w:t>
      </w:r>
      <w:r>
        <w:rPr>
          <w:rFonts w:ascii="仿宋" w:hAnsi="仿宋" w:eastAsia="仿宋"/>
          <w:color w:val="000000" w:themeColor="text1"/>
          <w:sz w:val="24"/>
          <w:szCs w:val="24"/>
          <w:shd w:val="clear" w:color="auto" w:fill="FFFFFF"/>
          <w14:textFill>
            <w14:solidFill>
              <w14:schemeClr w14:val="tx1"/>
            </w14:solidFill>
          </w14:textFill>
        </w:rPr>
        <w:t>4</w:t>
      </w:r>
      <w:r>
        <w:rPr>
          <w:rFonts w:hint="eastAsia" w:ascii="仿宋" w:hAnsi="仿宋" w:eastAsia="仿宋"/>
          <w:color w:val="000000" w:themeColor="text1"/>
          <w:sz w:val="24"/>
          <w:szCs w:val="24"/>
          <w:shd w:val="clear" w:color="auto" w:fill="FFFFFF"/>
          <w14:textFill>
            <w14:solidFill>
              <w14:schemeClr w14:val="tx1"/>
            </w14:solidFill>
          </w14:textFill>
        </w:rPr>
        <w:t>:</w:t>
      </w:r>
      <w:r>
        <w:rPr>
          <w:rFonts w:ascii="仿宋" w:hAnsi="仿宋" w:eastAsia="仿宋"/>
          <w:color w:val="000000" w:themeColor="text1"/>
          <w:sz w:val="24"/>
          <w:szCs w:val="24"/>
          <w:shd w:val="clear" w:color="auto" w:fill="FFFFFF"/>
          <w14:textFill>
            <w14:solidFill>
              <w14:schemeClr w14:val="tx1"/>
            </w14:solidFill>
          </w14:textFill>
        </w:rPr>
        <w:t>00</w:t>
      </w:r>
      <w:r>
        <w:rPr>
          <w:rFonts w:hint="eastAsia" w:ascii="仿宋" w:hAnsi="仿宋" w:eastAsia="仿宋"/>
          <w:color w:val="000000" w:themeColor="text1"/>
          <w:sz w:val="24"/>
          <w:szCs w:val="24"/>
          <w:shd w:val="clear" w:color="auto" w:fill="FFFFFF"/>
          <w14:textFill>
            <w14:solidFill>
              <w14:schemeClr w14:val="tx1"/>
            </w14:solidFill>
          </w14:textFill>
        </w:rPr>
        <w:t>前。</w:t>
      </w:r>
    </w:p>
    <w:p>
      <w:pPr>
        <w:spacing w:after="0" w:line="440" w:lineRule="exact"/>
        <w:ind w:left="1070" w:leftChars="322" w:hanging="362" w:hangingChars="151"/>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 xml:space="preserve">7. </w:t>
      </w:r>
      <w:r>
        <w:rPr>
          <w:rFonts w:hint="eastAsia" w:ascii="仿宋" w:hAnsi="仿宋" w:eastAsia="仿宋"/>
          <w:color w:val="000000" w:themeColor="text1"/>
          <w:sz w:val="24"/>
          <w:szCs w:val="24"/>
          <w14:textFill>
            <w14:solidFill>
              <w14:schemeClr w14:val="tx1"/>
            </w14:solidFill>
          </w14:textFill>
        </w:rPr>
        <w:t>报价响应文件递交地点：重庆市渝北区龙石路18号办公楼</w:t>
      </w:r>
      <w:r>
        <w:rPr>
          <w:rFonts w:hint="eastAsia" w:ascii="仿宋" w:hAnsi="仿宋" w:eastAsia="仿宋"/>
          <w:color w:val="000000" w:themeColor="text1"/>
          <w:sz w:val="24"/>
          <w:szCs w:val="24"/>
          <w:lang w:val="en-US" w:eastAsia="zh-CN"/>
          <w14:textFill>
            <w14:solidFill>
              <w14:schemeClr w14:val="tx1"/>
            </w14:solidFill>
          </w14:textFill>
        </w:rPr>
        <w:t>203</w:t>
      </w:r>
      <w:r>
        <w:rPr>
          <w:rFonts w:hint="eastAsia" w:ascii="仿宋" w:hAnsi="仿宋" w:eastAsia="仿宋"/>
          <w:color w:val="000000" w:themeColor="text1"/>
          <w:sz w:val="24"/>
          <w:szCs w:val="24"/>
          <w14:textFill>
            <w14:solidFill>
              <w14:schemeClr w14:val="tx1"/>
            </w14:solidFill>
          </w14:textFill>
        </w:rPr>
        <w:t>室</w:t>
      </w:r>
    </w:p>
    <w:p>
      <w:pPr>
        <w:spacing w:after="0" w:line="440" w:lineRule="exact"/>
        <w:ind w:firstLine="1200" w:firstLineChars="500"/>
        <w:jc w:val="lef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联系人：蒲涛     联系电话：</w:t>
      </w:r>
      <w:r>
        <w:rPr>
          <w:rFonts w:ascii="仿宋" w:hAnsi="仿宋" w:eastAsia="仿宋"/>
          <w:color w:val="000000" w:themeColor="text1"/>
          <w:sz w:val="24"/>
          <w:szCs w:val="24"/>
          <w14:textFill>
            <w14:solidFill>
              <w14:schemeClr w14:val="tx1"/>
            </w14:solidFill>
          </w14:textFill>
        </w:rPr>
        <w:t>18311716936</w:t>
      </w:r>
    </w:p>
    <w:p>
      <w:pPr>
        <w:spacing w:after="0" w:line="440" w:lineRule="exact"/>
        <w:ind w:left="1070" w:leftChars="322" w:hanging="362" w:hangingChars="151"/>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8</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参加本项目的参与人如对公开询价邀请函列示内容存有疑问的，请在报价响应文件递交截止之日前，将问题以书面形式（有效签署的原件并加盖公章）提交至学校业务对接人，联系人：蒲涛，电话：</w:t>
      </w:r>
      <w:r>
        <w:rPr>
          <w:rFonts w:ascii="仿宋" w:hAnsi="仿宋" w:eastAsia="仿宋"/>
          <w:color w:val="000000" w:themeColor="text1"/>
          <w:sz w:val="24"/>
          <w:szCs w:val="24"/>
          <w14:textFill>
            <w14:solidFill>
              <w14:schemeClr w14:val="tx1"/>
            </w14:solidFill>
          </w14:textFill>
        </w:rPr>
        <w:t>18311716936</w:t>
      </w:r>
      <w:r>
        <w:rPr>
          <w:rFonts w:hint="eastAsia" w:ascii="仿宋" w:hAnsi="仿宋" w:eastAsia="仿宋"/>
          <w:color w:val="000000" w:themeColor="text1"/>
          <w:sz w:val="24"/>
          <w:szCs w:val="24"/>
          <w14:textFill>
            <w14:solidFill>
              <w14:schemeClr w14:val="tx1"/>
            </w14:solidFill>
          </w14:textFill>
        </w:rPr>
        <w:t>。采购人不对超时提交及未加盖公章的质疑文件进行回复。</w:t>
      </w:r>
    </w:p>
    <w:p>
      <w:pPr>
        <w:spacing w:after="0" w:line="440" w:lineRule="exact"/>
        <w:ind w:left="1070" w:leftChars="322" w:hanging="362" w:hangingChars="151"/>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30"/>
          <w:rFonts w:hint="eastAsia" w:ascii="仿宋" w:hAnsi="仿宋" w:eastAsia="仿宋"/>
          <w:color w:val="000000" w:themeColor="text1"/>
          <w14:textFill>
            <w14:solidFill>
              <w14:schemeClr w14:val="tx1"/>
            </w14:solidFill>
          </w14:textFill>
        </w:rPr>
        <w:t>www.ceghqxz.com</w:t>
      </w:r>
      <w:r>
        <w:rPr>
          <w:rStyle w:val="30"/>
          <w:rFonts w:hint="eastAsia" w:ascii="仿宋" w:hAnsi="仿宋" w:eastAsia="仿宋"/>
          <w:color w:val="000000" w:themeColor="text1"/>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请以书面形式（有效签署的原件并加盖公章），并附有相关的证据材料，提交至集团监审部。投诉受理部门：中教集团监审部，投诉电话：0791-88106510/0791-88102608</w:t>
      </w:r>
    </w:p>
    <w:p>
      <w:pPr>
        <w:widowControl w:val="0"/>
        <w:tabs>
          <w:tab w:val="left" w:pos="839"/>
        </w:tabs>
        <w:spacing w:after="0" w:line="440" w:lineRule="exact"/>
        <w:ind w:left="42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二、参与人须知</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所有项目均以人民币报价；</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themeFill="background1"/>
          <w14:textFill>
            <w14:solidFill>
              <w14:schemeClr w14:val="tx1"/>
            </w14:solidFill>
          </w14:textFill>
        </w:rPr>
        <w:t>报价响应文件3份，报价响应文件必须用A4幅面纸张打印，须由参与人填写并加盖公章（正本1份、副本2份）</w:t>
      </w:r>
      <w:r>
        <w:rPr>
          <w:rFonts w:hint="eastAsia" w:ascii="仿宋" w:hAnsi="仿宋" w:eastAsia="仿宋"/>
          <w:color w:val="000000" w:themeColor="text1"/>
          <w:sz w:val="24"/>
          <w:szCs w:val="24"/>
          <w14:textFill>
            <w14:solidFill>
              <w14:schemeClr w14:val="tx1"/>
            </w14:solidFill>
          </w14:textFill>
        </w:rPr>
        <w:t>，须由参与人填写并加盖公章；</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一个参与人只能提交一个报价响应文件，本项目不接受联合体报价。</w:t>
      </w:r>
    </w:p>
    <w:p>
      <w:pPr>
        <w:spacing w:after="0" w:line="440" w:lineRule="exact"/>
        <w:ind w:firstLine="366" w:firstLineChars="152"/>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三、售后服务要求</w:t>
      </w:r>
    </w:p>
    <w:p>
      <w:pPr>
        <w:widowControl w:val="0"/>
        <w:spacing w:after="0" w:line="440" w:lineRule="exact"/>
        <w:ind w:left="426"/>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免费保修期；</w:t>
      </w:r>
      <w:r>
        <w:rPr>
          <w:rFonts w:hint="eastAsia" w:ascii="仿宋" w:hAnsi="仿宋" w:eastAsia="仿宋"/>
          <w:color w:val="000000" w:themeColor="text1"/>
          <w:sz w:val="24"/>
          <w:szCs w:val="24"/>
          <w:lang w:val="en-US" w:eastAsia="zh-CN"/>
          <w14:textFill>
            <w14:solidFill>
              <w14:schemeClr w14:val="tx1"/>
            </w14:solidFill>
          </w14:textFill>
        </w:rPr>
        <w:t>36</w:t>
      </w:r>
      <w:r>
        <w:rPr>
          <w:rFonts w:hint="eastAsia" w:ascii="仿宋" w:hAnsi="仿宋" w:eastAsia="仿宋"/>
          <w:color w:val="000000" w:themeColor="text1"/>
          <w:sz w:val="24"/>
          <w:szCs w:val="24"/>
          <w14:textFill>
            <w14:solidFill>
              <w14:schemeClr w14:val="tx1"/>
            </w14:solidFill>
          </w14:textFill>
        </w:rPr>
        <w:t>个月（质保金5</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，质保期满后支付）；</w:t>
      </w:r>
    </w:p>
    <w:p>
      <w:pPr>
        <w:widowControl w:val="0"/>
        <w:spacing w:after="0" w:line="440" w:lineRule="exact"/>
        <w:ind w:left="426"/>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交货时间：2</w:t>
      </w:r>
      <w:r>
        <w:rPr>
          <w:rFonts w:ascii="仿宋" w:hAnsi="仿宋" w:eastAsia="仿宋"/>
          <w:color w:val="000000" w:themeColor="text1"/>
          <w:sz w:val="24"/>
          <w:szCs w:val="24"/>
          <w14:textFill>
            <w14:solidFill>
              <w14:schemeClr w14:val="tx1"/>
            </w14:solidFill>
          </w14:textFill>
        </w:rPr>
        <w:t>023</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日前，</w:t>
      </w:r>
      <w:r>
        <w:rPr>
          <w:rFonts w:hint="eastAsia" w:ascii="仿宋" w:hAnsi="仿宋" w:eastAsia="仿宋"/>
          <w:color w:val="000000" w:themeColor="text1"/>
          <w:sz w:val="24"/>
          <w:szCs w:val="24"/>
          <w:lang w:val="en-US" w:eastAsia="zh-CN"/>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15</w:t>
      </w:r>
      <w:r>
        <w:rPr>
          <w:rFonts w:hint="eastAsia" w:ascii="仿宋" w:hAnsi="仿宋" w:eastAsia="仿宋"/>
          <w:color w:val="000000" w:themeColor="text1"/>
          <w:sz w:val="24"/>
          <w:szCs w:val="24"/>
          <w14:textFill>
            <w14:solidFill>
              <w14:schemeClr w14:val="tx1"/>
            </w14:solidFill>
          </w14:textFill>
        </w:rPr>
        <w:t>日前完成安装。</w:t>
      </w:r>
    </w:p>
    <w:p>
      <w:pPr>
        <w:widowControl w:val="0"/>
        <w:spacing w:after="0" w:line="440" w:lineRule="exact"/>
        <w:ind w:left="426"/>
        <w:jc w:val="left"/>
        <w:rPr>
          <w:rFonts w:ascii="Times New Roman" w:hAnsi="Times New Roman"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应急维修时间安排：</w:t>
      </w:r>
      <w:r>
        <w:rPr>
          <w:rFonts w:hint="eastAsia" w:ascii="Times New Roman" w:hAnsi="Times New Roman" w:eastAsia="仿宋"/>
          <w:color w:val="000000" w:themeColor="text1"/>
          <w:sz w:val="24"/>
          <w:szCs w:val="24"/>
          <w14:textFill>
            <w14:solidFill>
              <w14:schemeClr w14:val="tx1"/>
            </w14:solidFill>
          </w14:textFill>
        </w:rPr>
        <w:t>2小时内给予回复，并在2</w:t>
      </w:r>
      <w:r>
        <w:rPr>
          <w:rFonts w:ascii="Times New Roman" w:hAnsi="Times New Roman" w:eastAsia="仿宋"/>
          <w:color w:val="000000" w:themeColor="text1"/>
          <w:sz w:val="24"/>
          <w:szCs w:val="24"/>
          <w14:textFill>
            <w14:solidFill>
              <w14:schemeClr w14:val="tx1"/>
            </w14:solidFill>
          </w14:textFill>
        </w:rPr>
        <w:t>4</w:t>
      </w:r>
      <w:r>
        <w:rPr>
          <w:rFonts w:hint="eastAsia" w:ascii="Times New Roman" w:hAnsi="Times New Roman" w:eastAsia="仿宋"/>
          <w:color w:val="000000" w:themeColor="text1"/>
          <w:sz w:val="24"/>
          <w:szCs w:val="24"/>
          <w14:textFill>
            <w14:solidFill>
              <w14:schemeClr w14:val="tx1"/>
            </w14:solidFill>
          </w14:textFill>
        </w:rPr>
        <w:t>小时内完成维修。</w:t>
      </w:r>
    </w:p>
    <w:p>
      <w:pPr>
        <w:spacing w:after="0" w:line="440" w:lineRule="exact"/>
        <w:ind w:firstLine="366" w:firstLineChars="152"/>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四、确定成交参与人标准及原则：</w:t>
      </w:r>
    </w:p>
    <w:p>
      <w:pPr>
        <w:pStyle w:val="57"/>
        <w:numPr>
          <w:ilvl w:val="0"/>
          <w:numId w:val="5"/>
        </w:numPr>
        <w:spacing w:after="0" w:line="44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p>
    <w:p>
      <w:pPr>
        <w:pStyle w:val="57"/>
        <w:numPr>
          <w:ilvl w:val="0"/>
          <w:numId w:val="5"/>
        </w:numPr>
        <w:spacing w:after="0" w:line="44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参与人所投项目符合需求、质量和服务等的要求,经过磋商所报价格为合理价格的参与人为成交参与人。</w:t>
      </w:r>
    </w:p>
    <w:p>
      <w:pPr>
        <w:pStyle w:val="57"/>
        <w:numPr>
          <w:ilvl w:val="0"/>
          <w:numId w:val="5"/>
        </w:numPr>
        <w:spacing w:after="0" w:line="44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最低报价不作为成交的保证。</w:t>
      </w:r>
    </w:p>
    <w:p>
      <w:pPr>
        <w:spacing w:after="0" w:line="500" w:lineRule="exact"/>
        <w:jc w:val="both"/>
        <w:rPr>
          <w:rFonts w:hint="eastAsia" w:ascii="仿宋" w:hAnsi="仿宋" w:eastAsia="仿宋"/>
          <w:color w:val="000000" w:themeColor="text1"/>
          <w:sz w:val="24"/>
          <w:szCs w:val="24"/>
          <w14:textFill>
            <w14:solidFill>
              <w14:schemeClr w14:val="tx1"/>
            </w14:solidFill>
          </w14:textFill>
        </w:rPr>
      </w:pPr>
    </w:p>
    <w:p>
      <w:pPr>
        <w:spacing w:after="0" w:line="500" w:lineRule="exact"/>
        <w:jc w:val="both"/>
        <w:rPr>
          <w:rFonts w:hint="eastAsia" w:ascii="仿宋" w:hAnsi="仿宋" w:eastAsia="仿宋"/>
          <w:color w:val="000000" w:themeColor="text1"/>
          <w:sz w:val="24"/>
          <w:szCs w:val="24"/>
          <w14:textFill>
            <w14:solidFill>
              <w14:schemeClr w14:val="tx1"/>
            </w14:solidFill>
          </w14:textFill>
        </w:rPr>
      </w:pPr>
    </w:p>
    <w:p>
      <w:pPr>
        <w:spacing w:after="0" w:line="500" w:lineRule="exact"/>
        <w:jc w:val="both"/>
        <w:rPr>
          <w:rFonts w:hint="eastAsia" w:ascii="仿宋" w:hAnsi="仿宋" w:eastAsia="仿宋"/>
          <w:color w:val="000000" w:themeColor="text1"/>
          <w:sz w:val="24"/>
          <w:szCs w:val="24"/>
          <w14:textFill>
            <w14:solidFill>
              <w14:schemeClr w14:val="tx1"/>
            </w14:solidFill>
          </w14:textFill>
        </w:rPr>
      </w:pPr>
    </w:p>
    <w:p>
      <w:pPr>
        <w:spacing w:after="0" w:line="500" w:lineRule="exact"/>
        <w:jc w:val="righ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重庆外语外事学院</w:t>
      </w:r>
    </w:p>
    <w:p>
      <w:pPr>
        <w:spacing w:after="0" w:line="500" w:lineRule="exact"/>
        <w:jc w:val="righ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w:t>
      </w: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年</w:t>
      </w:r>
      <w:r>
        <w:rPr>
          <w:rFonts w:ascii="仿宋" w:hAnsi="仿宋" w:eastAsia="仿宋"/>
          <w:color w:val="000000" w:themeColor="text1"/>
          <w:sz w:val="24"/>
          <w:szCs w:val="24"/>
          <w14:textFill>
            <w14:solidFill>
              <w14:schemeClr w14:val="tx1"/>
            </w14:solidFill>
          </w14:textFill>
        </w:rPr>
        <w:t>0</w:t>
      </w:r>
      <w:r>
        <w:rPr>
          <w:rFonts w:hint="eastAsia" w:ascii="仿宋" w:hAnsi="仿宋" w:eastAsia="仿宋"/>
          <w:color w:val="000000" w:themeColor="text1"/>
          <w:sz w:val="24"/>
          <w:szCs w:val="24"/>
          <w:lang w:val="en-US" w:eastAsia="zh-CN"/>
          <w14:textFill>
            <w14:solidFill>
              <w14:schemeClr w14:val="tx1"/>
            </w14:solidFill>
          </w14:textFill>
        </w:rPr>
        <w:t>9</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07</w:t>
      </w:r>
      <w:r>
        <w:rPr>
          <w:rFonts w:hint="eastAsia" w:ascii="仿宋" w:hAnsi="仿宋" w:eastAsia="仿宋"/>
          <w:color w:val="000000" w:themeColor="text1"/>
          <w:sz w:val="24"/>
          <w:szCs w:val="24"/>
          <w14:textFill>
            <w14:solidFill>
              <w14:schemeClr w14:val="tx1"/>
            </w14:solidFill>
          </w14:textFill>
        </w:rPr>
        <w:t>日</w:t>
      </w:r>
      <w:bookmarkEnd w:id="49"/>
    </w:p>
    <w:p>
      <w:pPr>
        <w:spacing w:line="420" w:lineRule="exact"/>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公开询价货物一览表</w:t>
      </w:r>
    </w:p>
    <w:tbl>
      <w:tblPr>
        <w:tblStyle w:val="26"/>
        <w:tblW w:w="10495" w:type="dxa"/>
        <w:tblInd w:w="113" w:type="dxa"/>
        <w:tblLayout w:type="fixed"/>
        <w:tblCellMar>
          <w:top w:w="0" w:type="dxa"/>
          <w:left w:w="108" w:type="dxa"/>
          <w:bottom w:w="0" w:type="dxa"/>
          <w:right w:w="108" w:type="dxa"/>
        </w:tblCellMar>
      </w:tblPr>
      <w:tblGrid>
        <w:gridCol w:w="618"/>
        <w:gridCol w:w="1532"/>
        <w:gridCol w:w="4213"/>
        <w:gridCol w:w="618"/>
        <w:gridCol w:w="618"/>
        <w:gridCol w:w="618"/>
        <w:gridCol w:w="618"/>
        <w:gridCol w:w="618"/>
        <w:gridCol w:w="1042"/>
      </w:tblGrid>
      <w:tr>
        <w:tblPrEx>
          <w:tblCellMar>
            <w:top w:w="0" w:type="dxa"/>
            <w:left w:w="108" w:type="dxa"/>
            <w:bottom w:w="0" w:type="dxa"/>
            <w:right w:w="108" w:type="dxa"/>
          </w:tblCellMar>
        </w:tblPrEx>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b/>
                <w:bCs/>
                <w:color w:val="000000"/>
                <w:sz w:val="20"/>
                <w:szCs w:val="20"/>
              </w:rPr>
            </w:pPr>
            <w:r>
              <w:rPr>
                <w:rFonts w:hint="eastAsia" w:ascii="仿宋" w:hAnsi="仿宋" w:eastAsia="仿宋" w:cs="宋体"/>
                <w:b/>
                <w:bCs/>
                <w:color w:val="000000"/>
                <w:sz w:val="20"/>
                <w:szCs w:val="20"/>
              </w:rPr>
              <w:t>序号</w:t>
            </w:r>
          </w:p>
        </w:tc>
        <w:tc>
          <w:tcPr>
            <w:tcW w:w="153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b/>
                <w:bCs/>
                <w:color w:val="000000"/>
                <w:sz w:val="20"/>
                <w:szCs w:val="20"/>
              </w:rPr>
            </w:pPr>
            <w:r>
              <w:rPr>
                <w:rFonts w:hint="eastAsia" w:ascii="仿宋" w:hAnsi="仿宋" w:eastAsia="仿宋" w:cs="宋体"/>
                <w:b/>
                <w:bCs/>
                <w:color w:val="000000"/>
                <w:sz w:val="20"/>
                <w:szCs w:val="20"/>
              </w:rPr>
              <w:t>设备名称</w:t>
            </w:r>
          </w:p>
        </w:tc>
        <w:tc>
          <w:tcPr>
            <w:tcW w:w="42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b/>
                <w:bCs/>
                <w:color w:val="000000"/>
                <w:sz w:val="20"/>
                <w:szCs w:val="20"/>
              </w:rPr>
            </w:pPr>
            <w:r>
              <w:rPr>
                <w:rFonts w:hint="eastAsia" w:ascii="仿宋" w:hAnsi="仿宋" w:eastAsia="仿宋" w:cs="宋体"/>
                <w:b/>
                <w:bCs/>
                <w:color w:val="000000"/>
                <w:sz w:val="20"/>
                <w:szCs w:val="20"/>
              </w:rPr>
              <w:t>规格型号（技术参数）</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b/>
                <w:bCs/>
                <w:color w:val="000000"/>
                <w:sz w:val="20"/>
                <w:szCs w:val="20"/>
                <w:lang w:val="en-US" w:eastAsia="zh-CN"/>
              </w:rPr>
            </w:pPr>
            <w:r>
              <w:rPr>
                <w:rFonts w:hint="eastAsia" w:ascii="仿宋" w:hAnsi="仿宋" w:eastAsia="仿宋" w:cs="宋体"/>
                <w:b/>
                <w:bCs/>
                <w:color w:val="000000"/>
                <w:sz w:val="20"/>
                <w:szCs w:val="20"/>
                <w:lang w:val="en-US" w:eastAsia="zh-CN"/>
              </w:rPr>
              <w:t>品牌</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b/>
                <w:bCs/>
                <w:color w:val="000000"/>
                <w:sz w:val="20"/>
                <w:szCs w:val="20"/>
              </w:rPr>
            </w:pPr>
            <w:r>
              <w:rPr>
                <w:rFonts w:hint="eastAsia" w:ascii="仿宋" w:hAnsi="仿宋" w:eastAsia="仿宋" w:cs="宋体"/>
                <w:b/>
                <w:bCs/>
                <w:color w:val="000000"/>
                <w:sz w:val="20"/>
                <w:szCs w:val="20"/>
              </w:rPr>
              <w:t>数量</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b/>
                <w:bCs/>
                <w:color w:val="000000"/>
                <w:sz w:val="20"/>
                <w:szCs w:val="20"/>
              </w:rPr>
            </w:pPr>
            <w:r>
              <w:rPr>
                <w:rFonts w:hint="eastAsia" w:ascii="仿宋" w:hAnsi="仿宋" w:eastAsia="仿宋" w:cs="宋体"/>
                <w:b/>
                <w:bCs/>
                <w:color w:val="000000"/>
                <w:sz w:val="20"/>
                <w:szCs w:val="20"/>
              </w:rPr>
              <w:t>单位</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b/>
                <w:bCs/>
                <w:color w:val="000000"/>
                <w:sz w:val="20"/>
                <w:szCs w:val="20"/>
              </w:rPr>
            </w:pPr>
            <w:r>
              <w:rPr>
                <w:rFonts w:hint="eastAsia" w:ascii="仿宋" w:hAnsi="仿宋" w:eastAsia="仿宋" w:cs="宋体"/>
                <w:b/>
                <w:bCs/>
                <w:color w:val="000000"/>
                <w:sz w:val="20"/>
                <w:szCs w:val="20"/>
              </w:rPr>
              <w:t>单价</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b/>
                <w:bCs/>
                <w:color w:val="000000"/>
                <w:sz w:val="20"/>
                <w:szCs w:val="20"/>
              </w:rPr>
            </w:pPr>
            <w:r>
              <w:rPr>
                <w:rFonts w:hint="eastAsia" w:ascii="仿宋" w:hAnsi="仿宋" w:eastAsia="仿宋" w:cs="宋体"/>
                <w:b/>
                <w:bCs/>
                <w:color w:val="000000"/>
                <w:sz w:val="20"/>
                <w:szCs w:val="20"/>
              </w:rPr>
              <w:t>金额</w:t>
            </w:r>
          </w:p>
        </w:tc>
        <w:tc>
          <w:tcPr>
            <w:tcW w:w="10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b/>
                <w:bCs/>
                <w:color w:val="000000"/>
                <w:sz w:val="20"/>
                <w:szCs w:val="20"/>
                <w:lang w:val="en-US" w:eastAsia="zh-CN"/>
              </w:rPr>
            </w:pPr>
            <w:r>
              <w:rPr>
                <w:rFonts w:hint="eastAsia" w:ascii="仿宋" w:hAnsi="仿宋" w:eastAsia="仿宋" w:cs="宋体"/>
                <w:b/>
                <w:bCs/>
                <w:color w:val="000000"/>
                <w:sz w:val="20"/>
                <w:szCs w:val="20"/>
                <w:lang w:val="en-US" w:eastAsia="zh-CN"/>
              </w:rPr>
              <w:t>备注</w:t>
            </w:r>
          </w:p>
        </w:tc>
      </w:tr>
      <w:tr>
        <w:tblPrEx>
          <w:tblCellMar>
            <w:top w:w="0" w:type="dxa"/>
            <w:left w:w="108" w:type="dxa"/>
            <w:bottom w:w="0" w:type="dxa"/>
            <w:right w:w="108" w:type="dxa"/>
          </w:tblCellMar>
        </w:tblPrEx>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b/>
                <w:bCs/>
                <w:color w:val="000000"/>
                <w:sz w:val="20"/>
                <w:szCs w:val="20"/>
              </w:rPr>
            </w:pPr>
          </w:p>
        </w:tc>
        <w:tc>
          <w:tcPr>
            <w:tcW w:w="883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b/>
                <w:bCs/>
                <w:color w:val="000000"/>
                <w:sz w:val="20"/>
                <w:szCs w:val="20"/>
              </w:rPr>
            </w:pPr>
            <w:r>
              <w:rPr>
                <w:rFonts w:hint="eastAsia" w:ascii="仿宋" w:hAnsi="仿宋" w:eastAsia="仿宋" w:cs="宋体"/>
                <w:b/>
                <w:bCs/>
                <w:color w:val="000000"/>
                <w:sz w:val="20"/>
                <w:szCs w:val="20"/>
              </w:rPr>
              <w:t>一、前端设备及软件</w:t>
            </w:r>
          </w:p>
        </w:tc>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b/>
                <w:bCs/>
                <w:color w:val="000000"/>
                <w:sz w:val="20"/>
                <w:szCs w:val="20"/>
              </w:rPr>
            </w:pPr>
          </w:p>
        </w:tc>
      </w:tr>
      <w:tr>
        <w:tblPrEx>
          <w:tblCellMar>
            <w:top w:w="0" w:type="dxa"/>
            <w:left w:w="108" w:type="dxa"/>
            <w:bottom w:w="0" w:type="dxa"/>
            <w:right w:w="108" w:type="dxa"/>
          </w:tblCellMar>
        </w:tblPrEx>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153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智慧引擎</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 整机要求采用不超过1U高度，方便在机箱内安装部署。</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前面板需提供reset功能按键，在变更使用场景时，可一键还原出厂配置。</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3. 为保证产品性能满足4k高清音视频和数据控制需求，要求CPU主频≥2.4GHz，GPU运行速率≥ 450 GFLOPS，NPU 算力 ≥ 6Tops，Flash Memory≥128G，DDR4≥4G。 </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 HDMI 视频输入接口≥2个，输出接口≥2个，最高支持3840x2160@60Hz；</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 检测到笔记本电脑接入后，信号源自动切换到“笔记本电脑”，无需用户手动切换，快捷方便。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 立体声3.5mm音频输入接口≥1个，3.5mm音频输出接口≥1个，USB 2.0接口≥3个，USB 3.0接口≥1个，USB device接口≥1个。</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 为满足教室内周边设备入网需求，以及未来的扩展性，设备提供千兆自适应网口≥5个，同时为满足接口设备供电需求，其中3个网口需支持PoE供电，1个网口需支持HPoE供电。</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 需提供TypeC 调试接口，在单机故障无法联网时，可直接通过TypeC线直连设备做单机配置。</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 设备具备自我检测功能，可将信息实时上传至管理平台，分析内部各系统模块是否正常，若发现异常情况，可给管理人员提示。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10. 设备支持将USB信号转为网络信号传输（流化编码），同时也支持将网络传输的USB信号还原为原始数据（流化解码），从而大幅降低因长距离USB线导致的信号衰减问题，且更节省部署和运维成本。</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11. 配置多屏调度授权后，可配合小组屏实现大屏和小屏之间的显示画面的任意切换，如大屏显示小组屏画面，或者小组之间任意显示彼此的画面等高级功能，直观呈现教学成果，更好实现分组研讨式授课；多屏调度可支持最多10个小组调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12. 设备提供不低于6TOPS的NPU分析算力，支持对教室的视频画面（包含HDMI输入画面或RTSP流画面）进行AI分析。AI分析需保证持续性，连贯性，分析频度不低于每秒1帧。</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13. 设备支持对基于获取的课堂语音数据进行分析，通过声纹识别技术分析课堂内师生的互动情况，统计课堂内容师生语言占比，智能评估分析课堂教学结构。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14. 设备支持基于获取的课堂视频数据，通过图像识别技术识别课堂内学生的表情，汇总统计各类表情占比，分析课堂情绪起伏。</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15. 设备支持分析课堂内学生的物理行为数据，智能评估学生学习投入度，汇总展示课堂内学生平均投入程度、不同时间段的学生学习投入度的变化趋势。</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数联盒</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1.为保证产品性能满足4K高清音视频解码和1080P音视频编码以及数据控制等需求，CPU主频≥2GHz，Flash Memory≥16G，DDR4≥2G；</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2.要求RS232口≥2个，用于控制外设（如大屏的开关机），需要在硬件端口处有232字样证明</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3.要求RS485口≥2个，用于控制外设（如功放的开关机），需要在硬件端口处有485字样证明</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3.设备提供千兆网口≥1个，支持PoE授电，需要在硬件端口处有POE字样证明</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4.HDMI输入接口≥1个，HDMI输出接口≥2个</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5.USB2.0接口≥1个，USB3.0接口≥1个，USB DEVICE接口≥1个，支持过流保护功能</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6.设备支持将1080P分辨率的HDMI视频信号转为网络信号传输（流化编码），从而大幅降低因长距离部署HDMI信号线导致的信号衰减问题，且更节省部署和运维成本。</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7.设备支持通过网络传输的4K高清视频信号还原成4K高清视频（流化解码），从而大幅降低因长距离部署HDMI信号线导致的信号衰减问题，且更节省部署和运维成本。</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8.设备支持将音频信号转为网络信号传输（流化编码），同时也支持通过将网络传输的音频信号还原成声音播放（流化解码），从而大幅降低因长距离部署音频信号线导致的信号衰减问题，且更节省部署和运维成本。音频输入最高支持96KHz采样，输出最高48KHz采样率。</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9.设备支持将RS232和RS485串口控制信号转为网络信号传输（流化编码），同时也支持通过将网络传输的RS232/485控制信号还原为串口命令（流化解码），从而大幅降低因长距离部署控制信号线导致的信号衰减问题，且更节省部署和运维成本。</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10.设备支持将USB信号转为网络信号传输（流化编码），同时也支持将网络传输的USB信号还原为原始数据（流化解码），从而大幅降低因长距离USB线导致的信号衰减问题，且更节省部署和运维成本。</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3</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控制面板</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 自带多功能触摸屏，不小于4.3寸电容式TFT液晶触摸屏，分辨率不低于480*800。</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设备提供千兆POE授电口≥1个，实现与控制主机间数据通讯，同时支持POE直接供电，免除电源布线的麻烦。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 面板侧面提供USB3.0接口≥2个，双接口间距≥50mm，支持防2.4G无线信号干扰；便于用户拔插U盘和无线翻页笔接收器等外设。</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 内置NFC读卡器，支持刷卡和插卡上下课两种模式。</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 设备底部提供独立USB3.0接口，可连接到控制主机，形成高速数据传输通道。</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 支持上课、下课的场景联动，用户点击"上课"，系统自动开启教室内的教学设备；用户点击“下课”，系统自动关闭教室内的教学设备，智能地为教师提供授课环境，无需老师费心。</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 支持校园卡认证方式，用户可通过刷卡或插卡操作，实现上下课联动功能；</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 支持音量的快捷控制，用户可在面板上完成电脑windows操作系统的音量同步调节，且该效果可与windows上的软件调节结果同步一致。</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 支持一键静音，将教室内部署的扩音麦克风静音(包含但不限于扩音吊麦、阵列麦、鹅颈麦。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10. 支持对投影、大屏的开关机控制。支持对幕布的上升和下降控制。</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rPr>
          <w:trHeight w:val="2333" w:hRule="atLeast"/>
        </w:trPr>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巡录播授权</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 配合摄像头、麦克、和智能控制主机实现视频录制和巡课功能，提供老师录课及学校管理人员督导巡课功能。</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操作界面采用简桌面，一个工具实现所有操作大幅简化老师的操作难度。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 支持实现AI分析功能，包括S-T分析，BERI分析和人体姿态估计。</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textAlignment w:val="auto"/>
              <w:rPr>
                <w:rFonts w:ascii="仿宋" w:hAnsi="仿宋" w:eastAsia="仿宋" w:cs="宋体"/>
                <w:color w:val="000000"/>
                <w:sz w:val="20"/>
                <w:szCs w:val="20"/>
              </w:rPr>
            </w:pPr>
          </w:p>
        </w:tc>
      </w:tr>
      <w:tr>
        <w:tblPrEx>
          <w:tblCellMar>
            <w:top w:w="0" w:type="dxa"/>
            <w:left w:w="108" w:type="dxa"/>
            <w:bottom w:w="0" w:type="dxa"/>
            <w:right w:w="108" w:type="dxa"/>
          </w:tblCellMar>
        </w:tblPrEx>
        <w:trPr>
          <w:trHeight w:val="4434" w:hRule="atLeast"/>
        </w:trPr>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5</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教学授课授权</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支持将微信中的PPT通过授课助手打开后转存至资源库。为提高老师课前准备效率，老师可通过授课助手扫描二维码将资源库中的PPT经过云端服务器快速在大屏下载后打开，并可通过手机遥控PPT翻页，过程中，手机回桌面、来信息、来电等均不影响大屏上正在播放的PPT。</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2.提供Windows授课端安装包（教室电脑/个人电脑均可安装），支持考勤、问答、讨论、挑人、抢答、白板等课堂互动工具，所有课堂互动数据自动留存。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w:t>
            </w:r>
            <w:r>
              <w:rPr>
                <w:rFonts w:ascii="仿宋" w:hAnsi="仿宋" w:eastAsia="仿宋" w:cs="宋体"/>
                <w:color w:val="000000"/>
                <w:sz w:val="20"/>
                <w:szCs w:val="20"/>
              </w:rPr>
              <w:t>.</w:t>
            </w:r>
            <w:r>
              <w:rPr>
                <w:rFonts w:hint="eastAsia" w:ascii="仿宋" w:hAnsi="仿宋" w:eastAsia="仿宋" w:cs="宋体"/>
                <w:color w:val="000000"/>
                <w:sz w:val="20"/>
                <w:szCs w:val="20"/>
              </w:rPr>
              <w:t>师生用户获得高级用户功能：支持单份文件不超过2万字的作业查重。</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6</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多屏互动授权</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1.可实现大屏和小屏之间的显示画面的任意切换，如大屏显示小组屏画面，或者小组之间任意显示彼此的画面等高级功能，直观呈现教学成果，更好实现分组研讨式授课。</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2.支持教师大屏和小组屏多画面对比，最多支持4路对比。</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3.支持自由调度模式，即允许任意小组间画面的自由调度，如1组要参考学习2组的教学结果，可只在1和2组之间进行画面共享/对比等操作，而不影响其他小组的讨论结果。</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7</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智慧教学屏</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1.显示尺寸：86英寸；显示比例16:9，可视角度≥178°，屏幕分辨率：3840×2160，支持4K极清显示</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宋体"/>
                <w:color w:val="000000"/>
                <w:sz w:val="20"/>
                <w:szCs w:val="20"/>
                <w:lang w:eastAsia="zh-CN"/>
              </w:rPr>
            </w:pPr>
            <w:r>
              <w:rPr>
                <w:rFonts w:hint="eastAsia" w:ascii="仿宋" w:hAnsi="仿宋" w:eastAsia="仿宋" w:cs="宋体"/>
                <w:color w:val="000000"/>
                <w:sz w:val="20"/>
                <w:szCs w:val="20"/>
              </w:rPr>
              <w:t>2.触控技术：支持Windows系统中最大20点触控，Android系统中最大16点触控</w:t>
            </w:r>
            <w:r>
              <w:rPr>
                <w:rFonts w:hint="eastAsia" w:ascii="仿宋" w:hAnsi="仿宋" w:eastAsia="仿宋" w:cs="宋体"/>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3.为保证所投产品屏幕可达到和大部分物质摩擦不会产生划痕，要求所投交互式智能平板产品表面硬度达到9H及以上等级</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4.自带扬声器数量≥2个，每个扬声器功率额定功率15W</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5.整机前面板具有手写笔磁吸区域，具备双通道USB接口≥3组，type-C接口≥1组，HDMI in≥2组，RS232≥1组，USB≥1组，Touch USB≥1组，Audio in≥1组，Audio out≥1组</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宋体"/>
                <w:color w:val="000000"/>
                <w:sz w:val="20"/>
                <w:szCs w:val="20"/>
                <w:lang w:eastAsia="zh-CN"/>
              </w:rPr>
            </w:pPr>
            <w:r>
              <w:rPr>
                <w:rFonts w:hint="eastAsia" w:ascii="仿宋" w:hAnsi="仿宋" w:eastAsia="仿宋" w:cs="宋体"/>
                <w:color w:val="000000"/>
                <w:sz w:val="20"/>
                <w:szCs w:val="20"/>
              </w:rPr>
              <w:t>6.整机内置非独立外扩展的摄像头，可拍摄不低于800万像素的照片</w:t>
            </w:r>
            <w:r>
              <w:rPr>
                <w:rFonts w:hint="eastAsia" w:ascii="仿宋" w:hAnsi="仿宋" w:eastAsia="仿宋" w:cs="宋体"/>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宋体"/>
                <w:color w:val="000000"/>
                <w:sz w:val="20"/>
                <w:szCs w:val="20"/>
                <w:lang w:eastAsia="zh-CN"/>
              </w:rPr>
            </w:pPr>
            <w:r>
              <w:rPr>
                <w:rFonts w:hint="eastAsia" w:ascii="仿宋" w:hAnsi="仿宋" w:eastAsia="仿宋" w:cs="宋体"/>
                <w:color w:val="000000"/>
                <w:sz w:val="20"/>
                <w:szCs w:val="20"/>
              </w:rPr>
              <w:t>7.整机内置非独立外扩展的麦克风，可用于一键录屏对音频进行采集</w:t>
            </w:r>
            <w:r>
              <w:rPr>
                <w:rFonts w:hint="eastAsia" w:ascii="仿宋" w:hAnsi="仿宋" w:eastAsia="仿宋" w:cs="宋体"/>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宋体"/>
                <w:color w:val="000000"/>
                <w:sz w:val="20"/>
                <w:szCs w:val="20"/>
                <w:lang w:eastAsia="zh-CN"/>
              </w:rPr>
            </w:pPr>
            <w:r>
              <w:rPr>
                <w:rFonts w:hint="eastAsia" w:ascii="仿宋" w:hAnsi="仿宋" w:eastAsia="仿宋" w:cs="宋体"/>
                <w:color w:val="000000"/>
                <w:sz w:val="20"/>
                <w:szCs w:val="20"/>
              </w:rPr>
              <w:t>8.内置Android系统，系统版本Android8.0或以上，具备3GB运行内存，16GB系统存储空间</w:t>
            </w:r>
            <w:r>
              <w:rPr>
                <w:rFonts w:hint="eastAsia" w:ascii="仿宋" w:hAnsi="仿宋" w:eastAsia="仿宋" w:cs="宋体"/>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宋体"/>
                <w:color w:val="000000"/>
                <w:sz w:val="20"/>
                <w:szCs w:val="20"/>
                <w:lang w:eastAsia="zh-CN"/>
              </w:rPr>
            </w:pPr>
            <w:r>
              <w:rPr>
                <w:rFonts w:hint="eastAsia" w:ascii="仿宋" w:hAnsi="仿宋" w:eastAsia="仿宋" w:cs="宋体"/>
                <w:color w:val="000000"/>
                <w:sz w:val="20"/>
                <w:szCs w:val="20"/>
              </w:rPr>
              <w:t>9.为保障所投设备质量优异，可靠性高，要求所投设备平均故障间隔时间（MTBF）不低于190000小时</w:t>
            </w:r>
            <w:r>
              <w:rPr>
                <w:rFonts w:hint="eastAsia" w:ascii="仿宋" w:hAnsi="仿宋" w:eastAsia="仿宋" w:cs="宋体"/>
                <w:color w:val="000000"/>
                <w:sz w:val="20"/>
                <w:szCs w:val="20"/>
                <w:lang w:eastAsia="zh-CN"/>
              </w:rPr>
              <w:t>。</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lang w:val="en-US" w:eastAsia="zh-CN"/>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8</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OPS电脑</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40"/>
              <w:jc w:val="left"/>
              <w:textAlignment w:val="auto"/>
              <w:rPr>
                <w:rFonts w:hint="eastAsia" w:ascii="仿宋" w:hAnsi="仿宋" w:eastAsia="仿宋" w:cs="宋体"/>
                <w:color w:val="000000"/>
                <w:sz w:val="20"/>
                <w:szCs w:val="20"/>
                <w:lang w:eastAsia="zh-CN"/>
              </w:rPr>
            </w:pPr>
            <w:r>
              <w:rPr>
                <w:rFonts w:hint="eastAsia" w:ascii="仿宋" w:hAnsi="仿宋" w:eastAsia="仿宋" w:cs="宋体"/>
                <w:color w:val="000000"/>
                <w:sz w:val="20"/>
                <w:szCs w:val="20"/>
              </w:rPr>
              <w:t>1.采用OPS-C模块化电脑方案，为保证兼容性，OPS与大屏必须为同一品牌</w:t>
            </w:r>
            <w:r>
              <w:rPr>
                <w:rFonts w:hint="eastAsia" w:ascii="仿宋" w:hAnsi="仿宋" w:eastAsia="仿宋" w:cs="宋体"/>
                <w:color w:val="000000"/>
                <w:sz w:val="20"/>
                <w:szCs w:val="20"/>
                <w:lang w:eastAsia="zh-CN"/>
              </w:rPr>
              <w:t>。</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2.搭载Intel酷睿系列i10代i5 10200H处理器；16GB DDR4运行内存或以上；512GB SSD固态硬盘或以上</w:t>
            </w:r>
            <w:r>
              <w:rPr>
                <w:rFonts w:hint="eastAsia" w:ascii="仿宋" w:hAnsi="仿宋" w:eastAsia="仿宋" w:cs="宋体"/>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after="40"/>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3.至少提供7个USB接口，其中至少4个为USB3.0接口，2个为USB2.0接口，1个Type-C接口，视频输出接口：HDMI≥1个；</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4.支持2.4G/5G双频wifi；</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5.支持4K清晰度高清视频流畅解码播放，支持显示信号输出到4K显示器上；</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6.USB外设全兼容，如USB存储、Ukey、高拍仪、扫描仪等，均可识别兼容；</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7.为防止公共资源的丢失，要求所投设备具备防盗锁功能。</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9</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双屏互动软件</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1、双屏互动教学功能：提供ppt上下页面联动、双屏白板书写、课件双屏同步等功能，为老师授课提供更丰富的双屏互动教学功能。</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0</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小组互动屏幕</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 显示尺寸:65英寸；显示比例16:9；</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物理解析度3840×2160，4K极清；</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 大屏机身提供HDMI输入口≥2组，提供USB TOUCH OUT≥1个，大屏机身提供USB 接口≥1个，机身提供RJ45千兆网口≥1个；</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 触控技术：支持20点红外触控；触摸方式：手指、笔，或其他任何非透明物体；</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 书写面采用钢化AG玻璃，硬度≥莫氏7级，防暴、防滑、防炫光；</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 具备流媒体信号转网络信号传输功能，可将小屏的音视频内容通过以太网络传输，实现多屏调度功能；</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 多屏调度（显示其他屏幕画面时）分辨率达4K，延迟低于250ms，帧率达30fps</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 教师开启小组自由调度权限状态下，能够通过小组屏幕自行发起拉取镜像画面、广播本机画面、对比本机画面和其他镜像画面；</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 自由调度模式下，仅“共享窗口”支持调度，保护小组隐私；教师端展示小组或者学生端展示本组时，支持展示全部窗口画面；</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10. 内置白板软件功能，方便学生在交互智能大屏上书写、讨论；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11. 支持U盘文件播放，包括文档，视频，音频，图片；</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12. 支持截取屏幕画面、支持投屏批注、支持截屏和批注文件的保存和扫码带走为保证硬件兼容性和售后故障快速定位，避免因设备控制故障影响教学，要求智能控制主机及于其强联动的智慧教学屏、小组互动屏为统一品牌；</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1</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移动支架</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1、一款可提供65寸单屏承托，内部收纳管理线材，内置6个电源插口，可移动式的小组屏支架。</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8</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2</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无线投屏软件</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 支持Windows设备、Android设备、iOS设备、Mac设备通过无线方式投射到大屏或投影仪上，方便用户灵活开展移动授课与互动教学。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从源到屏幕的投屏延迟时间不得高于200ms。</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 要求具有防抢占机制，同一时间只允许一个设备连接投屏，不允许其他终端任意抢占。</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 支持不同分辨率的设备的投屏，要求自动检测输入信号的分辨率，最大输入分辨率能够达到1920*1080，输出分辨率能够达到1920*1080，帧率能够达到30fps，为用户提供高清投屏画质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 支持对投屏画面的左右90度旋转操作。</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 要求投屏画面能够根据移动设备屏幕旋转而跟随变化。</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 支持对投屏设备名称的自定义，让用户设计符合自身场景的投屏环境。</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 针对苹果设备，要求无需安装任何APP即支持投屏，支持AirPlay协议，实现苹果设备屏幕镜像到大屏或投影仪。</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 针对Windows设备，要求能够将Windows电脑屏幕镜像到大屏或投影仪，传屏的同时，能够在大屏或投影仪反向触控笔记本电脑。</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10. 为了保证兼容性，投屏软件与智慧教学屏必须同一品牌。</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3</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高清教师跟踪摄像机</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1.传感器类型：CMOS、1/2.8英寸；采用逐行扫描模式，有效像素不低于800万，信噪比≥ 55dB，支持2D / 3D 数字降噪，进一步降低噪声，确保图像清晰度；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2.AF镜头， 焦距f≥8.2mm, 教师机水平视场角≥95°，支持自动对焦，同时支持EPTZ，以不动制动，放得更大，看得更清；</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3.双接口输出，支持3G-SDI接口，有效传输距离最高长达150米（1080p25）。SDI、网络两路可同时输出；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4.可实现单摄像头单SDI接口同时输出全景和特写信号；</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5.支持POC（Power Over Cable）和POE（Power Over Ethernet）一线通功能，电源、视频、音频、控制三线合一；</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6.支持 8倍数字变焦，以保证老师特写的清晰度；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7.支持 H.265 / H.264 / MJPEG 视频压缩，支持AAC/G711A音频压缩；</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8.白平衡支持自动, 室内, 室外, 一键式, 手动，指定色温等多种模式；</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9.提供1路RS485控制接口，2芯凤凰口，最大传输距离1200米，支持VISCA/Pelco-D/Pelco-P协议；</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10.支持多种传输协议，包括并不少于TCP/IP, HTTP, RTSP, RTMP, Onvif, DHCP, 28181, 组播等。</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4</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高清学生跟踪摄像机</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1.传感器类型：CMOS、1/2.8英寸；采用逐行扫描模式，有效像素不低于800万，信噪比≥ 55dB，支持2D / 3D 数字降噪，进一步降低噪声，确保图像清晰度；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2.AF镜头， 焦距f≥8.2mm, 教师机水平视场角≥95°，支持自动对焦，同时支持EPTZ，以不动制动，放得更大，看得更清；</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3.双接口输出，支持3G-SDI接口，有效传输距离最高长达150米（1080p25）。SDI、网络两路可同时输出；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4.可实现单摄像头单SDI接口同时输出全景和特写信号；</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5.支持POC（Power Over Cable）和POE（Power Over Ethernet）一线通功能，电源、视频、音频、控制三线合一；</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6.支持 8倍数字变焦，以保证老师特写的清晰度；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7.支持 H.265 / H.264 / MJPEG 视频压缩，支持AAC/G711A音频压缩；</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8.白平衡支持自动, 室内, 室外, 一键式, 手动，指定色温等多种模式；</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9.提供1路RS485控制接口，2芯凤凰口，最大传输距离1200米，支持VISCA/Pelco-D/Pelco-P协议；</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10.支持多种传输协议，包括并不少于TCP/IP, HTTP, RTSP, RTMP, Onvif, DHCP, 28181, 组播等。</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5</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交换机</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 固化10/100/1000M以太网电口≥8个，1G/2.5G/5G以太网电口≥2个，1G/10G SFP+光接口≥2个；</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交换容量≥432Gbps，包转发率≥84Mpps；</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 尺寸小，支持放入400*300*100的标准弱电箱中部署，保障室内环境的美观；</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 要求所投产品支持POE和POE+远程供电，POE供电功率为125W；</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5.为保证设备在受到外接机械碰撞时能够正常运行，要求所投交换机IK防护测试级别至少达到IK05，提供国家认可的检测机构出具的IK防护等级测试报告并加盖产品厂商公章；</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 要求设备采用静音设计，噪声值＜20dB，要求设备采用金属外壳和金属网口设计；</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lang w:val="en-US" w:eastAsia="zh-CN"/>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6</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无线AP</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1.采用四路双频设计，其中≥2个5GHz射频卡，≥2个2.4GHz或5GHz可调频卡；支持802.11ax标准，可同时工作在802.11ax和802.11a/b/g/n/ac模式；</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2.整机支持≥8条空间流，整机最大接入速率≥4Gbps；</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3.配置≥1个2.5G以太网口、≥1个1G SFP自适应以太网光口，≥1个千兆电口，支持PSE对外供电（12V/2W），≥1个Console口、≥1个USB接口；</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4.内置蓝牙5.0，支持苹果iBeacon协议，可扩展摇一摇等丰富的蓝牙应用，可应用于蓝牙定位应用；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6.整机最大终端接入数≥1550个；</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7.支持终端智能识别，能够识别出iOS、Android等智能移动终端和PC机；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8.支持本地供电，DC 48V/0.6A；</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9.支持防尘防水，防护等级不低于IP51。</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品牌要求锐捷、华为、新华三</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7</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音频处理器</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 xml:space="preserve"> 1.平衡式音频接口，≥8路差分输入；4路单声道Line-IN输入，包括远程音频输入、课件、无线麦；4路平衡输出，包括输出至远程（包含无线麦、吊麦、课件）；录音（包含无线麦、吊麦、课件、远程音频输入）；输出至音箱（包含无线麦、课件、远程音频输入）；</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2.频响范围：20 Hz-20 kHz (+/- 0.5 dB) ；采用工业级嵌入式架构，嵌入式操作系统，保证稳定可靠；</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3.集成自动噪音抑制技术（去除包含空调、排气扇等噪音干扰）保证声音质量</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4.支持软硬件 48V 幻象供电开启关闭；</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5.8路平衡输入可做16段EQ处理；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6.支持智能混音功能（8路平衡输入可任意组合）；</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7.支持 NOMA 功能，可根据开启的 MIC 数量自动调整系统的输出电平，不会因为输入电平的叠加而使系统的输出增益提高，有效地抑制声反馈的形成；</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8.支持语音抗混响功能，避免多路语音互相干扰，突出重要语音信号；支持回声消除功能，无线麦克风、吊麦的混音需要进行AEC处理。</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8</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指向性吊麦</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1.指向性：超心型；频率响应：100Hz~18KHz；灵敏度：40dB±3 dB。</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2.拾音麦类型：电容式拾音器；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3.超心型指向，拾音角度 ≤ 135°；</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4.拾音距离 ≥ 3米；</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5.动态范围：76dB（A）；</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6.信噪比 ≥ 60dB；</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7.支持幻象供电，供电电压 48V；</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8.含支架。</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16</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9</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智能功放</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 提供RS485/232控制接口来实现对设备开关控制和音量的调整；</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输出功率≥80W×2通道；</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 整机要求采用不超过1U高度；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 为保障系统的耐用性，和音频质量，采用D型放大器类型；</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 提供支持话筒反馈抑制，档位级别≥4级；</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 负载阻抗：支持4Ω/8Ω/16Ω；</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 线路信噪比不低于75dB。</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r>
              <w:rPr>
                <w:rFonts w:ascii="仿宋" w:hAnsi="仿宋" w:eastAsia="仿宋" w:cs="宋体"/>
                <w:color w:val="000000"/>
                <w:sz w:val="20"/>
                <w:szCs w:val="20"/>
              </w:rPr>
              <w:t>0</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音箱</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 功率：额定功率不小于80W；</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语言清晰度：STI值≥0.7（面积不小于60m2及体积不超过200m3标准教室，RT60为0.9s条件下）；</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 配置2路三单元全频扬声器；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 频率响应（-3dB）：80Hz-16kHz；</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 平均声压级（1m）：114dB；</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 最大声压级（1m）：120dB(峰值) ；</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 指向性：水平及垂直方向均应不小于140°；</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 灵敏度（1W@1m）：≥88dB；</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9.含音箱支架。</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只</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r>
              <w:rPr>
                <w:rFonts w:ascii="仿宋" w:hAnsi="仿宋" w:eastAsia="仿宋" w:cs="宋体"/>
                <w:color w:val="000000"/>
                <w:sz w:val="20"/>
                <w:szCs w:val="20"/>
              </w:rPr>
              <w:t>1</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研讨室多媒体讲台</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A、产品概述</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 L*W*H（mm）：1000*715*1082（±20mm） ；其中操作台面高度（mm）：850</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钢木结合，主体采用1.0-2.0mm冷轧钢材，保证产品耐固性，棱边圆弧化设计保证安全性；桌面及背面采用18mm高密度纤维板材料，整体更加圆润、大气。</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B、结构设计</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1、上层：分为显示区域和操作台面两部分；倾斜式设计，配置显示器、中控、简易按键等设备；操作台面配置嵌入式键盘，台面边缘处做8mm下陷处理，可防止物品跌落。</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2、下层：三面拆装式，整体外形为喇叭式设计，呼应整体外观，独立隐藏式走线通道。</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3、机柜：独立8U机柜，可根据教室需求选配，接入第三方设备，机柜与下层主体之间用滑块式轨道连接，可整体滑动，机柜内部配置层板均为可滑动式设计。</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4、桌面左侧嵌入21.5寸触摸显示器，嵌入讲桌后无明显缝隙，仰角23°，与教室触摸一体机同步显示及互动；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5、桌面右下立面处，安装笔记本模块，供输入接口：USB3.0 x2、Type-C x1、HDMIx1、网线接口x1；</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6、前侧立面配置两个抽屉，左侧抽屉通过机械锁手动开关，标准1U储物空间；右侧抽屉为电动控制抽屉，专为高附加值的设备提供放置空间，中控控制电子弹簧锁打开抽屉，会自动弹出约20mm，安全便捷；</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7、右侧底部配置旋转式铝合金隐藏式水杯架1套。左侧上方配置可回弹不锈钢挂钩1个。</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8、滑动式机柜，独立8U空间，用于其他设备安装，机柜整体可滑动的距离为225mm，滑动到最内侧时机柜与下层侧板平齐，滑动到最外侧时机柜比上层凸出70mm。</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9、讲桌正面配置独立18mm厚高密度纤维板，可供学校进行LOGO定制。 </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r>
              <w:rPr>
                <w:rFonts w:ascii="仿宋" w:hAnsi="仿宋" w:eastAsia="仿宋" w:cs="宋体"/>
                <w:color w:val="000000"/>
                <w:sz w:val="20"/>
                <w:szCs w:val="20"/>
              </w:rPr>
              <w:t>2</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触控显示器</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r>
              <w:rPr>
                <w:rFonts w:ascii="仿宋" w:hAnsi="仿宋" w:eastAsia="仿宋" w:cs="宋体"/>
                <w:color w:val="000000"/>
                <w:sz w:val="20"/>
                <w:szCs w:val="20"/>
              </w:rPr>
              <w:t>1.5</w:t>
            </w:r>
            <w:r>
              <w:rPr>
                <w:rFonts w:hint="eastAsia" w:ascii="仿宋" w:hAnsi="仿宋" w:eastAsia="仿宋" w:cs="宋体"/>
                <w:color w:val="000000"/>
                <w:sz w:val="20"/>
                <w:szCs w:val="20"/>
              </w:rPr>
              <w:t>寸触控显示器</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ascii="仿宋" w:hAnsi="仿宋" w:eastAsia="仿宋" w:cs="宋体"/>
                <w:color w:val="000000"/>
                <w:sz w:val="20"/>
                <w:szCs w:val="20"/>
              </w:rPr>
              <w:t>4</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lang w:val="en-US" w:eastAsia="zh-CN"/>
              </w:rPr>
              <w:t>品牌要求：</w:t>
            </w:r>
            <w:r>
              <w:rPr>
                <w:rFonts w:hint="eastAsia" w:ascii="仿宋" w:hAnsi="仿宋" w:eastAsia="仿宋" w:cs="宋体"/>
                <w:color w:val="000000"/>
                <w:sz w:val="20"/>
                <w:szCs w:val="20"/>
              </w:rPr>
              <w:t>戴尔、联想、华硕、惠普</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r>
              <w:rPr>
                <w:rFonts w:ascii="仿宋" w:hAnsi="仿宋" w:eastAsia="仿宋" w:cs="宋体"/>
                <w:color w:val="000000"/>
                <w:sz w:val="20"/>
                <w:szCs w:val="20"/>
              </w:rPr>
              <w:t>3</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线材及辅材</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项目所需要的高清线、电源线、音频线、音箱线、话筒线、网线等各类线材及配套的安装辅材。</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ascii="仿宋" w:hAnsi="仿宋" w:eastAsia="仿宋" w:cs="宋体"/>
                <w:color w:val="000000"/>
                <w:sz w:val="20"/>
                <w:szCs w:val="20"/>
              </w:rPr>
              <w:t>24</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教学环境改造适配</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教室内墙面开槽、恢复及墙体全部刷乳胶漆，地面讲台部分开槽越2米，及线材管材暗埋。</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r>
      <w:tr>
        <w:tblPrEx>
          <w:tblCellMar>
            <w:top w:w="0" w:type="dxa"/>
            <w:left w:w="108" w:type="dxa"/>
            <w:bottom w:w="0" w:type="dxa"/>
            <w:right w:w="108" w:type="dxa"/>
          </w:tblCellMar>
        </w:tblPrEx>
        <w:trPr>
          <w:trHeight w:val="90" w:hRule="atLeast"/>
        </w:trPr>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b/>
                <w:bCs/>
                <w:color w:val="000000"/>
                <w:sz w:val="20"/>
                <w:szCs w:val="20"/>
              </w:rPr>
            </w:pPr>
          </w:p>
        </w:tc>
        <w:tc>
          <w:tcPr>
            <w:tcW w:w="883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b/>
                <w:bCs/>
                <w:color w:val="000000"/>
                <w:sz w:val="20"/>
                <w:szCs w:val="20"/>
              </w:rPr>
            </w:pPr>
            <w:r>
              <w:rPr>
                <w:rFonts w:hint="eastAsia" w:ascii="仿宋" w:hAnsi="仿宋" w:eastAsia="仿宋" w:cs="宋体"/>
                <w:b/>
                <w:bCs/>
                <w:color w:val="000000"/>
                <w:sz w:val="20"/>
                <w:szCs w:val="20"/>
              </w:rPr>
              <w:t>二、后台设备及软件</w:t>
            </w:r>
          </w:p>
        </w:tc>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b/>
                <w:bCs/>
                <w:color w:val="000000"/>
                <w:sz w:val="20"/>
                <w:szCs w:val="20"/>
              </w:rPr>
            </w:pPr>
          </w:p>
        </w:tc>
      </w:tr>
      <w:tr>
        <w:tblPrEx>
          <w:tblCellMar>
            <w:top w:w="0" w:type="dxa"/>
            <w:left w:w="108" w:type="dxa"/>
            <w:bottom w:w="0" w:type="dxa"/>
            <w:right w:w="108" w:type="dxa"/>
          </w:tblCellMar>
        </w:tblPrEx>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ascii="仿宋" w:hAnsi="仿宋" w:eastAsia="仿宋" w:cs="宋体"/>
                <w:color w:val="000000"/>
                <w:sz w:val="20"/>
                <w:szCs w:val="20"/>
              </w:rPr>
              <w:t>25</w:t>
            </w:r>
          </w:p>
        </w:tc>
        <w:tc>
          <w:tcPr>
            <w:tcW w:w="153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智慧教室网络优化平台</w:t>
            </w:r>
          </w:p>
        </w:tc>
        <w:tc>
          <w:tcPr>
            <w:tcW w:w="42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 为保证智慧教室网络运行稳定，需要提供网优工具分析智慧教室网络运行情况，网优工具支持设备健康状态、网络覆盖情况、网络关联成功、上网体验情况、网络活跃度、网络饱和度查询功能；</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智慧教室网络优化平台分析出网络问题，支持问题区域、问题AP、问题终端定位功能；</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 网络优化平台支持全网设备体验分析，支持上下线失败次数，终端的平均信号强度、平均丢包率、平均时延参数查询，支持排序方便定位问题；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 网络优化平台支持告警功能，支持个体终端报障追踪，告知终端问题出现原因和出现的地点，提供解决方案建议；告警记录可查，需要保存至少7天的终端问题分析和历史连接记录，包括终端的流量、信噪比、时延、丢包、信道繁忙度、上下行速率、AP连接记录；</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 网络优化平台支持AP带载状态可查功能，支持终端平均在线时长、终端平均流量、忙时在线人数、峰值在线人数、峰值时刻综合评估设备的利用情况，支持排序方便定位问题；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 网络优化平台支持一键优化功能，支持办公室，室外、宿舍、高密会议等常见场景优化方案，为确保整体方案成熟可靠；</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 网络优化平台支持Wi-Fi干扰定位功能，支持对钓鱼Wi-Fi、Wi-Fi攻击行为进行呈现，支持反制功能的配置，支持对钓鱼Wi-Fi名称进行模糊匹配，支持定位到责任人的账号名称、钓鱼Wi-Fi品牌型号；支持显示故障终端的终端MAC、终端类型、首次发次时间、最新发现时间；</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 网络优化平台使用广泛， 应用成熟。网优系统接入 AP 数超过 300 万台；</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 网络优化平台支持Wi-Fi检测APP点位问题分析功能，支持导入平面图进行点位测试，并在图中指出问题区域，包括单点问题和漫游问题区域，并能导出检测结果到微信、QQ等即时通讯软件，方便运维人员之间信息分享。</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ascii="仿宋" w:hAnsi="仿宋" w:eastAsia="仿宋" w:cs="宋体"/>
                <w:color w:val="000000"/>
                <w:sz w:val="20"/>
                <w:szCs w:val="20"/>
              </w:rPr>
              <w:t>26</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智慧教室业务保障平台</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1.支持智慧教室内的AP设备统一由保障平台进行集中管理配置、可以监控设备的运行状态，呈现告警信息。</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2.支持可以快速查看整个网络的在线用户情况；</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3.支持提供多维度的设备管理方式，可以快速查看整个网络的设备总体状态、如设备总数、新增设备数、在线设备数、当前离线设备数等；</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4.可以查看具体下联设备的详情，如设备序列号、MAC地址、型号、软件版本、硬件信息、在线状态、更新时间等信息，并可实时修改更新；</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5.支持设备的批量导入、导出；支持对设备相关性能参数如CPU、内存、硬盘使用率进行跟踪监控；</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6.支持基于指定软件版本、指定单台设备、指定设备分组的设备软件版本升级策略；支持设置软件升级的时间。</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r>
              <w:rPr>
                <w:rFonts w:ascii="仿宋" w:hAnsi="仿宋" w:eastAsia="仿宋" w:cs="宋体"/>
                <w:color w:val="000000"/>
                <w:sz w:val="20"/>
                <w:szCs w:val="20"/>
              </w:rPr>
              <w:t>7</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智慧教室设备管控平台</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 支持在Windows 、MacOS等多种主流操作系统上通过网页浏览器登录。</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批量导入智慧教室显示设备：方便快速添加设备，支持设备分组功能，方便对设备进行分类管理。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 支持对智慧教室显示设备的单独和批量的定时开关机控制。</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 支持实时远程查看学校任意设备的教室画面，支持同时不少于10台设备的巡课监看以及单台设备的大画面监看。</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 支持查看选中设备的屏幕画面、调节设备音量、切换信号源、切换显示模式、切换设备触控开关、切换屏幕的熄屏/亮屏状态。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 支持对设备进行打铃，提供即时打铃、定时打铃以及设置时间策略重复打铃。</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 支持向设备端发布信息，信息类型不少于文字、音频、视频、直播链接。支持设置展示方式和定时发布功能。</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 支持以动态滚动公告的形式远程发送文字通知，支持对播放次数、推送时间策略进行设置。</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 管理平台支持实时监控大屏、智慧黑板等教学信息化设备状态信息。设备信息不少于：开关机状态、开机时长、整机温度、CPU使用率、内存使用率、磁盘使用率、设备IP地址、MAC地址 、客户端版本号。</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10. 支持对局域网中所有显示设备的使用时长、开机设备数量、设备使用率、班级活跃度、设备预警状态等信息在同一界面下进行可视化数据展示。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11. 支持显示设备的异常状态监控和预警。当CPU使用率、内存使用率、磁盘使用率中的一项或多项达到预警值时进行预警，可以展示异常状态的处理进度。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12. 支持对平台的密码修改、添加删除子用户，对子用户进行操作权限的授权管理。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13. 支持对设备进行批量的固件升级。</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14. 支持查看不同管理员对设备的控制操作记录。支持查看和下载设备的运行日志，便于设备出现问题时可以快速定位。</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15. 支持本地部署方案，采用B/S架构设计，可以集中管理局域网中的大屏、智慧黑板等教育信息化设备，监控设备数据。</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c>
          <w:tcPr>
            <w:tcW w:w="6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2</w:t>
            </w:r>
            <w:r>
              <w:rPr>
                <w:rFonts w:ascii="仿宋" w:hAnsi="仿宋" w:eastAsia="仿宋" w:cs="宋体"/>
                <w:color w:val="000000"/>
                <w:sz w:val="20"/>
                <w:szCs w:val="20"/>
              </w:rPr>
              <w:t>8</w:t>
            </w:r>
          </w:p>
        </w:tc>
        <w:tc>
          <w:tcPr>
            <w:tcW w:w="15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智慧教室教学管理平台</w:t>
            </w:r>
          </w:p>
        </w:tc>
        <w:tc>
          <w:tcPr>
            <w:tcW w:w="42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宋体"/>
                <w:color w:val="000000"/>
                <w:sz w:val="20"/>
                <w:szCs w:val="20"/>
              </w:rPr>
            </w:pPr>
            <w:r>
              <w:rPr>
                <w:rFonts w:hint="eastAsia" w:ascii="仿宋" w:hAnsi="仿宋" w:eastAsia="仿宋" w:cs="宋体"/>
                <w:color w:val="000000"/>
                <w:sz w:val="20"/>
                <w:szCs w:val="20"/>
              </w:rPr>
              <w:t>1. 支持对学生作业进行自动查重，系统自动显示学生作业之间的重复度，老师能够清楚了解学生之间的抄袭情况，（最多支持500份作业，每份作业最多20000字）。老师可以设置重复度预警值，超过阈值自动预警；可以设置打回阈值，重复度超过阈值时自动打回，提升老师作业批改效率，支持查重的文档类型：word、ppt、excel、pdf、txt。</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支持自动汇总督导老师对授课教师的评价记录，自动计算所有督导评价的平均分和中位数，自动统计得分分布，以及各得分区间覆盖的课程数量。支持修改评价记录和批量导出。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 支持将督导数据按院系、教师、成绩分布等维度查看评价数据，了解院系排名，得分分布，详细评价记录，评价次数等质量数据，支持按不同成绩区间，查找对应的评价记录。</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 支持老师自定义课程结构，可以按教学周或教学大纲建立教学内容；支持不低于五级目录结构。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 系统自动生成每一次在线讨论的数据统计。包括参与讨论人数，发表评论数量，参与讨论最多的学生，得分最多的学生，未参与讨论的学生。以及每位学生的发表观点数量、回复他人数量、被回复数量、被点赞数量、参与讨论时长、发表观点自动得分、回复他人自动得分、被老师加分分数、总分数。</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 支持多种分组模式：至少包括系统随机分组、学生自由分组、老师指定分组等方式，提高分组效率。老师可以随时对分组进行微调，让分组更加可控、科学。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 支持老师实时查看学生每节课的考勤情况，帮助老师及时了解问题学生，对于累积出勤异常次数多的学生提供预警提示。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 系统自动生成学生在线学习资源的数据统计，包括参与学习人数、完成学习人数、平均学习时长、未完成学习的学生。</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 平台支持自定义预警机制并对学生个体的学习风险发出预警提示，老师可以根据学生成绩排名的波动、学生缺勤次数、作业测验完成情况以及资料学习情况，定位问题学生，针对性指导学生学习。</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10. 支持老师手动创建课程，支持老师在课程里创建多个班级，支持多个老师同时管理一个班级。</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11. 支持老师在教学内容中灵活组织线上活动与课堂活动，实现线上线下活动有机结合，真正实现混合式教学的价值。</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12. 为了让学生利用课下时间按照自己的节奏进行个性化知识学习，支持老师在线上活动中发布在线学习资料。支持以下资源格式：</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 音频和文件格式：wav、mp3、word、ppt、pdf、excel、txt、图片jpg、png、jpeg，其中office需要兼容13后版本。</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 视频：mp4、avi、mov、flv、wmv、rmvb、3gp、mpg、mpeg、mkv、vob、f4v。"</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13. 支持老师在线发布作业，学生可以提交图文作业或者文档附件，作业截止日期后，学生不能再提交作业，以加强学生的时间管理意识，老师可以手动对作业进行延期，以便于应对一些特殊情况，支持老师手动或自动提醒未交学生交作业，老师可以在线批改作业，成绩可以公布给学生，也可以不公布。</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14. 系统自动生成每一次作业的数据统计，包括学生成绩分布、作业提交率、最高分的几个学生和最低分的几个学生。</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15. 支持老师在线发布测验，测验支持设置答题时间限制和任务开始截止的时间区间，学生答题时截止时间到或者限时时间到自动提交；截止时间后，学生无法提交作业，学生可以提交图片文件。</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16. 老师可以手动对测验进行延期，以便应对一些特殊情况。</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17. 测验客观题自动批改，主观题支持批改和点评，测验完成后可以选择性的公布成绩。</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18. 支持老师手动或自动提醒未交学生交测验。</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19. 系统自动生成每一次测验的数据统计，包括学生成绩分布、测验提交率、最高最低分学生以及未交的学生、此次测验成绩标准偏差。</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20. 支持老师使用平台提供的模板，直接导入测验题目，系统自动识别文档中的题目，形成在线测试卷。</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21. 每次测验均支持以测验题目维度和学生维度导出数据。</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22. 老师可以发布富文本给学生，文本消息需要在课程内容结构内，以便于通过这种形式发布学习目标、单元学习要求，或者文本类资源信息。</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23. 支持老师发布在线讨论，支持设置任务开始和截止时间区间。学生可以发表图片和文字发表观点，老师也可以发表图片文字参与讨论。老师能够按照热度顺序或时间顺序对全部发言排序，能够手动置顶观点。</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24. 支持老师开启自动得分功能，老师能够设置学生发表观点后会自动得到该讨论任务的参与分数，以提升老师的教学管理效率，亦能鼓励学生积极参与讨论。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25. 支持老师和学生回复他人的发言，以达到交流观点，碰撞思维的效果。</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26. 支持老师对优秀的发言进行加分或点赞，以对学生进行即时鼓励，也能够提炼出优质观点供所有学生学习。支持学生之间互相点赞。</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27. 老师可查看讨论关键词的词云，可以帮助老师快速了解学生讨论重点，学生思维可视化，提升学生任务参与度。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28. 老师创建的课堂活动可以在授课端打开，并调用里面的讲义和互动。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29. 支持老师在课堂活动中添加讲义PPT、PDF、Word、视频等，可灵活设置是否允许学生查看，可以设置课后查看，即老师讲完以后学生方能查看。</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30. 支持老师在课堂活动中添加提问和讨论等课堂互动，课上可一键发起。</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31. 学生助教：支持添加助教和协同教师，助教和协同教师可以帮助教师管理课程，如发布作业、上传资料、学生分组管理等。</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32. 学生管理支持添学生/导出学生、查找学生和学生展示。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33. 针对不同课程，支持后台添加特定学生，也支持学生扫码自由加课，更好地支持公开课场景。</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34. 支持微信邀请学生加入班级。</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35. 加课管理：教师可以管控学生加课权限，开启后学生可以自由加课，关闭后学生禁止加课。</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36. 课程报告：课后自动生成师生课程报告，课程全过程以及成果有序沉淀，内容包含签到数据、互动过程、互动题目以及答题统计、讨论内容、课件讲义等，老师、学生可以按照实际课程、课节对课程内容进行回顾、复习。</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37. 自动生成加权成绩单，老师可以自定义考勤、课堂活动、作业和测验的权重。自动汇总历次考勤、课堂活动、作业和测验的详细成绩。成绩单支持手动修改总分，支持一键导出，减轻老师手动统计分数的负担。</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38. 教学数据：老师可以查看课程学习任务和学习资源的发布总数，以及课堂活动发起总数。</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39. 教学数据：老师可以直观了解到不同时间段学生线上活动参与度，资源学习参与度和课堂活动参与度，可以和不同时间段、不同院系得参与度进行比对，了解学生学习情况和教学设计对学生的吸引力。</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40. 教学数据：老师可以看到参与次数的变化并且支持按日、周、月呈现参与度的变化。</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41. 教学数据：老师可以按照截止时间顺序查阅每个作业和测验的参与情况和得分情况，并且能够筛选活动只看作业或者只看测验，了解作业测验的设计的有效性。</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42. 教学数据：老师可以以互动发起的时间查阅每个课堂活动的参与情况和正确率情况，并且能够筛选活动只看同一类课堂活动的数据，了解课堂活动设计的有效性。</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43. 教学数据：老师可以以资源允许学生查看时间为准，查阅每个资源的学习人数、学习次数和学习时长，并且能够筛选查看同类型资源的数据，了解资源设计的有效性。</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44. 教学数据：老师可以按不同的时间范围和时间刻度查看学生在线学习次数和学习时长的变化趋势，以便于了解学生的学习情况。</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p>
        </w:tc>
        <w:tc>
          <w:tcPr>
            <w:tcW w:w="1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color w:val="000000"/>
                <w:sz w:val="20"/>
                <w:szCs w:val="20"/>
              </w:rPr>
            </w:pPr>
            <w:r>
              <w:rPr>
                <w:rFonts w:hint="eastAsia" w:ascii="仿宋" w:hAnsi="仿宋" w:eastAsia="仿宋" w:cs="宋体"/>
                <w:color w:val="000000"/>
                <w:sz w:val="20"/>
                <w:szCs w:val="20"/>
              </w:rPr>
              <w:t>品牌要求锐捷、希沃、嗷易云、青鹿</w:t>
            </w:r>
          </w:p>
        </w:tc>
      </w:tr>
      <w:tr>
        <w:tblPrEx>
          <w:tblCellMar>
            <w:top w:w="0" w:type="dxa"/>
            <w:left w:w="108" w:type="dxa"/>
            <w:bottom w:w="0" w:type="dxa"/>
            <w:right w:w="108" w:type="dxa"/>
          </w:tblCellMar>
        </w:tblPrEx>
        <w:trPr>
          <w:trHeight w:val="870" w:hRule="atLeast"/>
        </w:trPr>
        <w:tc>
          <w:tcPr>
            <w:tcW w:w="21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Times New Roman"/>
                <w:sz w:val="20"/>
                <w:szCs w:val="20"/>
                <w:lang w:val="en-US" w:eastAsia="zh-CN"/>
              </w:rPr>
            </w:pPr>
            <w:r>
              <w:rPr>
                <w:rFonts w:hint="eastAsia" w:ascii="仿宋" w:hAnsi="仿宋" w:eastAsia="仿宋" w:cs="Times New Roman"/>
                <w:sz w:val="20"/>
                <w:szCs w:val="20"/>
                <w:lang w:val="en-US" w:eastAsia="zh-CN"/>
              </w:rPr>
              <w:t>合计</w:t>
            </w:r>
          </w:p>
        </w:tc>
        <w:tc>
          <w:tcPr>
            <w:tcW w:w="834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Times New Roman"/>
                <w:sz w:val="20"/>
                <w:szCs w:val="20"/>
                <w:lang w:val="en-US" w:eastAsia="zh-CN"/>
              </w:rPr>
            </w:pPr>
            <w:r>
              <w:rPr>
                <w:rFonts w:hint="eastAsia" w:ascii="仿宋" w:hAnsi="仿宋" w:eastAsia="仿宋" w:cs="Times New Roman"/>
                <w:sz w:val="20"/>
                <w:szCs w:val="20"/>
                <w:lang w:val="en-US" w:eastAsia="zh-CN"/>
              </w:rPr>
              <w:t>小写：</w:t>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Times New Roman"/>
                <w:sz w:val="20"/>
                <w:szCs w:val="20"/>
                <w:lang w:val="en-US" w:eastAsia="zh-CN"/>
              </w:rPr>
            </w:pPr>
            <w:r>
              <w:rPr>
                <w:rFonts w:hint="eastAsia" w:ascii="仿宋" w:hAnsi="仿宋" w:eastAsia="仿宋" w:cs="Times New Roman"/>
                <w:sz w:val="20"/>
                <w:szCs w:val="20"/>
                <w:lang w:val="en-US" w:eastAsia="zh-CN"/>
              </w:rPr>
              <w:t>大写：</w:t>
            </w:r>
          </w:p>
        </w:tc>
      </w:tr>
    </w:tbl>
    <w:p>
      <w:pPr>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w:t>
      </w:r>
    </w:p>
    <w:p>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参与人所投内容需要提供品牌等真实详细信息，禁止复制采购人所提供的参考参数。</w:t>
      </w:r>
    </w:p>
    <w:p>
      <w:pPr>
        <w:numPr>
          <w:ilvl w:val="0"/>
          <w:numId w:val="6"/>
        </w:numPr>
        <w:spacing w:after="0" w:line="440" w:lineRule="exact"/>
      </w:pPr>
      <w:r>
        <w:rPr>
          <w:rFonts w:hint="eastAsia" w:ascii="仿宋" w:hAnsi="仿宋" w:eastAsia="仿宋"/>
          <w:bCs/>
          <w:color w:val="000000" w:themeColor="text1"/>
          <w:sz w:val="24"/>
          <w:szCs w:val="24"/>
          <w14:textFill>
            <w14:solidFill>
              <w14:schemeClr w14:val="tx1"/>
            </w14:solidFill>
          </w14:textFill>
        </w:rPr>
        <w:t>参与人所投内容报价应包含税费、运输费、搬运费、整体实施、安装调试费、售后服务等一切费用</w:t>
      </w: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pPr>
    </w:p>
    <w:p>
      <w:pPr>
        <w:numPr>
          <w:ilvl w:val="0"/>
          <w:numId w:val="0"/>
        </w:numPr>
        <w:spacing w:after="0" w:line="440" w:lineRule="exact"/>
        <w:jc w:val="both"/>
        <w:rPr>
          <w:rFonts w:hint="eastAsia" w:ascii="仿宋" w:hAnsi="仿宋" w:eastAsia="仿宋"/>
          <w:bCs/>
          <w:color w:val="000000" w:themeColor="text1"/>
          <w:sz w:val="24"/>
          <w:szCs w:val="24"/>
          <w14:textFill>
            <w14:solidFill>
              <w14:schemeClr w14:val="tx1"/>
            </w14:solidFill>
          </w14:textFill>
        </w:rPr>
        <w:sectPr>
          <w:headerReference r:id="rId6" w:type="first"/>
          <w:headerReference r:id="rId5" w:type="default"/>
          <w:pgSz w:w="11906" w:h="16838"/>
          <w:pgMar w:top="1610" w:right="1416" w:bottom="1440" w:left="1134" w:header="850" w:footer="227" w:gutter="0"/>
          <w:cols w:space="425" w:num="1"/>
          <w:titlePg/>
          <w:docGrid w:type="lines" w:linePitch="312" w:charSpace="0"/>
        </w:sectPr>
      </w:pPr>
    </w:p>
    <w:p>
      <w:pPr>
        <w:spacing w:line="240" w:lineRule="auto"/>
        <w:jc w:val="both"/>
        <w:rPr>
          <w:rFonts w:ascii="仿宋" w:hAnsi="仿宋" w:eastAsia="仿宋"/>
          <w:b/>
          <w:color w:val="000000" w:themeColor="text1"/>
          <w:sz w:val="40"/>
          <w:szCs w:val="40"/>
          <w14:textFill>
            <w14:solidFill>
              <w14:schemeClr w14:val="tx1"/>
            </w14:solidFill>
          </w14:textFill>
        </w:rPr>
      </w:pPr>
    </w:p>
    <w:p>
      <w:pPr>
        <w:spacing w:line="240" w:lineRule="auto"/>
        <w:jc w:val="both"/>
        <w:rPr>
          <w:rFonts w:ascii="仿宋" w:hAnsi="仿宋" w:eastAsia="仿宋"/>
          <w:b/>
          <w:color w:val="000000" w:themeColor="text1"/>
          <w:sz w:val="40"/>
          <w:szCs w:val="40"/>
          <w14:textFill>
            <w14:solidFill>
              <w14:schemeClr w14:val="tx1"/>
            </w14:solidFill>
          </w14:textFill>
        </w:rPr>
      </w:pPr>
    </w:p>
    <w:p>
      <w:pPr>
        <w:spacing w:line="580" w:lineRule="exact"/>
        <w:jc w:val="center"/>
        <w:rPr>
          <w:rFonts w:ascii="仿宋" w:hAnsi="仿宋" w:eastAsia="仿宋"/>
          <w:b/>
          <w:color w:val="000000" w:themeColor="text1"/>
          <w:sz w:val="40"/>
          <w:szCs w:val="40"/>
          <w14:textFill>
            <w14:solidFill>
              <w14:schemeClr w14:val="tx1"/>
            </w14:solidFill>
          </w14:textFill>
        </w:rPr>
      </w:pPr>
      <w:r>
        <w:rPr>
          <w:rFonts w:hint="eastAsia" w:ascii="仿宋" w:hAnsi="仿宋" w:eastAsia="仿宋"/>
          <w:b/>
          <w:color w:val="000000" w:themeColor="text1"/>
          <w:sz w:val="40"/>
          <w:szCs w:val="40"/>
          <w14:textFill>
            <w14:solidFill>
              <w14:schemeClr w14:val="tx1"/>
            </w14:solidFill>
          </w14:textFill>
        </w:rPr>
        <w:t>重庆外语外事学</w:t>
      </w:r>
      <w:r>
        <w:rPr>
          <w:rFonts w:hint="default" w:ascii="仿宋" w:hAnsi="仿宋" w:eastAsia="仿宋"/>
          <w:b/>
          <w:color w:val="000000" w:themeColor="text1"/>
          <w:sz w:val="40"/>
          <w:szCs w:val="40"/>
          <w:lang w:val="en-US"/>
          <w14:textFill>
            <w14:solidFill>
              <w14:schemeClr w14:val="tx1"/>
            </w14:solidFill>
          </w14:textFill>
        </w:rPr>
        <w:drawing>
          <wp:anchor distT="0" distB="0" distL="114300" distR="114300" simplePos="0" relativeHeight="251660288" behindDoc="0" locked="0" layoutInCell="1" allowOverlap="1">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Pr>
          <w:rFonts w:hint="eastAsia" w:ascii="仿宋" w:hAnsi="仿宋" w:eastAsia="仿宋"/>
          <w:b/>
          <w:color w:val="000000" w:themeColor="text1"/>
          <w:sz w:val="40"/>
          <w:szCs w:val="40"/>
          <w:lang w:val="en-US" w:eastAsia="zh-CN"/>
          <w14:textFill>
            <w14:solidFill>
              <w14:schemeClr w14:val="tx1"/>
            </w14:solidFill>
          </w14:textFill>
        </w:rPr>
        <w:t>智慧教室设备采购及安装</w:t>
      </w:r>
      <w:r>
        <w:rPr>
          <w:rFonts w:hint="eastAsia" w:ascii="仿宋" w:hAnsi="仿宋" w:eastAsia="仿宋"/>
          <w:b/>
          <w:color w:val="000000" w:themeColor="text1"/>
          <w:sz w:val="40"/>
          <w:szCs w:val="40"/>
          <w14:textFill>
            <w14:solidFill>
              <w14:schemeClr w14:val="tx1"/>
            </w14:solidFill>
          </w14:textFill>
        </w:rPr>
        <w:t>项目</w:t>
      </w:r>
    </w:p>
    <w:p>
      <w:pPr>
        <w:pStyle w:val="3"/>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656" w:firstLineChars="945"/>
        <w:rPr>
          <w:rFonts w:ascii="仿宋" w:hAnsi="仿宋" w:eastAsia="仿宋"/>
          <w:b/>
          <w:color w:val="FF0000"/>
          <w:sz w:val="28"/>
          <w:szCs w:val="28"/>
        </w:rPr>
      </w:pPr>
      <w:r>
        <w:rPr>
          <w:rFonts w:hint="eastAsia" w:ascii="仿宋" w:hAnsi="仿宋" w:eastAsia="仿宋"/>
          <w:b/>
          <w:sz w:val="28"/>
          <w:szCs w:val="28"/>
        </w:rPr>
        <w:t>参与人名称（公司全称）：</w:t>
      </w:r>
      <w:r>
        <w:rPr>
          <w:rFonts w:hint="eastAsia" w:ascii="仿宋" w:hAnsi="仿宋" w:eastAsia="仿宋"/>
          <w:b/>
          <w:color w:val="FF0000"/>
          <w:sz w:val="28"/>
          <w:szCs w:val="28"/>
        </w:rPr>
        <w:t>XXXX</w:t>
      </w:r>
    </w:p>
    <w:p>
      <w:pPr>
        <w:spacing w:line="500" w:lineRule="exact"/>
        <w:ind w:firstLine="2656" w:firstLineChars="945"/>
        <w:rPr>
          <w:rFonts w:ascii="仿宋" w:hAnsi="仿宋" w:eastAsia="仿宋"/>
          <w:b/>
          <w:color w:val="FF0000"/>
          <w:sz w:val="28"/>
          <w:szCs w:val="28"/>
        </w:rPr>
      </w:pPr>
      <w:r>
        <w:rPr>
          <w:rFonts w:hint="eastAsia" w:ascii="仿宋" w:hAnsi="仿宋" w:eastAsia="仿宋"/>
          <w:b/>
          <w:sz w:val="28"/>
          <w:szCs w:val="28"/>
        </w:rPr>
        <w:t>参与人授权代表：</w:t>
      </w:r>
      <w:r>
        <w:rPr>
          <w:rFonts w:hint="eastAsia" w:ascii="仿宋" w:hAnsi="仿宋" w:eastAsia="仿宋"/>
          <w:b/>
          <w:color w:val="FF0000"/>
          <w:sz w:val="28"/>
          <w:szCs w:val="28"/>
        </w:rPr>
        <w:t>XXXX</w:t>
      </w:r>
    </w:p>
    <w:p>
      <w:pPr>
        <w:rPr>
          <w:rFonts w:ascii="仿宋" w:hAnsi="仿宋" w:eastAsia="仿宋"/>
          <w:b/>
          <w:bCs/>
          <w:sz w:val="30"/>
          <w:szCs w:val="30"/>
        </w:rPr>
      </w:pPr>
    </w:p>
    <w:p>
      <w:pPr>
        <w:pStyle w:val="3"/>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pStyle w:val="3"/>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outlineLvl w:val="1"/>
        <w:rPr>
          <w:rFonts w:ascii="仿宋" w:hAnsi="仿宋" w:eastAsia="仿宋"/>
          <w:b/>
          <w:bCs/>
          <w:color w:val="000000" w:themeColor="text1"/>
          <w:sz w:val="28"/>
          <w:szCs w:val="28"/>
          <w14:textFill>
            <w14:solidFill>
              <w14:schemeClr w14:val="tx1"/>
            </w14:solidFill>
          </w14:textFill>
        </w:rPr>
      </w:pPr>
      <w:bookmarkStart w:id="50" w:name="_Toc182372782"/>
      <w:bookmarkStart w:id="51" w:name="_Toc192996338"/>
      <w:bookmarkStart w:id="52" w:name="_Toc180302913"/>
      <w:bookmarkStart w:id="53" w:name="_Toc170798793"/>
      <w:bookmarkStart w:id="54" w:name="_Toc267059919"/>
      <w:bookmarkStart w:id="55" w:name="_Toc213208766"/>
      <w:bookmarkStart w:id="56" w:name="_Toc191802690"/>
      <w:bookmarkStart w:id="57" w:name="_Toc211917116"/>
      <w:bookmarkStart w:id="58" w:name="_Toc235437991"/>
      <w:bookmarkStart w:id="59" w:name="_Toc213756051"/>
      <w:bookmarkStart w:id="60" w:name="_Toc251613829"/>
      <w:bookmarkStart w:id="61" w:name="_Toc213755995"/>
      <w:bookmarkStart w:id="62" w:name="_Toc273178698"/>
      <w:bookmarkStart w:id="63" w:name="_Toc193160448"/>
      <w:bookmarkStart w:id="64" w:name="_Toc225669322"/>
      <w:bookmarkStart w:id="65" w:name="_Toc236021449"/>
      <w:bookmarkStart w:id="66" w:name="_Toc192663686"/>
      <w:bookmarkStart w:id="67" w:name="_Toc219800243"/>
      <w:bookmarkStart w:id="68" w:name="_Toc192664153"/>
      <w:bookmarkStart w:id="69" w:name="_Toc160880160"/>
      <w:bookmarkStart w:id="70" w:name="_Toc193165734"/>
      <w:bookmarkStart w:id="71" w:name="_Toc254790899"/>
      <w:bookmarkStart w:id="72" w:name="_Toc191783222"/>
      <w:bookmarkStart w:id="73" w:name="_Toc230071147"/>
      <w:bookmarkStart w:id="74" w:name="_Toc192996446"/>
      <w:bookmarkStart w:id="75" w:name="_Toc267059030"/>
      <w:bookmarkStart w:id="76" w:name="_Toc181436461"/>
      <w:bookmarkStart w:id="77" w:name="_Toc251586231"/>
      <w:bookmarkStart w:id="78" w:name="_Toc169332838"/>
      <w:bookmarkStart w:id="79" w:name="_Toc181436565"/>
      <w:bookmarkStart w:id="80" w:name="_Toc232302115"/>
      <w:bookmarkStart w:id="81" w:name="_Toc160880529"/>
      <w:bookmarkStart w:id="82" w:name="_Toc213755858"/>
      <w:bookmarkStart w:id="83" w:name="_Toc227058530"/>
      <w:bookmarkStart w:id="84" w:name="_Toc266870432"/>
      <w:bookmarkStart w:id="85" w:name="_Toc213755939"/>
      <w:bookmarkStart w:id="86" w:name="_Toc267059806"/>
      <w:bookmarkStart w:id="87" w:name="_Toc259692740"/>
      <w:bookmarkStart w:id="88" w:name="_Toc249325711"/>
      <w:bookmarkStart w:id="89" w:name="_Toc177985469"/>
      <w:bookmarkStart w:id="90" w:name="_Toc169332949"/>
      <w:bookmarkStart w:id="91" w:name="_Toc191789329"/>
      <w:bookmarkStart w:id="92" w:name="_Toc192663835"/>
      <w:bookmarkStart w:id="93" w:name="_Toc235438274"/>
      <w:bookmarkStart w:id="94" w:name="_Toc203355733"/>
      <w:bookmarkStart w:id="95" w:name="_Toc267060321"/>
      <w:bookmarkStart w:id="96" w:name="_Toc266870833"/>
      <w:bookmarkStart w:id="97" w:name="_Toc267060208"/>
      <w:bookmarkStart w:id="98" w:name="_Toc217891402"/>
      <w:bookmarkStart w:id="99" w:name="_Toc259692647"/>
      <w:bookmarkStart w:id="100" w:name="_Toc266868937"/>
      <w:bookmarkStart w:id="101" w:name="_Toc258401256"/>
      <w:bookmarkStart w:id="102" w:name="_Toc266868670"/>
      <w:bookmarkStart w:id="103" w:name="_Toc267060453"/>
      <w:bookmarkStart w:id="104" w:name="_Toc223146608"/>
      <w:bookmarkStart w:id="105" w:name="_Toc266870907"/>
      <w:bookmarkStart w:id="106" w:name="_Toc235438344"/>
      <w:bookmarkStart w:id="107" w:name="_Toc267059181"/>
      <w:bookmarkStart w:id="108" w:name="_Toc255975007"/>
      <w:bookmarkStart w:id="109" w:name="_Toc267060068"/>
      <w:bookmarkStart w:id="110" w:name="_Toc267059539"/>
      <w:bookmarkStart w:id="111" w:name="_Toc182805217"/>
      <w:bookmarkStart w:id="112" w:name="_Toc267059653"/>
      <w:bookmarkStart w:id="113" w:name="_Toc191803626"/>
      <w:bookmarkStart w:id="114" w:name="_Toc253066614"/>
      <w:bookmarkStart w:id="115" w:name="_Toc259520865"/>
    </w:p>
    <w:p>
      <w:pPr>
        <w:jc w:val="center"/>
        <w:outlineLvl w:val="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致：重庆外语外事学院</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根据贵学校编号为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项目名称为</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的公开询价邀请，本签字代表</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（全名、职务）正式授权并代表我方</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（参与人公司名称）提交下述文件。</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 报价一览表</w:t>
      </w:r>
    </w:p>
    <w:p>
      <w:pPr>
        <w:spacing w:after="0" w:line="480" w:lineRule="exact"/>
        <w:ind w:firstLine="364" w:firstLineChars="152"/>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参与人资质证明</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据此函，签字代表宣布同意如下：</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，即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（中文表述），交货期为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天</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参与人（公司全称并加盖公章）：</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参与人授权代表签字： </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话：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14:textFill>
            <w14:solidFill>
              <w14:schemeClr w14:val="tx1"/>
            </w14:solidFill>
          </w14:textFill>
        </w:rPr>
        <w:t>（手机号码）</w:t>
      </w:r>
    </w:p>
    <w:p>
      <w:pPr>
        <w:pStyle w:val="59"/>
        <w:spacing w:line="480" w:lineRule="exact"/>
        <w:ind w:firstLine="480" w:firstLineChars="200"/>
        <w:jc w:val="left"/>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日  期：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年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月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pPr>
        <w:rPr>
          <w:rFonts w:ascii="仿宋" w:hAnsi="仿宋" w:eastAsia="仿宋" w:cs="Times New Roman"/>
          <w:color w:val="000000" w:themeColor="text1"/>
          <w:kern w:val="2"/>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、报价一览表</w:t>
      </w:r>
    </w:p>
    <w:p>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w:t>
      </w:r>
      <w:r>
        <w:rPr>
          <w:rFonts w:hint="eastAsia" w:ascii="仿宋" w:hAnsi="仿宋" w:eastAsia="仿宋"/>
          <w:color w:val="000000" w:themeColor="text1"/>
          <w:sz w:val="24"/>
          <w:szCs w:val="24"/>
          <w:lang w:val="zh-CN"/>
          <w14:textFill>
            <w14:solidFill>
              <w14:schemeClr w14:val="tx1"/>
            </w14:solidFill>
          </w14:textFill>
        </w:rPr>
        <w:t>（公司全称并加盖公章）</w:t>
      </w:r>
      <w:r>
        <w:rPr>
          <w:rFonts w:hint="eastAsia" w:ascii="仿宋" w:hAnsi="仿宋" w:eastAsia="仿宋"/>
          <w:color w:val="000000" w:themeColor="text1"/>
          <w:sz w:val="24"/>
          <w:szCs w:val="24"/>
          <w14:textFill>
            <w14:solidFill>
              <w14:schemeClr w14:val="tx1"/>
            </w14:solidFill>
          </w14:textFill>
        </w:rPr>
        <w:t xml:space="preserve">                   项目编号：</w:t>
      </w:r>
    </w:p>
    <w:p>
      <w:pPr>
        <w:spacing w:line="380" w:lineRule="exact"/>
        <w:ind w:left="147" w:leftChars="67"/>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货币单位：</w:t>
      </w:r>
    </w:p>
    <w:p>
      <w:pPr>
        <w:spacing w:line="380" w:lineRule="exact"/>
        <w:ind w:left="147" w:leftChars="67"/>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b/>
          <w:bCs/>
          <w:color w:val="000000" w:themeColor="text1"/>
          <w:sz w:val="24"/>
          <w:szCs w:val="24"/>
          <w:lang w:val="en-US" w:eastAsia="zh-CN"/>
          <w14:textFill>
            <w14:solidFill>
              <w14:schemeClr w14:val="tx1"/>
            </w14:solidFill>
          </w14:textFill>
        </w:rPr>
        <w:t xml:space="preserve"> 按顺序报价</w:t>
      </w:r>
    </w:p>
    <w:p>
      <w:pPr>
        <w:spacing w:after="0" w:line="240"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注：1.如果按单价计算的结果与总价不一致,以单价为准修正总价。</w:t>
      </w:r>
    </w:p>
    <w:p>
      <w:pPr>
        <w:spacing w:after="0" w:line="240" w:lineRule="auto"/>
        <w:ind w:left="147" w:leftChars="67"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2.如果不提供详细参数和报价将视为没有实质性响应</w:t>
      </w:r>
      <w:r>
        <w:rPr>
          <w:rFonts w:hint="eastAsia" w:ascii="仿宋" w:hAnsi="仿宋" w:eastAsia="仿宋"/>
          <w:color w:val="000000" w:themeColor="text1"/>
          <w:sz w:val="24"/>
          <w:szCs w:val="24"/>
          <w14:textFill>
            <w14:solidFill>
              <w14:schemeClr w14:val="tx1"/>
            </w14:solidFill>
          </w14:textFill>
        </w:rPr>
        <w:t>公开询价</w:t>
      </w:r>
      <w:r>
        <w:rPr>
          <w:rFonts w:ascii="仿宋" w:hAnsi="仿宋" w:eastAsia="仿宋"/>
          <w:color w:val="000000" w:themeColor="text1"/>
          <w:sz w:val="24"/>
          <w:szCs w:val="24"/>
          <w14:textFill>
            <w14:solidFill>
              <w14:schemeClr w14:val="tx1"/>
            </w14:solidFill>
          </w14:textFill>
        </w:rPr>
        <w:t>文件。</w:t>
      </w:r>
    </w:p>
    <w:p>
      <w:pPr>
        <w:spacing w:after="0" w:line="240" w:lineRule="auto"/>
        <w:ind w:right="1440"/>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参与人授权代表</w:t>
      </w:r>
      <w:r>
        <w:rPr>
          <w:rFonts w:ascii="仿宋" w:hAnsi="仿宋" w:eastAsia="仿宋"/>
          <w:color w:val="000000" w:themeColor="text1"/>
          <w:sz w:val="24"/>
          <w:szCs w:val="24"/>
          <w:lang w:val="zh-CN"/>
          <w14:textFill>
            <w14:solidFill>
              <w14:schemeClr w14:val="tx1"/>
            </w14:solidFill>
          </w14:textFill>
        </w:rPr>
        <w:t>（签字</w:t>
      </w:r>
      <w:r>
        <w:rPr>
          <w:rFonts w:hint="eastAsia" w:ascii="仿宋" w:hAnsi="仿宋" w:eastAsia="仿宋"/>
          <w:color w:val="000000" w:themeColor="text1"/>
          <w:sz w:val="24"/>
          <w:szCs w:val="24"/>
          <w:lang w:val="zh-CN"/>
          <w14:textFill>
            <w14:solidFill>
              <w14:schemeClr w14:val="tx1"/>
            </w14:solidFill>
          </w14:textFill>
        </w:rPr>
        <w:t>或盖章</w:t>
      </w:r>
      <w:r>
        <w:rPr>
          <w:rFonts w:ascii="仿宋" w:hAnsi="仿宋" w:eastAsia="仿宋"/>
          <w:color w:val="000000" w:themeColor="text1"/>
          <w:sz w:val="24"/>
          <w:szCs w:val="24"/>
          <w:lang w:val="zh-CN"/>
          <w14:textFill>
            <w14:solidFill>
              <w14:schemeClr w14:val="tx1"/>
            </w14:solidFill>
          </w14:textFill>
        </w:rPr>
        <w:t>）：</w:t>
      </w:r>
    </w:p>
    <w:p>
      <w:pPr>
        <w:spacing w:after="0" w:line="240" w:lineRule="auto"/>
        <w:ind w:right="1406"/>
        <w:jc w:val="right"/>
        <w:rPr>
          <w:rFonts w:ascii="仿宋" w:hAnsi="仿宋" w:eastAsia="仿宋"/>
          <w:color w:val="000000" w:themeColor="text1"/>
          <w:sz w:val="24"/>
          <w:szCs w:val="24"/>
          <w:lang w:val="zh-CN"/>
          <w14:textFill>
            <w14:solidFill>
              <w14:schemeClr w14:val="tx1"/>
            </w14:solidFill>
          </w14:textFill>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 w:val="24"/>
          <w:szCs w:val="24"/>
          <w:lang w:val="zh-CN"/>
          <w14:textFill>
            <w14:solidFill>
              <w14:schemeClr w14:val="tx1"/>
            </w14:solidFill>
          </w14:textFill>
        </w:rPr>
        <w:t xml:space="preserve">日 </w:t>
      </w:r>
      <w:r>
        <w:rPr>
          <w:rFonts w:ascii="仿宋" w:hAnsi="仿宋" w:eastAsia="仿宋"/>
          <w:color w:val="000000" w:themeColor="text1"/>
          <w:sz w:val="24"/>
          <w:szCs w:val="24"/>
          <w:lang w:val="zh-CN"/>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期：</w:t>
      </w:r>
      <w:bookmarkStart w:id="116" w:name="_Toc160880534"/>
      <w:bookmarkStart w:id="117" w:name="_Toc169332843"/>
      <w:bookmarkStart w:id="118" w:name="_Toc267059186"/>
      <w:bookmarkStart w:id="119" w:name="_Toc191789334"/>
      <w:bookmarkStart w:id="120" w:name="_Toc169332954"/>
      <w:bookmarkStart w:id="121" w:name="_Toc192996451"/>
      <w:bookmarkStart w:id="122" w:name="_Toc266870916"/>
      <w:bookmarkStart w:id="123" w:name="_Toc266868679"/>
      <w:bookmarkStart w:id="124" w:name="_Toc267059544"/>
      <w:bookmarkStart w:id="125" w:name="_Toc177985474"/>
      <w:bookmarkStart w:id="126" w:name="_Toc266870839"/>
      <w:bookmarkStart w:id="127" w:name="_Toc203355738"/>
      <w:bookmarkStart w:id="128" w:name="_Toc267060216"/>
      <w:bookmarkStart w:id="129" w:name="_Toc213756001"/>
      <w:bookmarkStart w:id="130" w:name="_Toc182805222"/>
      <w:bookmarkStart w:id="131" w:name="_Toc192996343"/>
      <w:bookmarkStart w:id="132" w:name="_Toc227058536"/>
      <w:bookmarkStart w:id="133" w:name="_Toc223146614"/>
      <w:bookmarkStart w:id="134" w:name="_Toc255975016"/>
      <w:bookmarkStart w:id="135" w:name="_Toc251613839"/>
      <w:bookmarkStart w:id="136" w:name="_Toc182372787"/>
      <w:bookmarkStart w:id="137" w:name="_Toc253066624"/>
      <w:bookmarkStart w:id="138" w:name="_Toc170798798"/>
      <w:bookmarkStart w:id="139" w:name="_Toc251586241"/>
      <w:bookmarkStart w:id="140" w:name="_Toc217891408"/>
      <w:bookmarkStart w:id="141" w:name="_Toc191783227"/>
      <w:bookmarkStart w:id="142" w:name="_Toc213755864"/>
      <w:bookmarkStart w:id="143" w:name="_Toc213755945"/>
      <w:bookmarkStart w:id="144" w:name="_Toc235438352"/>
      <w:bookmarkStart w:id="145" w:name="_Toc267060326"/>
      <w:bookmarkStart w:id="146" w:name="_Toc249325720"/>
      <w:bookmarkStart w:id="147" w:name="_Toc181436466"/>
      <w:bookmarkStart w:id="148" w:name="_Toc180302918"/>
      <w:bookmarkStart w:id="149" w:name="_Toc259520874"/>
      <w:bookmarkStart w:id="150" w:name="_Toc254790909"/>
      <w:bookmarkStart w:id="151" w:name="_Toc273178703"/>
      <w:bookmarkStart w:id="152" w:name="_Toc259692656"/>
      <w:bookmarkStart w:id="153" w:name="_Toc267060076"/>
      <w:bookmarkStart w:id="154" w:name="_Toc267059811"/>
      <w:bookmarkStart w:id="155" w:name="_Toc213756057"/>
      <w:bookmarkStart w:id="156" w:name="_Toc192663691"/>
      <w:bookmarkStart w:id="157" w:name="_Toc258401265"/>
      <w:bookmarkStart w:id="158" w:name="_Toc267059924"/>
      <w:bookmarkStart w:id="159" w:name="_Toc266870441"/>
      <w:bookmarkStart w:id="160" w:name="_Toc192663840"/>
      <w:bookmarkStart w:id="161" w:name="_Toc230071153"/>
      <w:bookmarkStart w:id="162" w:name="_Toc219800249"/>
      <w:bookmarkStart w:id="163" w:name="_Toc225669328"/>
      <w:bookmarkStart w:id="164" w:name="_Toc259692749"/>
      <w:bookmarkStart w:id="165" w:name="_Toc193160453"/>
      <w:bookmarkStart w:id="166" w:name="_Toc192664158"/>
      <w:bookmarkStart w:id="167" w:name="_Toc235437998"/>
      <w:bookmarkStart w:id="168" w:name="_Toc266868943"/>
      <w:bookmarkStart w:id="169" w:name="_Toc181436570"/>
      <w:bookmarkStart w:id="170" w:name="_Toc211917121"/>
      <w:bookmarkStart w:id="171" w:name="_Toc213208771"/>
      <w:bookmarkStart w:id="172" w:name="_Toc267059035"/>
      <w:bookmarkStart w:id="173" w:name="_Toc193165739"/>
      <w:bookmarkStart w:id="174" w:name="_Toc236021457"/>
      <w:bookmarkStart w:id="175" w:name="_Toc160880165"/>
      <w:bookmarkStart w:id="176" w:name="_Toc235438281"/>
      <w:bookmarkStart w:id="177" w:name="_Toc267059658"/>
      <w:bookmarkStart w:id="178" w:name="_Toc191803631"/>
      <w:bookmarkStart w:id="179" w:name="_Toc267060461"/>
      <w:bookmarkStart w:id="180" w:name="_Toc191802695"/>
      <w:bookmarkStart w:id="181" w:name="_Toc232302122"/>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color w:val="000000" w:themeColor="text1"/>
          <w:sz w:val="28"/>
          <w:szCs w:val="28"/>
          <w14:textFill>
            <w14:solidFill>
              <w14:schemeClr w14:val="tx1"/>
            </w14:solidFill>
          </w14:textFill>
        </w:rPr>
        <w:t>参与人资质材料</w:t>
      </w:r>
    </w:p>
    <w:p>
      <w:p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参与人需要提供以下材料：</w:t>
      </w:r>
    </w:p>
    <w:p>
      <w:pPr>
        <w:pStyle w:val="57"/>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营业执照复印件</w:t>
      </w:r>
    </w:p>
    <w:p>
      <w:pPr>
        <w:pStyle w:val="57"/>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授权经销商或代理商证明材料复印件</w:t>
      </w:r>
    </w:p>
    <w:p>
      <w:pPr>
        <w:pStyle w:val="57"/>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质保期和售后服务承诺书（参与人自行起草）</w:t>
      </w:r>
    </w:p>
    <w:p>
      <w:pPr>
        <w:pStyle w:val="57"/>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项目业绩证明</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以上材料复印件须加盖参与人公司公章，并与报价一览表一同密封</w:t>
      </w: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altName w:val="Bahnschrift Ligh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199261"/>
      <w:docPartObj>
        <w:docPartGallery w:val="autotext"/>
      </w:docPartObj>
    </w:sdtPr>
    <w:sdtContent>
      <w:sdt>
        <w:sdtPr>
          <w:id w:val="1985434202"/>
          <w:docPartObj>
            <w:docPartGallery w:val="autotext"/>
          </w:docPartObj>
        </w:sdtPr>
        <w:sdtContent>
          <w:p>
            <w:pPr>
              <w:pStyle w:val="19"/>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r>
              <w:rPr>
                <w:b/>
                <w:bCs/>
                <w:sz w:val="24"/>
                <w:szCs w:val="24"/>
              </w:rPr>
              <w:t xml:space="preserve">        </w:t>
            </w:r>
          </w:p>
          <w:p>
            <w:pPr>
              <w:pStyle w:val="19"/>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0B57BC1"/>
    <w:multiLevelType w:val="multilevel"/>
    <w:tmpl w:val="20B57BC1"/>
    <w:lvl w:ilvl="0" w:tentative="0">
      <w:start w:val="5"/>
      <w:numFmt w:val="decimal"/>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gzOWU1NzE4ODI1ZTlkOTg1MGVmNDFlOTU5MWEifQ=="/>
  </w:docVars>
  <w:rsids>
    <w:rsidRoot w:val="007B0F09"/>
    <w:rsid w:val="0000490C"/>
    <w:rsid w:val="000348A6"/>
    <w:rsid w:val="000569E1"/>
    <w:rsid w:val="00074B20"/>
    <w:rsid w:val="00082572"/>
    <w:rsid w:val="000934D4"/>
    <w:rsid w:val="000A4CA1"/>
    <w:rsid w:val="000B0F16"/>
    <w:rsid w:val="000B3351"/>
    <w:rsid w:val="000F4F45"/>
    <w:rsid w:val="00124995"/>
    <w:rsid w:val="0013118F"/>
    <w:rsid w:val="001561E9"/>
    <w:rsid w:val="00176CD4"/>
    <w:rsid w:val="00182C6E"/>
    <w:rsid w:val="0019033E"/>
    <w:rsid w:val="001A5B43"/>
    <w:rsid w:val="001B719E"/>
    <w:rsid w:val="001C6943"/>
    <w:rsid w:val="00235C32"/>
    <w:rsid w:val="00244E90"/>
    <w:rsid w:val="0026365C"/>
    <w:rsid w:val="0026577A"/>
    <w:rsid w:val="002772BB"/>
    <w:rsid w:val="00286467"/>
    <w:rsid w:val="00295590"/>
    <w:rsid w:val="002C2C3D"/>
    <w:rsid w:val="002C4297"/>
    <w:rsid w:val="002E6615"/>
    <w:rsid w:val="00334E6F"/>
    <w:rsid w:val="003570A0"/>
    <w:rsid w:val="003C5808"/>
    <w:rsid w:val="003C60EF"/>
    <w:rsid w:val="003D3C2D"/>
    <w:rsid w:val="003E6439"/>
    <w:rsid w:val="003F20A6"/>
    <w:rsid w:val="00404FA2"/>
    <w:rsid w:val="004242F4"/>
    <w:rsid w:val="0043243C"/>
    <w:rsid w:val="00441955"/>
    <w:rsid w:val="00455734"/>
    <w:rsid w:val="004B66B1"/>
    <w:rsid w:val="004C7098"/>
    <w:rsid w:val="00502F52"/>
    <w:rsid w:val="00582530"/>
    <w:rsid w:val="00590957"/>
    <w:rsid w:val="005A5A4D"/>
    <w:rsid w:val="005F1FC8"/>
    <w:rsid w:val="00630374"/>
    <w:rsid w:val="00662F84"/>
    <w:rsid w:val="006F3C71"/>
    <w:rsid w:val="006F5FBA"/>
    <w:rsid w:val="0079458B"/>
    <w:rsid w:val="007A0AF6"/>
    <w:rsid w:val="007B0F09"/>
    <w:rsid w:val="007B2319"/>
    <w:rsid w:val="007B41E0"/>
    <w:rsid w:val="007C43A7"/>
    <w:rsid w:val="00820F76"/>
    <w:rsid w:val="00842FA9"/>
    <w:rsid w:val="00865B30"/>
    <w:rsid w:val="00874219"/>
    <w:rsid w:val="008902DC"/>
    <w:rsid w:val="00916532"/>
    <w:rsid w:val="00923C7E"/>
    <w:rsid w:val="00936704"/>
    <w:rsid w:val="00951205"/>
    <w:rsid w:val="009606BC"/>
    <w:rsid w:val="00967E57"/>
    <w:rsid w:val="00994E59"/>
    <w:rsid w:val="009A3A7F"/>
    <w:rsid w:val="00A127A1"/>
    <w:rsid w:val="00A148CE"/>
    <w:rsid w:val="00A24465"/>
    <w:rsid w:val="00A40610"/>
    <w:rsid w:val="00A4220E"/>
    <w:rsid w:val="00A44A63"/>
    <w:rsid w:val="00A64A5B"/>
    <w:rsid w:val="00AD29A3"/>
    <w:rsid w:val="00AF3C2A"/>
    <w:rsid w:val="00B14C37"/>
    <w:rsid w:val="00B54440"/>
    <w:rsid w:val="00B554E7"/>
    <w:rsid w:val="00B80FFC"/>
    <w:rsid w:val="00BD49FB"/>
    <w:rsid w:val="00BD7232"/>
    <w:rsid w:val="00BE1921"/>
    <w:rsid w:val="00BE748A"/>
    <w:rsid w:val="00C035B5"/>
    <w:rsid w:val="00C328CE"/>
    <w:rsid w:val="00C66E1E"/>
    <w:rsid w:val="00C676BA"/>
    <w:rsid w:val="00C81AB4"/>
    <w:rsid w:val="00C857BF"/>
    <w:rsid w:val="00C94AC0"/>
    <w:rsid w:val="00CC39FD"/>
    <w:rsid w:val="00D2102C"/>
    <w:rsid w:val="00D229E8"/>
    <w:rsid w:val="00D36D52"/>
    <w:rsid w:val="00D56DEA"/>
    <w:rsid w:val="00D64059"/>
    <w:rsid w:val="00DB6737"/>
    <w:rsid w:val="00E11567"/>
    <w:rsid w:val="00E14FB0"/>
    <w:rsid w:val="00E3310A"/>
    <w:rsid w:val="00E33B9E"/>
    <w:rsid w:val="00E33C1C"/>
    <w:rsid w:val="00E33D9F"/>
    <w:rsid w:val="00E45686"/>
    <w:rsid w:val="00E50272"/>
    <w:rsid w:val="00E50977"/>
    <w:rsid w:val="00E761EA"/>
    <w:rsid w:val="00E77305"/>
    <w:rsid w:val="00E83979"/>
    <w:rsid w:val="00E95973"/>
    <w:rsid w:val="00EC53CA"/>
    <w:rsid w:val="00ED2437"/>
    <w:rsid w:val="00EE3803"/>
    <w:rsid w:val="00F0149B"/>
    <w:rsid w:val="00F8646A"/>
    <w:rsid w:val="00F876DE"/>
    <w:rsid w:val="00FE51A3"/>
    <w:rsid w:val="00FF1750"/>
    <w:rsid w:val="02DD7C28"/>
    <w:rsid w:val="0B9F295E"/>
    <w:rsid w:val="0E9B36D4"/>
    <w:rsid w:val="11FA2921"/>
    <w:rsid w:val="16E53857"/>
    <w:rsid w:val="1C023A9F"/>
    <w:rsid w:val="263C0B20"/>
    <w:rsid w:val="2F560C90"/>
    <w:rsid w:val="314F5F72"/>
    <w:rsid w:val="35151C0C"/>
    <w:rsid w:val="389272E2"/>
    <w:rsid w:val="38B1365F"/>
    <w:rsid w:val="3FA30AF3"/>
    <w:rsid w:val="42C37121"/>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2"/>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3"/>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7"/>
    <w:semiHidden/>
    <w:unhideWhenUsed/>
    <w:qFormat/>
    <w:uiPriority w:val="9"/>
    <w:pPr>
      <w:keepNext/>
      <w:keepLines/>
      <w:spacing w:before="120" w:after="0"/>
      <w:outlineLvl w:val="6"/>
    </w:pPr>
    <w:rPr>
      <w:i/>
      <w:iCs/>
    </w:rPr>
  </w:style>
  <w:style w:type="paragraph" w:styleId="9">
    <w:name w:val="heading 8"/>
    <w:basedOn w:val="1"/>
    <w:next w:val="1"/>
    <w:link w:val="38"/>
    <w:semiHidden/>
    <w:unhideWhenUsed/>
    <w:qFormat/>
    <w:uiPriority w:val="9"/>
    <w:pPr>
      <w:keepNext/>
      <w:keepLines/>
      <w:spacing w:before="120" w:after="0"/>
      <w:outlineLvl w:val="7"/>
    </w:pPr>
    <w:rPr>
      <w:b/>
      <w:bCs/>
    </w:rPr>
  </w:style>
  <w:style w:type="paragraph" w:styleId="10">
    <w:name w:val="heading 9"/>
    <w:basedOn w:val="1"/>
    <w:next w:val="1"/>
    <w:link w:val="39"/>
    <w:semiHidden/>
    <w:unhideWhenUsed/>
    <w:qFormat/>
    <w:uiPriority w:val="9"/>
    <w:pPr>
      <w:keepNext/>
      <w:keepLines/>
      <w:spacing w:before="120" w:after="0"/>
      <w:outlineLvl w:val="8"/>
    </w:pPr>
    <w:rPr>
      <w:i/>
      <w:iCs/>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semiHidden/>
    <w:unhideWhenUsed/>
    <w:qFormat/>
    <w:uiPriority w:val="99"/>
    <w:pPr>
      <w:jc w:val="left"/>
    </w:pPr>
  </w:style>
  <w:style w:type="paragraph" w:styleId="14">
    <w:name w:val="Body Text"/>
    <w:basedOn w:val="1"/>
    <w:link w:val="61"/>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60"/>
    <w:unhideWhenUsed/>
    <w:qFormat/>
    <w:uiPriority w:val="0"/>
    <w:rPr>
      <w:rFonts w:hAnsi="Courier New" w:cs="Courier New" w:asciiTheme="minorEastAsia"/>
    </w:rPr>
  </w:style>
  <w:style w:type="paragraph" w:styleId="17">
    <w:name w:val="Date"/>
    <w:basedOn w:val="1"/>
    <w:next w:val="1"/>
    <w:link w:val="63"/>
    <w:semiHidden/>
    <w:unhideWhenUsed/>
    <w:uiPriority w:val="99"/>
    <w:pPr>
      <w:ind w:left="100" w:leftChars="2500"/>
    </w:pPr>
  </w:style>
  <w:style w:type="paragraph" w:styleId="18">
    <w:name w:val="Balloon Text"/>
    <w:basedOn w:val="1"/>
    <w:link w:val="64"/>
    <w:semiHidden/>
    <w:unhideWhenUsed/>
    <w:qFormat/>
    <w:uiPriority w:val="99"/>
    <w:pPr>
      <w:spacing w:after="0" w:line="240" w:lineRule="auto"/>
    </w:pPr>
    <w:rPr>
      <w:sz w:val="18"/>
      <w:szCs w:val="18"/>
    </w:rPr>
  </w:style>
  <w:style w:type="paragraph" w:styleId="19">
    <w:name w:val="footer"/>
    <w:basedOn w:val="1"/>
    <w:link w:val="56"/>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1"/>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58"/>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0"/>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styleId="30">
    <w:name w:val="Hyperlink"/>
    <w:basedOn w:val="27"/>
    <w:unhideWhenUsed/>
    <w:qFormat/>
    <w:uiPriority w:val="99"/>
    <w:rPr>
      <w:color w:val="F49100" w:themeColor="hyperlink"/>
      <w:u w:val="single"/>
      <w14:textFill>
        <w14:solidFill>
          <w14:schemeClr w14:val="hlink"/>
        </w14:solidFill>
      </w14:textFill>
    </w:rPr>
  </w:style>
  <w:style w:type="character" w:customStyle="1" w:styleId="31">
    <w:name w:val="标题 1 字符"/>
    <w:basedOn w:val="27"/>
    <w:link w:val="2"/>
    <w:qFormat/>
    <w:uiPriority w:val="9"/>
    <w:rPr>
      <w:rFonts w:asciiTheme="majorHAnsi" w:hAnsiTheme="majorHAnsi" w:eastAsiaTheme="majorEastAsia" w:cstheme="majorBidi"/>
      <w:b/>
      <w:bCs/>
      <w:caps/>
      <w:spacing w:val="4"/>
      <w:sz w:val="28"/>
      <w:szCs w:val="28"/>
    </w:rPr>
  </w:style>
  <w:style w:type="character" w:customStyle="1" w:styleId="32">
    <w:name w:val="标题 2 字符"/>
    <w:basedOn w:val="27"/>
    <w:link w:val="3"/>
    <w:qFormat/>
    <w:uiPriority w:val="9"/>
    <w:rPr>
      <w:rFonts w:asciiTheme="majorHAnsi" w:hAnsiTheme="majorHAnsi" w:eastAsiaTheme="majorEastAsia" w:cstheme="majorBidi"/>
      <w:b/>
      <w:bCs/>
      <w:sz w:val="28"/>
      <w:szCs w:val="28"/>
    </w:rPr>
  </w:style>
  <w:style w:type="character" w:customStyle="1" w:styleId="33">
    <w:name w:val="标题 3 字符"/>
    <w:basedOn w:val="27"/>
    <w:link w:val="4"/>
    <w:semiHidden/>
    <w:qFormat/>
    <w:uiPriority w:val="9"/>
    <w:rPr>
      <w:rFonts w:asciiTheme="majorHAnsi" w:hAnsiTheme="majorHAnsi" w:eastAsiaTheme="majorEastAsia" w:cstheme="majorBidi"/>
      <w:spacing w:val="4"/>
      <w:sz w:val="24"/>
      <w:szCs w:val="24"/>
    </w:rPr>
  </w:style>
  <w:style w:type="character" w:customStyle="1" w:styleId="34">
    <w:name w:val="标题 4 字符"/>
    <w:basedOn w:val="27"/>
    <w:link w:val="5"/>
    <w:semiHidden/>
    <w:qFormat/>
    <w:uiPriority w:val="9"/>
    <w:rPr>
      <w:rFonts w:asciiTheme="majorHAnsi" w:hAnsiTheme="majorHAnsi" w:eastAsiaTheme="majorEastAsia" w:cstheme="majorBidi"/>
      <w:i/>
      <w:iCs/>
      <w:sz w:val="24"/>
      <w:szCs w:val="24"/>
    </w:rPr>
  </w:style>
  <w:style w:type="character" w:customStyle="1" w:styleId="35">
    <w:name w:val="标题 5 字符"/>
    <w:basedOn w:val="27"/>
    <w:link w:val="6"/>
    <w:semiHidden/>
    <w:qFormat/>
    <w:uiPriority w:val="9"/>
    <w:rPr>
      <w:rFonts w:asciiTheme="majorHAnsi" w:hAnsiTheme="majorHAnsi" w:eastAsiaTheme="majorEastAsia" w:cstheme="majorBidi"/>
      <w:b/>
      <w:bCs/>
    </w:rPr>
  </w:style>
  <w:style w:type="character" w:customStyle="1" w:styleId="36">
    <w:name w:val="标题 6 字符"/>
    <w:basedOn w:val="27"/>
    <w:link w:val="7"/>
    <w:semiHidden/>
    <w:qFormat/>
    <w:uiPriority w:val="9"/>
    <w:rPr>
      <w:rFonts w:asciiTheme="majorHAnsi" w:hAnsiTheme="majorHAnsi" w:eastAsiaTheme="majorEastAsia" w:cstheme="majorBidi"/>
      <w:b/>
      <w:bCs/>
      <w:i/>
      <w:iCs/>
    </w:rPr>
  </w:style>
  <w:style w:type="character" w:customStyle="1" w:styleId="37">
    <w:name w:val="标题 7 字符"/>
    <w:basedOn w:val="27"/>
    <w:link w:val="8"/>
    <w:semiHidden/>
    <w:qFormat/>
    <w:uiPriority w:val="9"/>
    <w:rPr>
      <w:i/>
      <w:iCs/>
    </w:rPr>
  </w:style>
  <w:style w:type="character" w:customStyle="1" w:styleId="38">
    <w:name w:val="标题 8 字符"/>
    <w:basedOn w:val="27"/>
    <w:link w:val="9"/>
    <w:semiHidden/>
    <w:qFormat/>
    <w:uiPriority w:val="9"/>
    <w:rPr>
      <w:b/>
      <w:bCs/>
    </w:rPr>
  </w:style>
  <w:style w:type="character" w:customStyle="1" w:styleId="39">
    <w:name w:val="标题 9 字符"/>
    <w:basedOn w:val="27"/>
    <w:link w:val="10"/>
    <w:semiHidden/>
    <w:qFormat/>
    <w:uiPriority w:val="9"/>
    <w:rPr>
      <w:i/>
      <w:iCs/>
    </w:rPr>
  </w:style>
  <w:style w:type="character" w:customStyle="1" w:styleId="40">
    <w:name w:val="标题 字符"/>
    <w:basedOn w:val="27"/>
    <w:link w:val="25"/>
    <w:qFormat/>
    <w:uiPriority w:val="10"/>
    <w:rPr>
      <w:rFonts w:asciiTheme="majorHAnsi" w:hAnsiTheme="majorHAnsi" w:eastAsiaTheme="majorEastAsia" w:cstheme="majorBidi"/>
      <w:b/>
      <w:bCs/>
      <w:spacing w:val="-7"/>
      <w:sz w:val="48"/>
      <w:szCs w:val="48"/>
    </w:rPr>
  </w:style>
  <w:style w:type="character" w:customStyle="1" w:styleId="41">
    <w:name w:val="副标题 字符"/>
    <w:basedOn w:val="27"/>
    <w:link w:val="22"/>
    <w:qFormat/>
    <w:uiPriority w:val="11"/>
    <w:rPr>
      <w:rFonts w:asciiTheme="majorHAnsi" w:hAnsiTheme="majorHAnsi" w:eastAsiaTheme="majorEastAsia" w:cstheme="majorBidi"/>
      <w:sz w:val="24"/>
      <w:szCs w:val="24"/>
    </w:rPr>
  </w:style>
  <w:style w:type="paragraph" w:styleId="42">
    <w:name w:val="No Spacing"/>
    <w:link w:val="53"/>
    <w:qFormat/>
    <w:uiPriority w:val="1"/>
    <w:pPr>
      <w:jc w:val="both"/>
    </w:pPr>
    <w:rPr>
      <w:rFonts w:asciiTheme="minorHAnsi" w:hAnsiTheme="minorHAnsi" w:eastAsiaTheme="minorEastAsia" w:cstheme="minorBidi"/>
      <w:sz w:val="22"/>
      <w:szCs w:val="22"/>
      <w:lang w:val="en-US" w:eastAsia="zh-CN" w:bidi="ar-SA"/>
    </w:rPr>
  </w:style>
  <w:style w:type="paragraph" w:styleId="43">
    <w:name w:val="Quote"/>
    <w:basedOn w:val="1"/>
    <w:next w:val="1"/>
    <w:link w:val="44"/>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4">
    <w:name w:val="引用 字符"/>
    <w:basedOn w:val="27"/>
    <w:link w:val="43"/>
    <w:qFormat/>
    <w:uiPriority w:val="29"/>
    <w:rPr>
      <w:rFonts w:asciiTheme="majorHAnsi" w:hAnsiTheme="majorHAnsi" w:eastAsiaTheme="majorEastAsia" w:cstheme="majorBidi"/>
      <w:i/>
      <w:iCs/>
      <w:sz w:val="24"/>
      <w:szCs w:val="24"/>
    </w:rPr>
  </w:style>
  <w:style w:type="paragraph" w:styleId="45">
    <w:name w:val="Intense Quote"/>
    <w:basedOn w:val="1"/>
    <w:next w:val="1"/>
    <w:link w:val="46"/>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6">
    <w:name w:val="明显引用 字符"/>
    <w:basedOn w:val="27"/>
    <w:link w:val="45"/>
    <w:qFormat/>
    <w:uiPriority w:val="30"/>
    <w:rPr>
      <w:rFonts w:asciiTheme="majorHAnsi" w:hAnsiTheme="majorHAnsi" w:eastAsiaTheme="majorEastAsia" w:cstheme="majorBidi"/>
      <w:sz w:val="26"/>
      <w:szCs w:val="26"/>
    </w:rPr>
  </w:style>
  <w:style w:type="character" w:customStyle="1" w:styleId="47">
    <w:name w:val="不明显强调1"/>
    <w:basedOn w:val="27"/>
    <w:qFormat/>
    <w:uiPriority w:val="19"/>
    <w:rPr>
      <w:i/>
      <w:iCs/>
      <w:color w:val="auto"/>
    </w:rPr>
  </w:style>
  <w:style w:type="character" w:customStyle="1" w:styleId="48">
    <w:name w:val="明显强调1"/>
    <w:basedOn w:val="27"/>
    <w:qFormat/>
    <w:uiPriority w:val="21"/>
    <w:rPr>
      <w:b/>
      <w:bCs/>
      <w:i/>
      <w:iCs/>
      <w:color w:val="auto"/>
    </w:rPr>
  </w:style>
  <w:style w:type="character" w:customStyle="1" w:styleId="49">
    <w:name w:val="不明显参考1"/>
    <w:basedOn w:val="27"/>
    <w:qFormat/>
    <w:uiPriority w:val="31"/>
    <w:rPr>
      <w:smallCaps/>
      <w:color w:val="auto"/>
      <w:u w:val="single" w:color="7E7E7E" w:themeColor="text1" w:themeTint="80"/>
    </w:rPr>
  </w:style>
  <w:style w:type="character" w:customStyle="1" w:styleId="50">
    <w:name w:val="明显参考1"/>
    <w:basedOn w:val="27"/>
    <w:qFormat/>
    <w:uiPriority w:val="32"/>
    <w:rPr>
      <w:b/>
      <w:bCs/>
      <w:smallCaps/>
      <w:color w:val="auto"/>
      <w:u w:val="single"/>
    </w:rPr>
  </w:style>
  <w:style w:type="character" w:customStyle="1" w:styleId="51">
    <w:name w:val="书籍标题1"/>
    <w:basedOn w:val="27"/>
    <w:qFormat/>
    <w:uiPriority w:val="33"/>
    <w:rPr>
      <w:b/>
      <w:bCs/>
      <w:smallCaps/>
      <w:color w:val="auto"/>
    </w:rPr>
  </w:style>
  <w:style w:type="paragraph" w:customStyle="1" w:styleId="52">
    <w:name w:val="TOC 标题1"/>
    <w:basedOn w:val="2"/>
    <w:next w:val="1"/>
    <w:unhideWhenUsed/>
    <w:qFormat/>
    <w:uiPriority w:val="39"/>
    <w:pPr>
      <w:outlineLvl w:val="9"/>
    </w:pPr>
  </w:style>
  <w:style w:type="character" w:customStyle="1" w:styleId="53">
    <w:name w:val="无间隔 字符"/>
    <w:basedOn w:val="27"/>
    <w:link w:val="42"/>
    <w:qFormat/>
    <w:uiPriority w:val="1"/>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5">
    <w:name w:val="页眉 字符"/>
    <w:basedOn w:val="27"/>
    <w:link w:val="20"/>
    <w:qFormat/>
    <w:uiPriority w:val="99"/>
    <w:rPr>
      <w:sz w:val="18"/>
      <w:szCs w:val="18"/>
    </w:rPr>
  </w:style>
  <w:style w:type="character" w:customStyle="1" w:styleId="56">
    <w:name w:val="页脚 字符"/>
    <w:basedOn w:val="27"/>
    <w:link w:val="19"/>
    <w:qFormat/>
    <w:uiPriority w:val="99"/>
    <w:rPr>
      <w:sz w:val="18"/>
      <w:szCs w:val="18"/>
    </w:rPr>
  </w:style>
  <w:style w:type="paragraph" w:styleId="57">
    <w:name w:val="List Paragraph"/>
    <w:basedOn w:val="1"/>
    <w:qFormat/>
    <w:uiPriority w:val="34"/>
    <w:pPr>
      <w:ind w:firstLine="420" w:firstLineChars="200"/>
    </w:pPr>
  </w:style>
  <w:style w:type="character" w:customStyle="1" w:styleId="58">
    <w:name w:val="正文文本缩进 3 字符"/>
    <w:basedOn w:val="27"/>
    <w:link w:val="23"/>
    <w:qFormat/>
    <w:uiPriority w:val="0"/>
    <w:rPr>
      <w:rFonts w:ascii="Times New Roman" w:hAnsi="Times New Roman" w:eastAsia="宋体" w:cs="Times New Roman"/>
      <w:kern w:val="2"/>
      <w:sz w:val="16"/>
      <w:szCs w:val="16"/>
    </w:rPr>
  </w:style>
  <w:style w:type="paragraph" w:customStyle="1" w:styleId="59">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0">
    <w:name w:val="纯文本 字符"/>
    <w:basedOn w:val="27"/>
    <w:link w:val="16"/>
    <w:semiHidden/>
    <w:qFormat/>
    <w:uiPriority w:val="99"/>
    <w:rPr>
      <w:rFonts w:hAnsi="Courier New" w:cs="Courier New" w:asciiTheme="minorEastAsia"/>
    </w:rPr>
  </w:style>
  <w:style w:type="character" w:customStyle="1" w:styleId="61">
    <w:name w:val="正文文本 字符"/>
    <w:basedOn w:val="27"/>
    <w:link w:val="14"/>
    <w:semiHidden/>
    <w:qFormat/>
    <w:uiPriority w:val="99"/>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日期 字符"/>
    <w:basedOn w:val="27"/>
    <w:link w:val="17"/>
    <w:semiHidden/>
    <w:qFormat/>
    <w:uiPriority w:val="99"/>
    <w:rPr>
      <w:rFonts w:asciiTheme="minorHAnsi" w:hAnsiTheme="minorHAnsi" w:eastAsiaTheme="minorEastAsia" w:cstheme="minorBidi"/>
      <w:sz w:val="22"/>
      <w:szCs w:val="22"/>
    </w:rPr>
  </w:style>
  <w:style w:type="character" w:customStyle="1" w:styleId="64">
    <w:name w:val="批注框文本 字符"/>
    <w:basedOn w:val="27"/>
    <w:link w:val="18"/>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E7DAB-9087-4425-ABCB-C1527AFFE92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13819</Words>
  <Characters>15639</Characters>
  <Lines>30</Lines>
  <Paragraphs>8</Paragraphs>
  <TotalTime>5</TotalTime>
  <ScaleCrop>false</ScaleCrop>
  <LinksUpToDate>false</LinksUpToDate>
  <CharactersWithSpaces>16124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2023-06-18T14:58:00Z</dcterms:created>
  <dc:creator>树亮 门</dc:creator>
  <cp:lastModifiedBy>Administrator</cp:lastModifiedBy>
  <dcterms:modified xsi:type="dcterms:W3CDTF">2023-09-07T00:45:57Z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