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textAlignment w:val="baseline"/>
        <w:rPr>
          <w:rFonts w:ascii="仿宋" w:hAnsi="仿宋" w:eastAsia="仿宋"/>
          <w:b/>
          <w:sz w:val="72"/>
          <w:szCs w:val="72"/>
        </w:rPr>
      </w:pPr>
      <w:bookmarkStart w:id="0" w:name="_Hlk38472698"/>
      <w:r>
        <w:drawing>
          <wp:anchor distT="0" distB="0" distL="114300" distR="114300" simplePos="0" relativeHeight="251659264" behindDoc="0" locked="0" layoutInCell="1" allowOverlap="1">
            <wp:simplePos x="0" y="0"/>
            <wp:positionH relativeFrom="column">
              <wp:posOffset>1632585</wp:posOffset>
            </wp:positionH>
            <wp:positionV relativeFrom="page">
              <wp:posOffset>685800</wp:posOffset>
            </wp:positionV>
            <wp:extent cx="2936240" cy="68135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textAlignment w:val="baseline"/>
        <w:rPr>
          <w:rFonts w:ascii="仿宋" w:hAnsi="仿宋" w:eastAsia="仿宋"/>
          <w:b/>
          <w:color w:val="000000"/>
          <w:sz w:val="36"/>
          <w:szCs w:val="36"/>
        </w:rPr>
      </w:pPr>
      <w:bookmarkStart w:id="209" w:name="_GoBack"/>
      <w:r>
        <w:rPr>
          <w:rFonts w:hint="eastAsia" w:ascii="仿宋" w:hAnsi="仿宋" w:eastAsia="仿宋"/>
          <w:b/>
          <w:color w:val="000000"/>
          <w:sz w:val="36"/>
          <w:szCs w:val="36"/>
        </w:rPr>
        <w:t>江西科技学院关</w:t>
      </w:r>
      <w:bookmarkEnd w:id="0"/>
      <w:bookmarkStart w:id="1" w:name="_Hlk109631538"/>
      <w:r>
        <w:rPr>
          <w:rFonts w:hint="eastAsia" w:ascii="仿宋" w:hAnsi="仿宋" w:eastAsia="仿宋"/>
          <w:b/>
          <w:color w:val="000000"/>
          <w:sz w:val="36"/>
          <w:szCs w:val="36"/>
        </w:rPr>
        <w:t>于</w:t>
      </w:r>
      <w:r>
        <w:rPr>
          <w:rFonts w:hint="eastAsia" w:ascii="仿宋" w:hAnsi="仿宋" w:eastAsia="仿宋"/>
          <w:b/>
          <w:color w:val="000000"/>
          <w:sz w:val="36"/>
          <w:szCs w:val="36"/>
          <w:lang w:val="en-US" w:eastAsia="zh-CN"/>
        </w:rPr>
        <w:t>第十一期工程门禁UPS系统</w:t>
      </w:r>
      <w:r>
        <w:rPr>
          <w:rFonts w:hint="eastAsia" w:ascii="仿宋" w:hAnsi="仿宋" w:eastAsia="仿宋"/>
          <w:b/>
          <w:color w:val="000000"/>
          <w:sz w:val="36"/>
          <w:szCs w:val="36"/>
        </w:rPr>
        <w:t>采购项目</w:t>
      </w:r>
      <w:bookmarkEnd w:id="1"/>
    </w:p>
    <w:bookmarkEnd w:id="209"/>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询</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943" w:firstLineChars="645"/>
        <w:textAlignment w:val="baseline"/>
        <w:rPr>
          <w:rFonts w:hint="eastAsia" w:ascii="仿宋" w:hAnsi="仿宋" w:eastAsia="仿宋"/>
          <w:b/>
          <w:color w:val="000000"/>
          <w:sz w:val="30"/>
          <w:szCs w:val="30"/>
          <w:lang w:eastAsia="zh-CN"/>
        </w:rPr>
      </w:pPr>
      <w:r>
        <w:rPr>
          <w:rFonts w:hint="eastAsia" w:ascii="仿宋" w:hAnsi="仿宋" w:eastAsia="仿宋"/>
          <w:b/>
          <w:color w:val="000000"/>
          <w:sz w:val="30"/>
          <w:szCs w:val="30"/>
        </w:rPr>
        <w:t>项目编号：</w:t>
      </w:r>
      <w:bookmarkStart w:id="2" w:name="_Toc169332792"/>
      <w:bookmarkStart w:id="3" w:name="_Toc160880485"/>
      <w:bookmarkStart w:id="4" w:name="_Toc160880118"/>
      <w:r>
        <w:rPr>
          <w:rFonts w:hint="eastAsia" w:ascii="仿宋" w:hAnsi="仿宋" w:eastAsia="仿宋"/>
          <w:b/>
          <w:color w:val="000000"/>
          <w:sz w:val="30"/>
          <w:szCs w:val="30"/>
        </w:rPr>
        <w:t>JK2023</w:t>
      </w:r>
      <w:r>
        <w:rPr>
          <w:rFonts w:hint="eastAsia" w:ascii="仿宋" w:hAnsi="仿宋" w:eastAsia="仿宋"/>
          <w:b/>
          <w:color w:val="000000"/>
          <w:sz w:val="30"/>
          <w:szCs w:val="30"/>
          <w:lang w:val="en-US" w:eastAsia="zh-CN"/>
        </w:rPr>
        <w:t>0901</w:t>
      </w:r>
      <w:r>
        <w:rPr>
          <w:rFonts w:hint="eastAsia" w:ascii="仿宋" w:hAnsi="仿宋" w:eastAsia="仿宋"/>
          <w:b/>
          <w:color w:val="000000"/>
          <w:sz w:val="30"/>
          <w:szCs w:val="30"/>
        </w:rPr>
        <w:t>00</w:t>
      </w:r>
      <w:r>
        <w:rPr>
          <w:rFonts w:hint="eastAsia" w:ascii="仿宋" w:hAnsi="仿宋" w:eastAsia="仿宋"/>
          <w:b/>
          <w:color w:val="000000"/>
          <w:sz w:val="30"/>
          <w:szCs w:val="30"/>
          <w:lang w:val="en-US" w:eastAsia="zh-CN"/>
        </w:rPr>
        <w:t>4</w:t>
      </w:r>
    </w:p>
    <w:p>
      <w:pPr>
        <w:spacing w:line="500" w:lineRule="exact"/>
        <w:ind w:firstLine="1943" w:firstLineChars="645"/>
        <w:textAlignment w:val="baseline"/>
        <w:rPr>
          <w:rFonts w:ascii="仿宋" w:hAnsi="仿宋" w:eastAsia="仿宋"/>
          <w:b/>
          <w:color w:val="000000"/>
          <w:sz w:val="32"/>
          <w:szCs w:val="32"/>
        </w:rPr>
      </w:pPr>
      <w:r>
        <w:rPr>
          <w:rFonts w:hint="eastAsia" w:ascii="仿宋" w:hAnsi="仿宋" w:eastAsia="仿宋"/>
          <w:b/>
          <w:color w:val="000000"/>
          <w:sz w:val="30"/>
          <w:szCs w:val="30"/>
        </w:rPr>
        <w:t>项目名称</w:t>
      </w:r>
      <w:bookmarkEnd w:id="2"/>
      <w:bookmarkEnd w:id="3"/>
      <w:bookmarkEnd w:id="4"/>
      <w:r>
        <w:rPr>
          <w:rFonts w:hint="eastAsia" w:ascii="仿宋" w:hAnsi="仿宋" w:eastAsia="仿宋"/>
          <w:b/>
          <w:color w:val="000000"/>
          <w:sz w:val="30"/>
          <w:szCs w:val="30"/>
        </w:rPr>
        <w:t>：</w:t>
      </w:r>
      <w:bookmarkStart w:id="5" w:name="_Toc267059786"/>
      <w:bookmarkStart w:id="6" w:name="_Toc253066567"/>
      <w:bookmarkStart w:id="7" w:name="_Toc235438227"/>
      <w:bookmarkStart w:id="8" w:name="_Toc217891359"/>
      <w:bookmarkStart w:id="9" w:name="_Toc267059161"/>
      <w:bookmarkStart w:id="10" w:name="_Toc227058483"/>
      <w:bookmarkStart w:id="11" w:name="_Toc266868924"/>
      <w:bookmarkStart w:id="12" w:name="_Toc267060162"/>
      <w:bookmarkStart w:id="13" w:name="_Toc212530253"/>
      <w:bookmarkStart w:id="14" w:name="_Toc160880487"/>
      <w:bookmarkStart w:id="15" w:name="_Toc258401210"/>
      <w:bookmarkStart w:id="16" w:name="_Toc235437942"/>
      <w:bookmarkStart w:id="17" w:name="_Toc249325665"/>
      <w:bookmarkStart w:id="18" w:name="_Toc207014580"/>
      <w:bookmarkStart w:id="19" w:name="_Toc212456146"/>
      <w:bookmarkStart w:id="20" w:name="_Toc259520819"/>
      <w:bookmarkStart w:id="21" w:name="_Toc255974963"/>
      <w:bookmarkStart w:id="22" w:name="_Toc236021402"/>
      <w:bookmarkStart w:id="23" w:name="_Toc273178686"/>
      <w:bookmarkStart w:id="24" w:name="_Toc212526081"/>
      <w:bookmarkStart w:id="25" w:name="_Toc211937196"/>
      <w:bookmarkStart w:id="26" w:name="_Toc259692693"/>
      <w:bookmarkStart w:id="27" w:name="_Toc267060407"/>
      <w:bookmarkStart w:id="28" w:name="_Toc267059010"/>
      <w:bookmarkStart w:id="29" w:name="_Toc235438297"/>
      <w:bookmarkStart w:id="30" w:name="_Toc267060022"/>
      <w:bookmarkStart w:id="31" w:name="_Toc267059633"/>
      <w:bookmarkStart w:id="32" w:name="_Toc266870861"/>
      <w:bookmarkStart w:id="33" w:name="_Toc177985424"/>
      <w:bookmarkStart w:id="34" w:name="_Toc170798743"/>
      <w:bookmarkStart w:id="35" w:name="_Toc225669277"/>
      <w:bookmarkStart w:id="36" w:name="_Toc216241307"/>
      <w:bookmarkStart w:id="37" w:name="_Toc169332904"/>
      <w:bookmarkStart w:id="38" w:name="_Toc259692600"/>
      <w:bookmarkStart w:id="39" w:name="_Toc212454753"/>
      <w:bookmarkStart w:id="40" w:name="_Toc266870386"/>
      <w:bookmarkStart w:id="41" w:name="_Toc251586187"/>
      <w:bookmarkStart w:id="42" w:name="_Toc267059519"/>
      <w:bookmarkStart w:id="43" w:name="_Toc251613780"/>
      <w:bookmarkStart w:id="44" w:name="_Toc267059899"/>
      <w:bookmarkStart w:id="45" w:name="_Toc223146565"/>
      <w:bookmarkStart w:id="46" w:name="_Toc169332794"/>
      <w:bookmarkStart w:id="47" w:name="_Toc254790852"/>
      <w:bookmarkStart w:id="48" w:name="_Toc266868624"/>
      <w:bookmarkStart w:id="49" w:name="_Toc219800200"/>
      <w:r>
        <w:rPr>
          <w:rFonts w:hint="eastAsia" w:ascii="仿宋" w:hAnsi="仿宋" w:eastAsia="仿宋"/>
          <w:b/>
          <w:color w:val="000000"/>
          <w:sz w:val="30"/>
          <w:szCs w:val="30"/>
          <w:lang w:val="en-US" w:eastAsia="zh-CN"/>
        </w:rPr>
        <w:t>第十一期工程门禁UPS系统</w:t>
      </w:r>
      <w:r>
        <w:rPr>
          <w:rFonts w:hint="eastAsia" w:ascii="仿宋" w:hAnsi="仿宋" w:eastAsia="仿宋"/>
          <w:b/>
          <w:color w:val="000000"/>
          <w:sz w:val="32"/>
          <w:szCs w:val="32"/>
        </w:rPr>
        <w:t>采购项目</w:t>
      </w:r>
    </w:p>
    <w:p>
      <w:pPr>
        <w:spacing w:line="500" w:lineRule="exact"/>
        <w:ind w:firstLine="1943" w:firstLineChars="645"/>
        <w:textAlignment w:val="baseline"/>
        <w:rPr>
          <w:rFonts w:ascii="仿宋" w:hAnsi="仿宋" w:eastAsia="仿宋"/>
          <w:b/>
          <w:color w:val="000000"/>
          <w:sz w:val="30"/>
          <w:szCs w:val="30"/>
        </w:rPr>
        <w:sectPr>
          <w:footerReference r:id="rId5" w:type="default"/>
          <w:pgSz w:w="11906" w:h="16838"/>
          <w:pgMar w:top="1440" w:right="1416" w:bottom="1440" w:left="1134" w:header="851" w:footer="680" w:gutter="0"/>
          <w:cols w:space="425" w:num="1"/>
          <w:titlePg/>
          <w:docGrid w:type="lines" w:linePitch="312" w:charSpace="0"/>
        </w:sectPr>
      </w:pPr>
    </w:p>
    <w:p>
      <w:pPr>
        <w:pStyle w:val="57"/>
        <w:spacing w:after="160" w:line="360" w:lineRule="auto"/>
        <w:jc w:val="center"/>
        <w:textAlignment w:val="baseline"/>
        <w:rPr>
          <w:rFonts w:ascii="仿宋" w:hAnsi="仿宋" w:eastAsia="仿宋"/>
          <w:b/>
          <w:sz w:val="44"/>
          <w:szCs w:val="44"/>
        </w:rPr>
      </w:pPr>
      <w:r>
        <w:rPr>
          <w:rFonts w:hint="eastAsia" w:ascii="仿宋" w:hAnsi="仿宋" w:eastAsia="仿宋"/>
          <w:b/>
          <w:sz w:val="44"/>
          <w:szCs w:val="44"/>
        </w:rPr>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sz w:val="44"/>
          <w:szCs w:val="44"/>
        </w:rPr>
        <w:t>函</w:t>
      </w:r>
    </w:p>
    <w:p>
      <w:pPr>
        <w:spacing w:after="0" w:line="500" w:lineRule="exact"/>
        <w:ind w:firstLine="425" w:firstLineChars="152"/>
        <w:jc w:val="left"/>
        <w:textAlignment w:val="baseline"/>
        <w:rPr>
          <w:rFonts w:ascii="仿宋" w:hAnsi="仿宋" w:eastAsia="仿宋" w:cs="Times New Roman"/>
          <w:color w:val="000000"/>
          <w:sz w:val="28"/>
          <w:szCs w:val="28"/>
        </w:rPr>
      </w:pPr>
      <w:bookmarkStart w:id="50" w:name="_Hlk10840310"/>
      <w:r>
        <w:rPr>
          <w:rFonts w:hint="eastAsia" w:ascii="仿宋" w:hAnsi="仿宋" w:eastAsia="仿宋"/>
          <w:color w:val="000000"/>
          <w:sz w:val="28"/>
          <w:szCs w:val="28"/>
        </w:rPr>
        <w:t>按照公开、公平、公正的原则，经学校研究决定，将江西科技学院</w:t>
      </w:r>
      <w:r>
        <w:rPr>
          <w:rFonts w:hint="eastAsia" w:ascii="仿宋" w:hAnsi="仿宋" w:eastAsia="仿宋"/>
          <w:color w:val="000000"/>
          <w:sz w:val="28"/>
          <w:szCs w:val="28"/>
          <w:lang w:val="en-US" w:eastAsia="zh-CN"/>
        </w:rPr>
        <w:t>第十一期工程门禁UPS系统</w:t>
      </w:r>
      <w:r>
        <w:rPr>
          <w:rFonts w:hint="eastAsia" w:ascii="仿宋" w:hAnsi="仿宋" w:eastAsia="仿宋"/>
          <w:color w:val="000000"/>
          <w:sz w:val="28"/>
          <w:szCs w:val="28"/>
        </w:rPr>
        <w:t>采购项目公开询价信息公布，欢迎国内合格的供应商参与,校内教职工均可推荐符合条件的供应商来参与，以利于做好信息透明、机会均等、程序规范、标准统一的要求。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项目编号：JK2023</w:t>
      </w:r>
      <w:r>
        <w:rPr>
          <w:rFonts w:hint="eastAsia" w:ascii="仿宋" w:hAnsi="仿宋" w:eastAsia="仿宋"/>
          <w:color w:val="000000"/>
          <w:sz w:val="28"/>
          <w:szCs w:val="28"/>
          <w:lang w:val="en-US" w:eastAsia="zh-CN"/>
        </w:rPr>
        <w:t>0901</w:t>
      </w:r>
      <w:r>
        <w:rPr>
          <w:rFonts w:hint="eastAsia" w:ascii="仿宋" w:hAnsi="仿宋" w:eastAsia="仿宋"/>
          <w:color w:val="000000"/>
          <w:sz w:val="28"/>
          <w:szCs w:val="28"/>
        </w:rPr>
        <w:t>00</w:t>
      </w:r>
      <w:r>
        <w:rPr>
          <w:rFonts w:hint="eastAsia" w:ascii="仿宋" w:hAnsi="仿宋" w:eastAsia="仿宋"/>
          <w:color w:val="000000"/>
          <w:sz w:val="28"/>
          <w:szCs w:val="28"/>
          <w:lang w:val="en-US" w:eastAsia="zh-CN"/>
        </w:rPr>
        <w:t>4</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项目名称：</w:t>
      </w:r>
      <w:r>
        <w:rPr>
          <w:rFonts w:hint="eastAsia" w:ascii="仿宋" w:hAnsi="仿宋" w:eastAsia="仿宋"/>
          <w:color w:val="000000"/>
          <w:sz w:val="28"/>
          <w:szCs w:val="28"/>
          <w:lang w:val="en-US" w:eastAsia="zh-CN"/>
        </w:rPr>
        <w:t>第十一期工程门禁UPS系统</w:t>
      </w:r>
      <w:r>
        <w:rPr>
          <w:rFonts w:hint="eastAsia" w:ascii="仿宋" w:hAnsi="仿宋" w:eastAsia="仿宋"/>
          <w:color w:val="000000"/>
          <w:sz w:val="28"/>
          <w:szCs w:val="28"/>
        </w:rPr>
        <w:t>采购项目</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数量及主要技术要求</w:t>
      </w:r>
      <w:r>
        <w:rPr>
          <w:rFonts w:hint="eastAsia" w:ascii="仿宋" w:hAnsi="仿宋" w:eastAsia="仿宋" w:cs="仿宋"/>
          <w:color w:val="000000"/>
          <w:sz w:val="28"/>
          <w:szCs w:val="28"/>
        </w:rPr>
        <w:t>:</w:t>
      </w:r>
      <w:r>
        <w:rPr>
          <w:rFonts w:hint="eastAsia" w:ascii="仿宋" w:hAnsi="仿宋" w:eastAsia="仿宋" w:cs="仿宋"/>
          <w:sz w:val="28"/>
          <w:szCs w:val="28"/>
        </w:rPr>
        <w:t>1</w:t>
      </w:r>
      <w:r>
        <w:rPr>
          <w:rFonts w:ascii="仿宋" w:hAnsi="仿宋" w:eastAsia="仿宋"/>
          <w:color w:val="000000"/>
          <w:sz w:val="28"/>
          <w:szCs w:val="28"/>
        </w:rPr>
        <w:t xml:space="preserve"> </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参与人资格标准：本项目采用资格预审制，发布公开询价公告后，各潜在参与人在满足资格要求并提供以下相关证明资料方能参与本项目报价</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提交</w:t>
      </w:r>
      <w:r>
        <w:rPr>
          <w:rFonts w:hint="eastAsia" w:ascii="仿宋" w:hAnsi="仿宋" w:eastAsia="仿宋"/>
          <w:color w:val="000000"/>
          <w:sz w:val="24"/>
          <w:szCs w:val="24"/>
        </w:rPr>
        <w:t>标书前</w:t>
      </w:r>
      <w:r>
        <w:rPr>
          <w:rFonts w:hint="eastAsia" w:ascii="仿宋" w:hAnsi="仿宋" w:eastAsia="仿宋"/>
          <w:color w:val="000000"/>
          <w:sz w:val="24"/>
          <w:szCs w:val="24"/>
          <w:lang w:val="en-US" w:eastAsia="zh-CN"/>
        </w:rPr>
        <w:t>电子稿</w:t>
      </w:r>
      <w:r>
        <w:rPr>
          <w:rFonts w:hint="eastAsia" w:ascii="仿宋" w:hAnsi="仿宋" w:eastAsia="仿宋"/>
          <w:color w:val="000000"/>
          <w:sz w:val="24"/>
          <w:szCs w:val="24"/>
        </w:rPr>
        <w:t>发给联系人，同时放入</w:t>
      </w:r>
      <w:r>
        <w:rPr>
          <w:rFonts w:hint="eastAsia" w:ascii="仿宋" w:hAnsi="仿宋" w:eastAsia="仿宋"/>
          <w:color w:val="000000"/>
          <w:sz w:val="24"/>
          <w:szCs w:val="24"/>
          <w:lang w:val="en-US" w:eastAsia="zh-CN"/>
        </w:rPr>
        <w:t>标书</w:t>
      </w:r>
      <w:r>
        <w:rPr>
          <w:rFonts w:hint="eastAsia" w:ascii="仿宋" w:hAnsi="仿宋" w:eastAsia="仿宋"/>
          <w:color w:val="000000"/>
          <w:sz w:val="24"/>
          <w:szCs w:val="24"/>
        </w:rPr>
        <w:t>中）</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（1）参与人应具有独立法人资格</w:t>
      </w:r>
      <w:r>
        <w:rPr>
          <w:rFonts w:hint="eastAsia" w:ascii="仿宋" w:hAnsi="仿宋" w:eastAsia="仿宋"/>
          <w:b/>
          <w:bCs/>
          <w:color w:val="000000"/>
          <w:sz w:val="28"/>
          <w:szCs w:val="28"/>
        </w:rPr>
        <w:t>，</w:t>
      </w:r>
      <w:r>
        <w:rPr>
          <w:rFonts w:hint="eastAsia" w:ascii="仿宋" w:hAnsi="仿宋" w:eastAsia="仿宋"/>
          <w:color w:val="000000"/>
          <w:sz w:val="28"/>
          <w:szCs w:val="28"/>
        </w:rPr>
        <w:t>具有独立承担民事责任能力的生产厂商或授权代理商。</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（2）参与人应具</w:t>
      </w:r>
      <w:r>
        <w:rPr>
          <w:rFonts w:ascii="仿宋" w:hAnsi="仿宋" w:eastAsia="仿宋"/>
          <w:color w:val="000000"/>
          <w:sz w:val="28"/>
          <w:szCs w:val="28"/>
        </w:rPr>
        <w:t>有提</w:t>
      </w:r>
      <w:r>
        <w:rPr>
          <w:rFonts w:hint="eastAsia" w:ascii="仿宋" w:hAnsi="仿宋" w:eastAsia="仿宋"/>
          <w:color w:val="000000"/>
          <w:sz w:val="28"/>
          <w:szCs w:val="28"/>
        </w:rPr>
        <w:t>供</w:t>
      </w:r>
      <w:r>
        <w:rPr>
          <w:rFonts w:hint="eastAsia" w:ascii="仿宋" w:hAnsi="仿宋" w:eastAsia="仿宋"/>
          <w:color w:val="000000"/>
          <w:sz w:val="28"/>
          <w:szCs w:val="28"/>
          <w:lang w:val="en-US" w:eastAsia="zh-CN"/>
        </w:rPr>
        <w:t>门禁UPS系统</w:t>
      </w:r>
      <w:r>
        <w:rPr>
          <w:rFonts w:hint="eastAsia" w:ascii="仿宋" w:hAnsi="仿宋" w:eastAsia="仿宋"/>
          <w:color w:val="000000"/>
          <w:sz w:val="28"/>
          <w:szCs w:val="28"/>
        </w:rPr>
        <w:t>及服务</w:t>
      </w:r>
      <w:r>
        <w:rPr>
          <w:rFonts w:ascii="仿宋" w:hAnsi="仿宋" w:eastAsia="仿宋"/>
          <w:color w:val="000000"/>
          <w:sz w:val="28"/>
          <w:szCs w:val="28"/>
        </w:rPr>
        <w:t>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color w:val="000000"/>
          <w:sz w:val="28"/>
          <w:szCs w:val="28"/>
        </w:rPr>
        <w:t>，具备相应的维护保养能力。在南昌市范围有固定服务机构优先。</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（3）参与人应遵守中国的有关法律、法规和规章的规定。</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（4）参与人具有相关</w:t>
      </w:r>
      <w:r>
        <w:rPr>
          <w:rFonts w:hint="eastAsia" w:ascii="仿宋" w:hAnsi="仿宋" w:eastAsia="仿宋"/>
          <w:color w:val="000000"/>
          <w:sz w:val="28"/>
          <w:szCs w:val="28"/>
          <w:lang w:val="en-US" w:eastAsia="zh-CN"/>
        </w:rPr>
        <w:t>同类产品</w:t>
      </w:r>
      <w:r>
        <w:rPr>
          <w:rFonts w:hint="eastAsia" w:ascii="仿宋" w:hAnsi="仿宋" w:eastAsia="仿宋"/>
          <w:color w:val="000000"/>
          <w:sz w:val="28"/>
          <w:szCs w:val="28"/>
        </w:rPr>
        <w:t>项目和良好的售后服务应用成功案例。近三年未发生重大安全或质量事故。</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（5）参与人须有良好的商业信誉和健全的财务制度。</w:t>
      </w:r>
    </w:p>
    <w:p>
      <w:pPr>
        <w:spacing w:after="0" w:line="500" w:lineRule="exact"/>
        <w:ind w:left="1130" w:leftChars="322" w:hanging="422" w:hangingChars="151"/>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（6）参与人有依法缴纳税金的良好记录。</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报价响应文件递交方式：密封报价，按规定时间送达。</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报价响应文件递交截止时间</w:t>
      </w:r>
      <w:r>
        <w:rPr>
          <w:rFonts w:hint="eastAsia" w:ascii="仿宋" w:hAnsi="仿宋" w:eastAsia="仿宋" w:cs="仿宋"/>
          <w:color w:val="000000"/>
          <w:sz w:val="28"/>
          <w:szCs w:val="28"/>
          <w:shd w:val="clear" w:color="auto" w:fill="FFFFFF"/>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9</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25下</w:t>
      </w:r>
      <w:r>
        <w:rPr>
          <w:rFonts w:hint="eastAsia" w:ascii="仿宋" w:hAnsi="仿宋" w:eastAsia="仿宋" w:cs="仿宋"/>
          <w:color w:val="000000"/>
          <w:sz w:val="28"/>
          <w:szCs w:val="28"/>
          <w:shd w:val="clear" w:color="auto" w:fill="FFFFFF"/>
        </w:rPr>
        <w:t>午</w:t>
      </w:r>
      <w:r>
        <w:rPr>
          <w:rFonts w:hint="eastAsia" w:ascii="仿宋" w:hAnsi="仿宋" w:eastAsia="仿宋" w:cs="仿宋"/>
          <w:color w:val="000000"/>
          <w:sz w:val="28"/>
          <w:szCs w:val="28"/>
          <w:shd w:val="clear" w:color="auto" w:fill="FFFFFF"/>
          <w:lang w:val="en-US" w:eastAsia="zh-CN"/>
        </w:rPr>
        <w:t>16</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00前</w:t>
      </w:r>
    </w:p>
    <w:p>
      <w:pPr>
        <w:pStyle w:val="60"/>
        <w:numPr>
          <w:ilvl w:val="1"/>
          <w:numId w:val="1"/>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报价响应文件递交地点：江西科技学院后勤中心</w:t>
      </w:r>
      <w:r>
        <w:rPr>
          <w:rFonts w:ascii="仿宋" w:hAnsi="仿宋" w:eastAsia="仿宋" w:cs="仿宋"/>
          <w:color w:val="000000"/>
          <w:sz w:val="28"/>
          <w:szCs w:val="28"/>
        </w:rPr>
        <w:t>204</w:t>
      </w:r>
    </w:p>
    <w:p>
      <w:pPr>
        <w:pStyle w:val="60"/>
        <w:spacing w:after="0" w:line="500" w:lineRule="exact"/>
        <w:ind w:left="839" w:firstLine="0"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联系人：吴震林；联系电话：0</w:t>
      </w:r>
      <w:r>
        <w:rPr>
          <w:rFonts w:ascii="仿宋" w:hAnsi="仿宋" w:eastAsia="仿宋" w:cs="仿宋"/>
          <w:color w:val="000000"/>
          <w:sz w:val="28"/>
          <w:szCs w:val="28"/>
        </w:rPr>
        <w:t>791</w:t>
      </w:r>
      <w:r>
        <w:rPr>
          <w:rFonts w:hint="eastAsia" w:ascii="仿宋" w:hAnsi="仿宋" w:eastAsia="仿宋" w:cs="仿宋"/>
          <w:color w:val="000000"/>
          <w:sz w:val="28"/>
          <w:szCs w:val="28"/>
        </w:rPr>
        <w:t>-</w:t>
      </w:r>
      <w:r>
        <w:rPr>
          <w:rFonts w:ascii="仿宋" w:hAnsi="仿宋" w:eastAsia="仿宋" w:cs="仿宋"/>
          <w:color w:val="000000"/>
          <w:sz w:val="28"/>
          <w:szCs w:val="28"/>
        </w:rPr>
        <w:t>88136832</w:t>
      </w:r>
      <w:r>
        <w:rPr>
          <w:rFonts w:hint="eastAsia" w:ascii="仿宋" w:hAnsi="仿宋" w:eastAsia="仿宋" w:cs="仿宋"/>
          <w:color w:val="000000"/>
          <w:sz w:val="28"/>
          <w:szCs w:val="28"/>
        </w:rPr>
        <w:t>，1</w:t>
      </w:r>
      <w:r>
        <w:rPr>
          <w:rFonts w:ascii="仿宋" w:hAnsi="仿宋" w:eastAsia="仿宋" w:cs="仿宋"/>
          <w:color w:val="000000"/>
          <w:sz w:val="28"/>
          <w:szCs w:val="28"/>
        </w:rPr>
        <w:t>3870830011</w:t>
      </w:r>
    </w:p>
    <w:p>
      <w:pPr>
        <w:spacing w:after="0" w:line="460" w:lineRule="exact"/>
        <w:ind w:left="559" w:leftChars="254" w:firstLine="0" w:firstLineChars="0"/>
        <w:rPr>
          <w:rFonts w:hint="eastAsia" w:ascii="仿宋" w:hAnsi="仿宋" w:eastAsia="仿宋" w:cs="仿宋"/>
          <w:color w:val="000000"/>
          <w:sz w:val="28"/>
          <w:szCs w:val="28"/>
          <w:lang w:eastAsia="zh-CN"/>
        </w:rPr>
      </w:pPr>
      <w:bookmarkStart w:id="51" w:name="_Hlk97917519"/>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公开询价邀请函列示清单内容存有疑问的</w:t>
      </w:r>
      <w:r>
        <w:rPr>
          <w:rFonts w:hint="eastAsia" w:ascii="仿宋" w:hAnsi="仿宋" w:eastAsia="仿宋" w:cs="仿宋"/>
          <w:color w:val="000000"/>
          <w:sz w:val="28"/>
          <w:szCs w:val="28"/>
        </w:rPr>
        <w:t>，请在报价响应文件递交截止之日前，将问题以书面形式（有效签署的原件并加盖公章）提交至学校业务对接人，联系人：</w:t>
      </w:r>
      <w:r>
        <w:rPr>
          <w:rFonts w:hint="eastAsia" w:ascii="仿宋" w:hAnsi="仿宋" w:eastAsia="仿宋"/>
          <w:color w:val="000000" w:themeColor="text1"/>
          <w:sz w:val="24"/>
          <w:szCs w:val="24"/>
          <w:lang w:val="en-US" w:eastAsia="zh-CN"/>
          <w14:textFill>
            <w14:solidFill>
              <w14:schemeClr w14:val="tx1"/>
            </w14:solidFill>
          </w14:textFill>
        </w:rPr>
        <w:t>刘浩</w:t>
      </w:r>
      <w:r>
        <w:rPr>
          <w:rFonts w:hint="eastAsia" w:ascii="仿宋" w:hAnsi="仿宋" w:eastAsia="仿宋" w:cs="仿宋"/>
          <w:color w:val="000000"/>
          <w:sz w:val="28"/>
          <w:szCs w:val="28"/>
        </w:rPr>
        <w:t>；电话：</w:t>
      </w:r>
      <w:r>
        <w:rPr>
          <w:rFonts w:hint="eastAsia" w:ascii="仿宋" w:hAnsi="仿宋" w:eastAsia="仿宋"/>
          <w:color w:val="000000" w:themeColor="text1"/>
          <w:sz w:val="24"/>
          <w:szCs w:val="24"/>
          <w:lang w:val="en-US" w:eastAsia="zh-CN"/>
          <w14:textFill>
            <w14:solidFill>
              <w14:schemeClr w14:val="tx1"/>
            </w14:solidFill>
          </w14:textFill>
        </w:rPr>
        <w:t xml:space="preserve">13576976116  </w:t>
      </w:r>
      <w:r>
        <w:rPr>
          <w:rFonts w:ascii="仿宋" w:hAnsi="仿宋" w:eastAsia="仿宋" w:cs="仿宋"/>
          <w:color w:val="000000"/>
          <w:sz w:val="28"/>
          <w:szCs w:val="28"/>
        </w:rPr>
        <w:t>；</w:t>
      </w:r>
      <w:r>
        <w:rPr>
          <w:rFonts w:hint="eastAsia" w:ascii="仿宋" w:hAnsi="仿宋" w:eastAsia="仿宋" w:cs="仿宋"/>
          <w:color w:val="000000"/>
          <w:sz w:val="28"/>
          <w:szCs w:val="28"/>
        </w:rPr>
        <w:t>加盖公章的质疑文件进行回复。采购人不对超时提交及未加盖公章的质疑文件进行回复</w:t>
      </w:r>
      <w:r>
        <w:rPr>
          <w:rFonts w:hint="eastAsia" w:ascii="仿宋" w:hAnsi="仿宋" w:eastAsia="仿宋" w:cs="仿宋"/>
          <w:color w:val="000000"/>
          <w:sz w:val="28"/>
          <w:szCs w:val="28"/>
          <w:lang w:eastAsia="zh-CN"/>
        </w:rPr>
        <w:t>。</w:t>
      </w:r>
    </w:p>
    <w:p>
      <w:pPr>
        <w:widowControl w:val="0"/>
        <w:tabs>
          <w:tab w:val="left" w:pos="839"/>
          <w:tab w:val="left" w:pos="1469"/>
        </w:tabs>
        <w:spacing w:after="0" w:line="460" w:lineRule="exact"/>
        <w:ind w:left="420"/>
        <w:textAlignment w:val="baseline"/>
        <w:rPr>
          <w:rFonts w:ascii="仿宋" w:hAnsi="仿宋" w:eastAsia="仿宋" w:cs="仿宋"/>
          <w:color w:val="000000"/>
          <w:sz w:val="28"/>
          <w:szCs w:val="28"/>
        </w:rPr>
      </w:pPr>
      <w:r>
        <w:rPr>
          <w:rFonts w:ascii="仿宋" w:hAnsi="仿宋" w:eastAsia="仿宋" w:cs="仿宋"/>
          <w:color w:val="000000"/>
          <w:sz w:val="28"/>
          <w:szCs w:val="28"/>
        </w:rPr>
        <w:t>9</w:t>
      </w:r>
      <w:r>
        <w:rPr>
          <w:rFonts w:hint="eastAsia"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33"/>
          <w:rFonts w:hint="eastAsia" w:ascii="仿宋" w:hAnsi="仿宋" w:eastAsia="仿宋" w:cs="仿宋"/>
          <w:color w:val="000000"/>
          <w:sz w:val="28"/>
          <w:szCs w:val="28"/>
          <w:u w:color="000000"/>
        </w:rPr>
        <w:t>www.ceghqxz.com</w:t>
      </w:r>
      <w:r>
        <w:rPr>
          <w:rStyle w:val="33"/>
          <w:rFonts w:hint="eastAsia" w:ascii="仿宋" w:hAnsi="仿宋" w:eastAsia="仿宋" w:cs="仿宋"/>
          <w:color w:val="000000"/>
          <w:sz w:val="28"/>
          <w:szCs w:val="28"/>
          <w:u w:color="000000"/>
        </w:rPr>
        <w:fldChar w:fldCharType="end"/>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采购过程和成交结果有异议的，</w:t>
      </w:r>
      <w:bookmarkEnd w:id="51"/>
      <w:r>
        <w:rPr>
          <w:rFonts w:hint="eastAsia" w:ascii="仿宋" w:hAnsi="仿宋" w:eastAsia="仿宋" w:cs="仿宋"/>
          <w:color w:val="000000"/>
          <w:sz w:val="28"/>
          <w:szCs w:val="28"/>
        </w:rPr>
        <w:t>请以书面形式（有效签署的原件并加盖公章），并附有相关的证据材料，提交至集团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w:t>
      </w:r>
    </w:p>
    <w:p>
      <w:pPr>
        <w:widowControl w:val="0"/>
        <w:tabs>
          <w:tab w:val="left" w:pos="839"/>
        </w:tabs>
        <w:spacing w:after="0" w:line="460" w:lineRule="exact"/>
        <w:ind w:left="839"/>
        <w:textAlignment w:val="baseline"/>
        <w:rPr>
          <w:rFonts w:ascii="仿宋" w:hAnsi="仿宋" w:eastAsia="仿宋" w:cs="仿宋"/>
          <w:color w:val="000000"/>
          <w:sz w:val="28"/>
          <w:szCs w:val="28"/>
        </w:rPr>
      </w:pPr>
      <w:r>
        <w:rPr>
          <w:rFonts w:hint="eastAsia" w:ascii="仿宋" w:hAnsi="仿宋" w:eastAsia="仿宋" w:cs="仿宋"/>
          <w:color w:val="000000"/>
          <w:sz w:val="28"/>
          <w:szCs w:val="28"/>
        </w:rPr>
        <w:t>投诉受理部门：中教集团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部，投诉电话： 0791-88106510 /0791-88102608</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1.所有货物均以人民币报价；</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报价</w:t>
      </w:r>
      <w:r>
        <w:rPr>
          <w:rFonts w:hint="eastAsia" w:ascii="仿宋" w:hAnsi="仿宋" w:eastAsia="仿宋"/>
          <w:color w:val="000000"/>
          <w:sz w:val="28"/>
          <w:szCs w:val="28"/>
        </w:rPr>
        <w:t>响应文件的编制：参与人所投响应文件应分为商务部分以及技术部分两个文件并且独立密封，提供正本：一份，副本：一份，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b/>
          <w:bCs/>
          <w:color w:val="000000"/>
          <w:sz w:val="28"/>
          <w:szCs w:val="28"/>
        </w:rPr>
        <w:t>报价响应文件及所有相关资料需同时进行密封处理，并在密封处加盖公章，未做密封处理及未加盖公章的视为无效报价；</w:t>
      </w:r>
      <w:r>
        <w:rPr>
          <w:rFonts w:hint="eastAsia" w:ascii="仿宋" w:hAnsi="仿宋" w:eastAsia="仿宋"/>
          <w:b/>
          <w:bCs/>
          <w:color w:val="000000"/>
          <w:sz w:val="28"/>
          <w:szCs w:val="28"/>
          <w:lang w:val="en-US" w:eastAsia="zh-CN"/>
        </w:rPr>
        <w:t>技术部分不能体现价格等商务部分内容，技术和商务分开密封</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3.报价响应文件用不退色墨水书写或打印，因字迹潦草或表达不清所引起的后果由参与人自负；</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 法定代表人为同一人的两个及两个以上法人；</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 母公司、直接或间接持股50％及以上的被投资公司;</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 均为同一家母公司直接或间接持股50％及以上的被投资公司。</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三、售后服务要求</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1.免费保修期</w:t>
      </w:r>
      <w:r>
        <w:rPr>
          <w:rFonts w:hint="eastAsia" w:ascii="仿宋" w:hAnsi="仿宋" w:eastAsia="仿宋"/>
          <w:color w:val="000000"/>
          <w:sz w:val="28"/>
          <w:szCs w:val="28"/>
          <w:lang w:val="en-US" w:eastAsia="zh-CN"/>
        </w:rPr>
        <w:t>不低于3年</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2.应急维修时间安排</w:t>
      </w:r>
      <w:r>
        <w:rPr>
          <w:rFonts w:hint="eastAsia" w:ascii="仿宋" w:hAnsi="仿宋" w:eastAsia="仿宋"/>
          <w:color w:val="000000"/>
          <w:sz w:val="28"/>
          <w:szCs w:val="28"/>
          <w:lang w:val="en-US" w:eastAsia="zh-CN"/>
        </w:rPr>
        <w:t>48小时以内</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3.培训计划及人员安排；</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4.维修地点、地址、联系电话及联系人员；</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5.维修服务收费标准；</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6.主要零配件及易耗品价格；</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7.制造商的技术支持；</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本项目为自有资金而非财政性资金采购，采购人按企业内部规定的标准进行评定 。</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参与人所投物品符合需求、质量和服务等的要求,经过磋商所报价格为合理价格的参与人为成交参与人。</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最低报价不作为成交的保证。</w:t>
      </w:r>
    </w:p>
    <w:p>
      <w:pPr>
        <w:widowControl w:val="0"/>
        <w:spacing w:after="0" w:line="500" w:lineRule="exact"/>
        <w:ind w:left="426"/>
        <w:jc w:val="left"/>
        <w:textAlignment w:val="baseline"/>
        <w:rPr>
          <w:rFonts w:hint="eastAsia" w:ascii="仿宋" w:hAnsi="仿宋" w:eastAsia="仿宋"/>
          <w:color w:val="000000"/>
          <w:sz w:val="28"/>
          <w:szCs w:val="28"/>
        </w:rPr>
      </w:pPr>
    </w:p>
    <w:p>
      <w:pPr>
        <w:spacing w:after="0" w:line="500" w:lineRule="exact"/>
        <w:jc w:val="left"/>
        <w:textAlignment w:val="baseline"/>
        <w:rPr>
          <w:rFonts w:ascii="仿宋" w:hAnsi="仿宋" w:eastAsia="仿宋"/>
          <w:color w:val="000000"/>
          <w:sz w:val="24"/>
          <w:szCs w:val="24"/>
        </w:rPr>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60"/>
        <w:spacing w:after="0" w:line="500" w:lineRule="exact"/>
        <w:ind w:firstLine="0" w:firstLineChars="0"/>
        <w:jc w:val="left"/>
        <w:textAlignment w:val="baseline"/>
        <w:rPr>
          <w:rFonts w:ascii="仿宋" w:hAnsi="仿宋" w:eastAsia="仿宋"/>
          <w:color w:val="000000"/>
          <w:sz w:val="24"/>
          <w:szCs w:val="24"/>
        </w:rPr>
      </w:pPr>
    </w:p>
    <w:p>
      <w:pPr>
        <w:spacing w:after="0" w:line="500" w:lineRule="exact"/>
        <w:ind w:firstLine="6720" w:firstLineChars="24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江西科技学院</w:t>
      </w:r>
    </w:p>
    <w:p>
      <w:pPr>
        <w:pStyle w:val="57"/>
        <w:spacing w:after="160" w:line="360" w:lineRule="auto"/>
        <w:jc w:val="both"/>
        <w:textAlignment w:val="baseline"/>
        <w:rPr>
          <w:rFonts w:ascii="仿宋" w:hAnsi="仿宋" w:eastAsia="仿宋"/>
          <w:b/>
          <w:sz w:val="44"/>
          <w:szCs w:val="44"/>
        </w:rPr>
      </w:pPr>
    </w:p>
    <w:bookmarkEnd w:id="50"/>
    <w:p>
      <w:pPr>
        <w:pStyle w:val="57"/>
        <w:spacing w:after="160" w:line="360" w:lineRule="auto"/>
        <w:jc w:val="center"/>
        <w:textAlignment w:val="baseline"/>
        <w:rPr>
          <w:rFonts w:hint="eastAsia" w:ascii="仿宋" w:hAnsi="仿宋" w:eastAsia="仿宋" w:cs="仿宋"/>
          <w:b/>
          <w:sz w:val="36"/>
          <w:szCs w:val="36"/>
          <w:lang w:val="en-US"/>
        </w:rPr>
      </w:pPr>
      <w:r>
        <w:rPr>
          <w:rFonts w:hint="eastAsia" w:ascii="仿宋" w:hAnsi="仿宋" w:eastAsia="仿宋" w:cs="仿宋"/>
          <w:b/>
          <w:bCs/>
          <w:i w:val="0"/>
          <w:iCs w:val="0"/>
          <w:color w:val="000000"/>
          <w:kern w:val="2"/>
          <w:sz w:val="28"/>
          <w:szCs w:val="28"/>
          <w:lang w:val="en-US" w:eastAsia="zh-CN"/>
        </w:rPr>
        <w:t>货 物 清 单</w:t>
      </w:r>
    </w:p>
    <w:tbl>
      <w:tblPr>
        <w:tblStyle w:val="27"/>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31"/>
        <w:gridCol w:w="4387"/>
        <w:gridCol w:w="720"/>
        <w:gridCol w:w="735"/>
        <w:gridCol w:w="727"/>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92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智慧门禁与UPS系统清单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性能与参数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人脸识别机</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MSE745人脸识别智慧终端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门禁电源适配器</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插墙式电源适配器AC100V~240V-12V2A-V级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双门磁力锁</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280kg*2(600Lbs*2)静态直线拉力</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可自行设定12VDC或24VDC</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内置反向电流保护装置（MOV）</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防残磁设计，防磨损材料制造</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LED指示灯显示门锁状态</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门锁状态信号输出(NO\NC\COM)</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铝外壳采用高强度合金材料，阳极硬化处理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完全电磁吸力工作，不存在机械故障</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加大电磁吸力、专业设计、双重锁体绝缘处理</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适用于木门、玻璃门、金属门、防火门等</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闭门器</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铝合金材质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开门按钮</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根据需求提供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电源线</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RVV2*1.0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信号线</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RVV4*1.5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网线</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超五类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PVC管</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直径25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三相电，单进三出，10KVA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100AH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装16节电池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电池连接线</w:t>
            </w:r>
          </w:p>
        </w:tc>
        <w:tc>
          <w:tcPr>
            <w:tcW w:w="4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带金属扣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总价</w:t>
            </w:r>
          </w:p>
        </w:tc>
        <w:tc>
          <w:tcPr>
            <w:tcW w:w="73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bl>
    <w:p>
      <w:pPr>
        <w:pStyle w:val="57"/>
        <w:spacing w:after="160" w:line="360" w:lineRule="auto"/>
        <w:jc w:val="both"/>
        <w:textAlignment w:val="baseline"/>
        <w:rPr>
          <w:rFonts w:hint="eastAsia" w:ascii="仿宋" w:hAnsi="仿宋" w:eastAsia="仿宋"/>
          <w:sz w:val="28"/>
          <w:szCs w:val="28"/>
        </w:rPr>
      </w:pPr>
    </w:p>
    <w:tbl>
      <w:tblPr>
        <w:tblStyle w:val="27"/>
        <w:tblW w:w="9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968"/>
        <w:gridCol w:w="5715"/>
        <w:gridCol w:w="480"/>
        <w:gridCol w:w="480"/>
        <w:gridCol w:w="427"/>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236" w:type="dxa"/>
            <w:gridSpan w:val="7"/>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通道设备清单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5" w:hRule="atLeast"/>
        </w:trPr>
        <w:tc>
          <w:tcPr>
            <w:tcW w:w="5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室内单机芯无刷通用翼闸</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综合性能：1. 设备采用直流有刷电机加编码盘，通过自研算法有效保障设备稳定可靠运行，最少支持300万次无故障通行；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设备可联网运行，支持远程控制管理功能，也可单机离线运行；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设备支持人数统计功能，可针对进出方向分别进行统计；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设备集成语音模块，可根据用户需求自定义语音播报内容；</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 设备集成门禁主控板，可扩展人脸识别组件、读卡器、二维码、指纹(二维码与指纹二选一）等多种认证方式；</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2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3"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通行控制</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 经授权人员才能通过，未经授权人员无法通行；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设备具有自动复位功能，开门后在规定的时间内未通行，系统将自动取消用户的本次通行的权限，可设定通行时间；</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设备支持进出方向通行状态（受控、自由通行、禁止通行）的灵活配置；</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设备支持记忆模式，可实现连续快速通行；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 设备支持跨主机反潜回功能，有效防止未授权人员尾随进入；</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 设备支持分时间段（最多支持8个时间段）常开、常闭模式灵活选择；</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 设备集成了无线接收器，搭配遥控器使用可实现遥控开门</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安全设计</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 设备具有消防联动接口，当消防信号触发时，门翼自动打开，快速引导人员疏散；</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设备标配超级电容，支持断电通行，断电时门翼自动打开，人员可自由通行，防止恐慌；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设备采用6对红外检测传感器，采用防尾随跟踪控制技术，授权人员才能通过，未经授权人员尾随闯入时会发出声光报警；</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设备具备防夹功能，在门翼复位的过程中遇阻时电机自动停止工作,防止人员受伤；</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6"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体验设计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极具辨识度的外观设计，造型美观、大方，结构稳固、耐用，颠覆低端闸机的刻板印象；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闸机顶盖使用免喷涂塑料结构件，采用一体化注塑成型工艺，打造与环境融合的花岗岩纹理，无需表面喷塑或喷漆，更安全、更环保、更美观；</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设备采用LED指示通行方向，显示通行状态，指示灯亮度可自定义调节；</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安装维护</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设备采用特殊风道设计及器件保护罩，最大程度解决凝露问题；</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设备具备自检测、自诊断、自动报警及声光报警功能，含非法闯入报警，反向闯入报警，尾随报警，翻越报警；</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自带漏电保护器，整机相关电气模块工作电压均不超过24V。</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4"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1、产品尺寸：1207mm*990mm*198mm/315mm（最窄处/最宽处)</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2、通道宽度：600mm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3、箱体材质：SUS304拉丝不锈钢，壁厚1.2mm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4、门翼材质：亚克力(门翼厚度为15mm)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5、电机类型：直流有刷电机</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6、红外对数：6对</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7、使用环境：室内外</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8、设备容量：支持6万张普通卡、3千张来宾卡、18万条事件记录</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9、超级电容：闸机标配超级电容，断电后门翼自动打开（符合消防要求）</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10、通行速度：20-60人每分钟，受人员情况和通行模式影响</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11、电压功率：AC 100~240V/50~60HZ/ 单通道（一组通道）额定功率：150W</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12、工作温度：-20℃~70℃</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13、物理接口：TCP/IP,I/O,RS232,RS485S</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室内双机芯无刷通用翼闸</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综合性能</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设备采用直流有刷电机加编码盘，通过自研算法有效保障设备稳定可靠运行，最少支持300万次无故障通行；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设备可联网运行，支持远程控制管理功能，也可单机离线运行；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设备支持人数统计功能，可针对进出方向分别进行统计；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设备集成语音模块，可根据用户需求自定义语音播报内容；</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 设备集成门禁主控板，可扩展人脸识别组件、读卡器、二维码、指纹(二维码与指纹二选一）等多种认证方式；</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2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8"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通行控制</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经授权人员才能通过，未经授权人员无法通行；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设备具有自动复位功能，开门后在规定的时间内未通行，系统将自动取消用户的本次通行的权限，可设定通行时间；</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设备支持进出方向通行状态（受控、自由通行、禁止通行）的灵活配置；</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设备支持记忆模式，可实现连续快速通行；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 设备支持跨主机反潜回功能，有效防止未授权人员尾随进入；</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 设备支持分时间段（最多支持8个时间段）常开、常闭模式灵活选择；</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 设备集成了无线接收器，搭配遥控器使用可实现遥控开门</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5"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安全设计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设备具有消防联动接口，当消防信号触发时，门翼自动打开，快速引导人员疏散；</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设备标配超级电容，支持断电通行，断电时门翼自动打开，人员可自由通行，防止恐慌；</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设备采用6对红外检测传感器，采用防尾随跟踪控制技术，授权人员才能通过，未经授权人员尾随闯入时会发出声光报警；</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设备具备防夹功能，在门翼复位的过程中遇阻时电机自动停止工作,防止人员受伤；</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体验设计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极具辨识度的外观设计，造型美观、大方，结构稳固、耐用，颠覆低端闸机的刻板印象；</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闸机顶盖使用免喷涂塑料结构件，采用一体化注塑成型工艺，打造与环境融合的花岗岩纹理，无需表面喷塑或喷漆，更安全、更环保、更美观；</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设备采用LED指示通行方向，显示通行状态，指示灯亮度可自定义调节；</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安装维护</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设备采用特殊风道设计及器件保护罩，最大程度解决凝露问题；</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设备具备自检测、自诊断、自动报警及声光报警功能，含非法闯入报警，反向闯入报警，尾随报警，翻越报警；</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自带漏电保护器，整机相关电气模块工作电压均不超过24V。</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6"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1、产品尺寸：1207mm*990mm*198mm/315mm（最窄处/最宽处)</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2、通道宽度：600mm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3、箱体材质：SUS304拉丝不锈钢，壁厚1.2mm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4、门翼材质：亚克力(门翼厚度为15mm)</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5、电机类型：直流有刷电机</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6、红外对数：6对</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7、使用环境：室内外</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8、设备容量：支持6万张普通卡、3千张来宾卡、18万条事件记录</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9、超级电容：闸机标配超级电容，断电后门翼自动打开（符合消防要求）</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10、通行速度：20-60人每分钟，受人员情况和通行模式影响</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11、电压功率：AC 100~240V/50~60HZ/ 单通道（一组通道）额定功率：150W</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12、工作温度：-20℃~70℃</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13、物理接口：TCP/IP,I/O,RS232,RS485S</w:t>
            </w: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2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人脸识别机</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MSE745人脸识别智慧终端</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支架</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根据需求提供</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自动门</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w:t>
            </w:r>
          </w:p>
        </w:tc>
        <w:tc>
          <w:tcPr>
            <w:tcW w:w="5715"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网线、电源线、千兆工业交换机等</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27"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6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总价</w:t>
            </w:r>
          </w:p>
        </w:tc>
        <w:tc>
          <w:tcPr>
            <w:tcW w:w="7732" w:type="dxa"/>
            <w:gridSpan w:val="5"/>
            <w:tcBorders>
              <w:top w:val="single" w:color="000000" w:sz="8" w:space="0"/>
              <w:left w:val="single" w:color="000000" w:sz="8" w:space="0"/>
              <w:bottom w:val="single" w:color="000000" w:sz="8" w:space="0"/>
              <w:right w:val="single" w:color="000000" w:sz="8" w:space="0"/>
            </w:tcBorders>
            <w:shd w:val="clear" w:color="auto" w:fill="auto"/>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合计（两项）</w:t>
            </w:r>
          </w:p>
        </w:tc>
        <w:tc>
          <w:tcPr>
            <w:tcW w:w="7732" w:type="dxa"/>
            <w:gridSpan w:val="5"/>
            <w:tcBorders>
              <w:top w:val="single" w:color="000000" w:sz="8" w:space="0"/>
              <w:left w:val="single" w:color="000000" w:sz="8" w:space="0"/>
              <w:bottom w:val="single" w:color="000000" w:sz="8" w:space="0"/>
              <w:right w:val="single" w:color="000000" w:sz="8" w:space="0"/>
            </w:tcBorders>
            <w:shd w:val="clear" w:color="auto" w:fill="auto"/>
            <w:vAlign w:val="bottom"/>
          </w:tcPr>
          <w:p>
            <w:pPr>
              <w:rPr>
                <w:rFonts w:hint="eastAsia" w:ascii="仿宋" w:hAnsi="仿宋" w:eastAsia="仿宋" w:cs="仿宋"/>
                <w:i w:val="0"/>
                <w:iCs w:val="0"/>
                <w:color w:val="000000"/>
                <w:sz w:val="20"/>
                <w:szCs w:val="20"/>
                <w:u w:val="none"/>
              </w:rPr>
            </w:pPr>
          </w:p>
        </w:tc>
      </w:tr>
    </w:tbl>
    <w:p>
      <w:pPr>
        <w:pStyle w:val="57"/>
        <w:spacing w:after="160" w:line="360" w:lineRule="auto"/>
        <w:jc w:val="both"/>
        <w:textAlignment w:val="baseline"/>
        <w:rPr>
          <w:rFonts w:hint="eastAsia" w:ascii="仿宋" w:hAnsi="仿宋" w:eastAsia="仿宋"/>
          <w:sz w:val="28"/>
          <w:szCs w:val="28"/>
        </w:rPr>
      </w:pPr>
    </w:p>
    <w:p>
      <w:pPr>
        <w:pStyle w:val="57"/>
        <w:spacing w:after="160" w:line="360" w:lineRule="auto"/>
        <w:jc w:val="both"/>
        <w:textAlignment w:val="baseline"/>
        <w:rPr>
          <w:rFonts w:hint="eastAsia" w:ascii="仿宋" w:hAnsi="仿宋" w:eastAsia="仿宋"/>
          <w:sz w:val="28"/>
          <w:szCs w:val="28"/>
        </w:rPr>
      </w:pPr>
    </w:p>
    <w:p>
      <w:pPr>
        <w:pStyle w:val="57"/>
        <w:spacing w:after="160" w:line="360" w:lineRule="auto"/>
        <w:jc w:val="both"/>
        <w:textAlignment w:val="baseline"/>
        <w:rPr>
          <w:rFonts w:ascii="仿宋" w:hAnsi="仿宋" w:eastAsia="仿宋"/>
          <w:b/>
          <w:sz w:val="30"/>
          <w:szCs w:val="30"/>
        </w:rPr>
      </w:pPr>
      <w:r>
        <w:rPr>
          <w:rFonts w:hint="eastAsia" w:ascii="仿宋" w:hAnsi="仿宋" w:eastAsia="仿宋"/>
          <w:sz w:val="28"/>
          <w:szCs w:val="28"/>
        </w:rPr>
        <w:t>注：</w:t>
      </w:r>
    </w:p>
    <w:p>
      <w:pPr>
        <w:numPr>
          <w:ilvl w:val="0"/>
          <w:numId w:val="2"/>
        </w:numPr>
        <w:spacing w:after="0" w:line="440" w:lineRule="exact"/>
        <w:ind w:left="640" w:leftChars="0" w:firstLineChars="0"/>
        <w:textAlignment w:val="baseline"/>
        <w:rPr>
          <w:rFonts w:ascii="仿宋" w:hAnsi="仿宋" w:eastAsia="仿宋"/>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sz w:val="28"/>
          <w:szCs w:val="28"/>
        </w:rPr>
        <w:t>。</w:t>
      </w:r>
    </w:p>
    <w:p>
      <w:pPr>
        <w:numPr>
          <w:ilvl w:val="0"/>
          <w:numId w:val="2"/>
        </w:numPr>
        <w:spacing w:after="0" w:line="440" w:lineRule="exact"/>
        <w:ind w:left="640" w:leftChars="0" w:firstLineChars="0"/>
        <w:textAlignment w:val="baseline"/>
        <w:rPr>
          <w:rFonts w:ascii="仿宋" w:hAnsi="仿宋" w:eastAsia="仿宋"/>
          <w:bCs/>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w:t>
      </w:r>
    </w:p>
    <w:p>
      <w:pPr>
        <w:numPr>
          <w:ilvl w:val="0"/>
          <w:numId w:val="2"/>
        </w:numPr>
        <w:spacing w:after="0" w:line="440" w:lineRule="exact"/>
        <w:ind w:left="640" w:leftChars="0" w:firstLineChars="0"/>
        <w:textAlignment w:val="baseline"/>
        <w:rPr>
          <w:rFonts w:ascii="仿宋" w:hAnsi="仿宋" w:eastAsia="仿宋"/>
          <w:b/>
          <w:color w:val="000000"/>
          <w:sz w:val="28"/>
          <w:szCs w:val="28"/>
        </w:rPr>
      </w:pPr>
      <w:r>
        <w:rPr>
          <w:rFonts w:hint="eastAsia" w:ascii="仿宋" w:hAnsi="仿宋" w:eastAsia="仿宋"/>
          <w:bCs/>
          <w:color w:val="000000"/>
          <w:sz w:val="28"/>
          <w:szCs w:val="28"/>
        </w:rPr>
        <w:t>参与人所投商品报价应包含税费、运输费、搬运费、整体实施、安装（调试费、售后服务等一切费用，</w:t>
      </w:r>
      <w:r>
        <w:rPr>
          <w:rFonts w:hint="eastAsia" w:ascii="仿宋" w:hAnsi="仿宋" w:eastAsia="仿宋" w:cs="仿宋"/>
          <w:b/>
          <w:sz w:val="28"/>
          <w:szCs w:val="28"/>
        </w:rPr>
        <w:t>供应商务必自行踏勘现场，测算具体工程量，一次性包干，结算时合同价不作调整，</w:t>
      </w:r>
      <w:r>
        <w:rPr>
          <w:rFonts w:hint="eastAsia" w:ascii="仿宋" w:hAnsi="仿宋" w:eastAsia="仿宋"/>
          <w:b/>
          <w:color w:val="000000"/>
          <w:sz w:val="28"/>
          <w:szCs w:val="28"/>
        </w:rPr>
        <w:t>确保为交钥匙工程。</w:t>
      </w:r>
    </w:p>
    <w:p>
      <w:pPr>
        <w:spacing w:after="0" w:line="440" w:lineRule="exact"/>
        <w:textAlignment w:val="baseline"/>
        <w:rPr>
          <w:rFonts w:ascii="仿宋" w:hAnsi="仿宋" w:eastAsia="仿宋"/>
          <w:b/>
          <w:color w:val="000000"/>
          <w:sz w:val="28"/>
          <w:szCs w:val="28"/>
        </w:rPr>
        <w:sectPr>
          <w:headerReference r:id="rId7" w:type="first"/>
          <w:headerReference r:id="rId6" w:type="default"/>
          <w:pgSz w:w="11906" w:h="16838"/>
          <w:pgMar w:top="1440" w:right="1416" w:bottom="1440" w:left="1134" w:header="851" w:footer="680" w:gutter="0"/>
          <w:cols w:space="425" w:num="1"/>
          <w:titlePg/>
          <w:docGrid w:type="lines" w:linePitch="312" w:charSpace="0"/>
        </w:sectPr>
      </w:pPr>
    </w:p>
    <w:p>
      <w:pPr>
        <w:pStyle w:val="2"/>
        <w:rPr>
          <w:rFonts w:ascii="仿宋" w:hAnsi="仿宋" w:eastAsia="仿宋"/>
          <w:b/>
          <w:color w:val="000000"/>
          <w:sz w:val="44"/>
          <w:szCs w:val="44"/>
        </w:rPr>
      </w:pPr>
    </w:p>
    <w:p>
      <w:pPr>
        <w:pStyle w:val="2"/>
        <w:rPr>
          <w:rFonts w:ascii="仿宋" w:hAnsi="仿宋" w:eastAsia="仿宋"/>
          <w:b/>
          <w:color w:val="000000"/>
          <w:sz w:val="44"/>
          <w:szCs w:val="44"/>
        </w:rPr>
      </w:pPr>
    </w:p>
    <w:p>
      <w:pPr>
        <w:spacing w:line="1000" w:lineRule="exact"/>
        <w:ind w:firstLine="1767" w:firstLineChars="400"/>
        <w:textAlignment w:val="baseline"/>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2"/>
        <w:rPr>
          <w:rFonts w:hint="eastAsia" w:ascii="仿宋" w:hAnsi="仿宋" w:eastAsia="仿宋"/>
          <w:b/>
          <w:color w:val="000000"/>
          <w:sz w:val="44"/>
          <w:szCs w:val="44"/>
        </w:rPr>
      </w:pPr>
    </w:p>
    <w:p>
      <w:pPr>
        <w:pStyle w:val="17"/>
        <w:ind w:left="0" w:leftChars="0" w:firstLine="0" w:firstLineChars="0"/>
        <w:rPr>
          <w:rFonts w:hint="eastAsia" w:ascii="仿宋" w:hAnsi="仿宋" w:eastAsia="仿宋"/>
          <w:b/>
          <w:color w:val="000000"/>
          <w:sz w:val="44"/>
          <w:szCs w:val="44"/>
        </w:rPr>
      </w:pPr>
    </w:p>
    <w:p>
      <w:pPr>
        <w:pStyle w:val="17"/>
        <w:ind w:left="3919" w:leftChars="254" w:hanging="3360" w:hangingChars="1200"/>
        <w:rPr>
          <w:rFonts w:ascii="仿宋" w:hAnsi="仿宋" w:eastAsia="仿宋"/>
          <w:b/>
          <w:color w:val="000000"/>
          <w:sz w:val="44"/>
          <w:szCs w:val="44"/>
        </w:rPr>
      </w:pPr>
      <w:r>
        <w:drawing>
          <wp:anchor distT="0" distB="0" distL="114300" distR="114300" simplePos="0" relativeHeight="251661312" behindDoc="0" locked="0" layoutInCell="1" allowOverlap="1">
            <wp:simplePos x="0" y="0"/>
            <wp:positionH relativeFrom="column">
              <wp:posOffset>1603375</wp:posOffset>
            </wp:positionH>
            <wp:positionV relativeFrom="page">
              <wp:posOffset>896620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b/>
          <w:color w:val="000000"/>
          <w:sz w:val="44"/>
          <w:szCs w:val="44"/>
        </w:rPr>
        <w:t>江西科技学院关于</w:t>
      </w:r>
      <w:r>
        <w:rPr>
          <w:rFonts w:hint="eastAsia" w:ascii="仿宋" w:hAnsi="仿宋" w:eastAsia="仿宋"/>
          <w:b/>
          <w:color w:val="000000"/>
          <w:sz w:val="44"/>
          <w:szCs w:val="44"/>
          <w:lang w:val="en-US" w:eastAsia="zh-CN"/>
        </w:rPr>
        <w:t>第十一期工程门禁UPS系统</w:t>
      </w:r>
      <w:r>
        <w:rPr>
          <w:rFonts w:hint="eastAsia" w:ascii="仿宋" w:hAnsi="仿宋" w:eastAsia="仿宋"/>
          <w:b/>
          <w:color w:val="000000"/>
          <w:sz w:val="44"/>
          <w:szCs w:val="44"/>
        </w:rPr>
        <w:t>采购项目</w:t>
      </w:r>
    </w:p>
    <w:p>
      <w:pPr>
        <w:spacing w:line="580" w:lineRule="exact"/>
        <w:jc w:val="center"/>
        <w:textAlignment w:val="baseline"/>
        <w:rPr>
          <w:rFonts w:ascii="仿宋" w:hAnsi="仿宋" w:eastAsia="仿宋"/>
          <w:b/>
          <w:color w:val="000000"/>
          <w:sz w:val="52"/>
          <w:szCs w:val="52"/>
        </w:rPr>
      </w:pP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textAlignment w:val="baseline"/>
        <w:rPr>
          <w:rFonts w:ascii="仿宋" w:hAnsi="仿宋" w:eastAsia="仿宋"/>
          <w:b/>
          <w:color w:val="000000"/>
          <w:sz w:val="72"/>
          <w:szCs w:val="72"/>
        </w:rPr>
      </w:pP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参与人授权代表：X</w:t>
      </w:r>
      <w:r>
        <w:rPr>
          <w:rFonts w:ascii="仿宋" w:hAnsi="仿宋" w:eastAsia="仿宋"/>
          <w:b/>
          <w:color w:val="000000"/>
          <w:sz w:val="30"/>
          <w:szCs w:val="30"/>
        </w:rPr>
        <w:t>XXX</w:t>
      </w:r>
    </w:p>
    <w:p>
      <w:pPr>
        <w:jc w:val="center"/>
        <w:textAlignment w:val="baseline"/>
        <w:rPr>
          <w:rFonts w:ascii="仿宋" w:hAnsi="仿宋" w:eastAsia="仿宋"/>
          <w:b/>
          <w:color w:val="000000"/>
          <w:sz w:val="36"/>
          <w:szCs w:val="36"/>
        </w:rPr>
      </w:pPr>
    </w:p>
    <w:p>
      <w:pPr>
        <w:jc w:val="both"/>
        <w:textAlignment w:val="baseline"/>
        <w:rPr>
          <w:rFonts w:ascii="仿宋" w:hAnsi="仿宋" w:eastAsia="仿宋"/>
          <w:b/>
          <w:bCs/>
          <w:color w:val="000000"/>
          <w:sz w:val="30"/>
          <w:szCs w:val="30"/>
        </w:rPr>
      </w:pPr>
    </w:p>
    <w:p>
      <w:pPr>
        <w:pStyle w:val="2"/>
        <w:textAlignment w:val="baseline"/>
      </w:pPr>
    </w:p>
    <w:p>
      <w:pPr>
        <w:textAlignment w:val="baseline"/>
        <w:rPr>
          <w:rFonts w:ascii="仿宋" w:hAnsi="仿宋" w:eastAsia="仿宋"/>
          <w:b/>
          <w:bCs/>
          <w:color w:val="000000"/>
          <w:sz w:val="30"/>
          <w:szCs w:val="30"/>
        </w:rPr>
      </w:pPr>
    </w:p>
    <w:p>
      <w:pPr>
        <w:jc w:val="center"/>
        <w:textAlignment w:val="baseline"/>
        <w:rPr>
          <w:rFonts w:ascii="仿宋" w:hAnsi="仿宋" w:eastAsia="仿宋"/>
          <w:b/>
          <w:bCs/>
          <w:color w:val="000000"/>
          <w:sz w:val="30"/>
          <w:szCs w:val="30"/>
        </w:rPr>
        <w:sectPr>
          <w:headerReference r:id="rId9" w:type="first"/>
          <w:headerReference r:id="rId8" w:type="default"/>
          <w:type w:val="continuous"/>
          <w:pgSz w:w="11906" w:h="16838"/>
          <w:pgMar w:top="1440" w:right="1416" w:bottom="1440" w:left="1134" w:header="851" w:footer="680" w:gutter="0"/>
          <w:cols w:space="425" w:num="1"/>
          <w:titlePg/>
          <w:docGrid w:type="lines" w:linePitch="312" w:charSpace="0"/>
        </w:sectPr>
      </w:pPr>
      <w:r>
        <w:rPr>
          <w:rFonts w:hint="eastAsia" w:ascii="仿宋" w:hAnsi="仿宋" w:eastAsia="仿宋"/>
          <w:b/>
          <w:bCs/>
          <w:color w:val="000000"/>
          <w:sz w:val="30"/>
          <w:szCs w:val="30"/>
        </w:rPr>
        <w:t>此封面应作为报价响应文件封面</w:t>
      </w:r>
    </w:p>
    <w:p>
      <w:pPr>
        <w:ind w:firstLine="3654" w:firstLineChars="1300"/>
        <w:jc w:val="both"/>
        <w:textAlignment w:val="baseline"/>
        <w:rPr>
          <w:rFonts w:ascii="仿宋" w:hAnsi="仿宋" w:eastAsia="仿宋" w:cs="仿宋"/>
          <w:b/>
          <w:bCs/>
          <w:color w:val="000000"/>
          <w:sz w:val="28"/>
          <w:szCs w:val="28"/>
        </w:rPr>
      </w:pPr>
      <w:bookmarkStart w:id="52" w:name="_Toc160880160"/>
      <w:bookmarkStart w:id="53" w:name="_Toc235437991"/>
      <w:bookmarkStart w:id="54" w:name="_Toc177985469"/>
      <w:bookmarkStart w:id="55" w:name="_Toc235438274"/>
      <w:bookmarkStart w:id="56" w:name="_Toc230071147"/>
      <w:bookmarkStart w:id="57" w:name="_Toc211917116"/>
      <w:bookmarkStart w:id="58" w:name="_Toc267059030"/>
      <w:bookmarkStart w:id="59" w:name="_Toc236021449"/>
      <w:bookmarkStart w:id="60" w:name="_Toc213755995"/>
      <w:bookmarkStart w:id="61" w:name="_Toc193165734"/>
      <w:bookmarkStart w:id="62" w:name="_Toc266868937"/>
      <w:bookmarkStart w:id="63" w:name="_Toc266868670"/>
      <w:bookmarkStart w:id="64" w:name="_Toc253066614"/>
      <w:bookmarkStart w:id="65" w:name="_Toc213755858"/>
      <w:bookmarkStart w:id="66" w:name="_Toc267060321"/>
      <w:bookmarkStart w:id="67" w:name="_Toc267060208"/>
      <w:bookmarkStart w:id="68" w:name="_Toc259692647"/>
      <w:bookmarkStart w:id="69" w:name="_Toc267059539"/>
      <w:bookmarkStart w:id="70" w:name="_Toc259692740"/>
      <w:bookmarkStart w:id="71" w:name="_Toc267060453"/>
      <w:bookmarkStart w:id="72" w:name="_Toc192664153"/>
      <w:bookmarkStart w:id="73" w:name="_Toc249325711"/>
      <w:bookmarkStart w:id="74" w:name="_Toc213755939"/>
      <w:bookmarkStart w:id="75" w:name="_Toc266870907"/>
      <w:bookmarkStart w:id="76" w:name="_Toc203355733"/>
      <w:bookmarkStart w:id="77" w:name="_Toc251613829"/>
      <w:bookmarkStart w:id="78" w:name="_Toc254790899"/>
      <w:bookmarkStart w:id="79" w:name="_Toc181436461"/>
      <w:bookmarkStart w:id="80" w:name="_Toc191802690"/>
      <w:bookmarkStart w:id="81" w:name="_Toc251586231"/>
      <w:bookmarkStart w:id="82" w:name="_Toc180302913"/>
      <w:bookmarkStart w:id="83" w:name="_Toc170798793"/>
      <w:bookmarkStart w:id="84" w:name="_Toc267059806"/>
      <w:bookmarkStart w:id="85" w:name="_Toc182372782"/>
      <w:bookmarkStart w:id="86" w:name="_Toc223146608"/>
      <w:bookmarkStart w:id="87" w:name="_Toc213756051"/>
      <w:bookmarkStart w:id="88" w:name="_Toc258401256"/>
      <w:bookmarkStart w:id="89" w:name="_Toc235438344"/>
      <w:bookmarkStart w:id="90" w:name="_Toc169332949"/>
      <w:bookmarkStart w:id="91" w:name="_Toc192996446"/>
      <w:bookmarkStart w:id="92" w:name="_Toc225669322"/>
      <w:bookmarkStart w:id="93" w:name="_Toc169332838"/>
      <w:bookmarkStart w:id="94" w:name="_Toc266870432"/>
      <w:bookmarkStart w:id="95" w:name="_Toc191803626"/>
      <w:bookmarkStart w:id="96" w:name="_Toc160880529"/>
      <w:bookmarkStart w:id="97" w:name="_Toc217891402"/>
      <w:bookmarkStart w:id="98" w:name="_Toc266870833"/>
      <w:bookmarkStart w:id="99" w:name="_Toc273178698"/>
      <w:bookmarkStart w:id="100" w:name="_Toc267059653"/>
      <w:bookmarkStart w:id="101" w:name="_Toc192996338"/>
      <w:bookmarkStart w:id="102" w:name="_Toc219800243"/>
      <w:bookmarkStart w:id="103" w:name="_Toc255975007"/>
      <w:bookmarkStart w:id="104" w:name="_Toc267059181"/>
      <w:bookmarkStart w:id="105" w:name="_Toc193160448"/>
      <w:bookmarkStart w:id="106" w:name="_Toc181436565"/>
      <w:bookmarkStart w:id="107" w:name="_Toc192663835"/>
      <w:bookmarkStart w:id="108" w:name="_Toc192663686"/>
      <w:bookmarkStart w:id="109" w:name="_Toc182805217"/>
      <w:bookmarkStart w:id="110" w:name="_Toc191789329"/>
      <w:bookmarkStart w:id="111" w:name="_Toc267060068"/>
      <w:bookmarkStart w:id="112" w:name="_Toc227058530"/>
      <w:bookmarkStart w:id="113" w:name="_Toc267059919"/>
      <w:bookmarkStart w:id="114" w:name="_Toc191783222"/>
      <w:bookmarkStart w:id="115" w:name="_Toc213208766"/>
      <w:bookmarkStart w:id="116" w:name="_Toc232302115"/>
      <w:bookmarkStart w:id="117" w:name="_Toc259520865"/>
      <w:r>
        <w:rPr>
          <w:rFonts w:hint="eastAsia" w:ascii="仿宋" w:hAnsi="仿宋" w:eastAsia="仿宋" w:cs="仿宋"/>
          <w:b/>
          <w:bCs/>
          <w:color w:val="000000"/>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b/>
          <w:bCs/>
          <w:color w:val="000000"/>
          <w:sz w:val="28"/>
          <w:szCs w:val="28"/>
        </w:rPr>
        <w:t>询价响应函</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致：XXX学校</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根据贵学校编号为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项目名称为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的公开询价邀请，本签字代表</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（全名、职务）正式授权并代表我方</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(1) 报价一览表</w:t>
      </w:r>
    </w:p>
    <w:p>
      <w:pPr>
        <w:spacing w:after="0" w:line="480" w:lineRule="exact"/>
        <w:ind w:firstLine="425" w:firstLineChars="152"/>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(2) 参与人资质证明</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1.所附详细报价表中规定的应提供和交付的货物及服务报价总价（国内现场交货价）为人民币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，即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（中文表述），交货期为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天 。</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3.保证遵守公开询价文件的全部规定，所提交的材料中所含的信息均为真实、准确、完整，且不具有任何误导性。</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4.同意按公开询价文件的规定履行合同责任和义务。</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5.同意提供按照贵方可能要求的与其公开询价有关的一切数据或资料</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textAlignment w:val="baseline"/>
        <w:rPr>
          <w:rFonts w:ascii="仿宋" w:hAnsi="仿宋" w:eastAsia="仿宋" w:cs="仿宋"/>
          <w:color w:val="000000"/>
          <w:sz w:val="28"/>
          <w:szCs w:val="28"/>
        </w:rPr>
      </w:pP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w:t>
      </w: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参与人（公司全称并加盖公章）：</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参与人授权代表签字： </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电  话：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2"/>
        <w:snapToGrid w:val="0"/>
        <w:spacing w:line="480" w:lineRule="exact"/>
        <w:ind w:firstLine="560" w:firstLineChars="200"/>
        <w:jc w:val="left"/>
        <w:textAlignment w:val="baseline"/>
        <w:rPr>
          <w:rFonts w:hint="eastAsia" w:ascii="仿宋" w:hAnsi="仿宋" w:eastAsia="仿宋" w:cs="仿宋"/>
          <w:color w:val="000000"/>
          <w:szCs w:val="28"/>
        </w:rPr>
      </w:pPr>
      <w:r>
        <w:rPr>
          <w:rFonts w:hint="eastAsia" w:ascii="仿宋" w:hAnsi="仿宋" w:eastAsia="仿宋" w:cs="仿宋"/>
          <w:color w:val="000000"/>
          <w:szCs w:val="28"/>
        </w:rPr>
        <w:t xml:space="preserve">日  期：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年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月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日</w:t>
      </w:r>
    </w:p>
    <w:p>
      <w:pPr>
        <w:pStyle w:val="62"/>
        <w:snapToGrid w:val="0"/>
        <w:spacing w:line="480" w:lineRule="exact"/>
        <w:ind w:firstLine="560" w:firstLineChars="200"/>
        <w:jc w:val="left"/>
        <w:textAlignment w:val="baseline"/>
        <w:rPr>
          <w:rFonts w:hint="eastAsia" w:ascii="仿宋" w:hAnsi="仿宋" w:eastAsia="仿宋" w:cs="仿宋"/>
          <w:color w:val="000000"/>
          <w:szCs w:val="28"/>
        </w:rPr>
      </w:pPr>
    </w:p>
    <w:p>
      <w:pPr>
        <w:numPr>
          <w:ilvl w:val="0"/>
          <w:numId w:val="3"/>
        </w:numPr>
        <w:spacing w:line="380" w:lineRule="exact"/>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报价一览表</w:t>
      </w:r>
    </w:p>
    <w:tbl>
      <w:tblPr>
        <w:tblStyle w:val="27"/>
        <w:tblW w:w="9736" w:type="dxa"/>
        <w:jc w:val="center"/>
        <w:tblLayout w:type="fixed"/>
        <w:tblCellMar>
          <w:top w:w="0" w:type="dxa"/>
          <w:left w:w="108" w:type="dxa"/>
          <w:bottom w:w="0" w:type="dxa"/>
          <w:right w:w="108" w:type="dxa"/>
        </w:tblCellMar>
      </w:tblPr>
      <w:tblGrid>
        <w:gridCol w:w="456"/>
        <w:gridCol w:w="1615"/>
        <w:gridCol w:w="1526"/>
        <w:gridCol w:w="774"/>
        <w:gridCol w:w="822"/>
        <w:gridCol w:w="837"/>
        <w:gridCol w:w="837"/>
        <w:gridCol w:w="837"/>
        <w:gridCol w:w="2032"/>
      </w:tblGrid>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物品名称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规格参数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品牌</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总价</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备注</w:t>
            </w: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r>
      <w:tr>
        <w:tblPrEx>
          <w:tblCellMar>
            <w:top w:w="0" w:type="dxa"/>
            <w:left w:w="108" w:type="dxa"/>
            <w:bottom w:w="0" w:type="dxa"/>
            <w:right w:w="108" w:type="dxa"/>
          </w:tblCellMar>
        </w:tblPrEx>
        <w:trPr>
          <w:trHeight w:val="422" w:hRule="atLeast"/>
          <w:jc w:val="center"/>
        </w:trPr>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r>
    </w:tbl>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textAlignment w:val="baseline"/>
        <w:rPr>
          <w:rFonts w:ascii="仿宋" w:hAnsi="仿宋" w:eastAsia="仿宋" w:cs="仿宋"/>
          <w:color w:val="000000"/>
          <w:sz w:val="28"/>
          <w:szCs w:val="28"/>
        </w:rPr>
      </w:pP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注：1.如果按单价计算的结果与总价不一致,以单价为准修正总价。</w:t>
      </w:r>
    </w:p>
    <w:p>
      <w:pPr>
        <w:spacing w:line="380" w:lineRule="exact"/>
        <w:ind w:left="147" w:leftChars="67"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2.如果不提供详细参数和报价将视为没有实质性响应公开询价文件。</w:t>
      </w:r>
    </w:p>
    <w:p>
      <w:pPr>
        <w:spacing w:after="0" w:line="300" w:lineRule="exact"/>
        <w:ind w:firstLine="560" w:firstLineChars="200"/>
        <w:textAlignment w:val="baseline"/>
        <w:rPr>
          <w:rFonts w:ascii="仿宋" w:hAnsi="仿宋" w:eastAsia="仿宋" w:cs="仿宋"/>
          <w:color w:val="000000"/>
          <w:sz w:val="28"/>
          <w:szCs w:val="28"/>
          <w:lang w:val="zh-CN"/>
        </w:rPr>
      </w:pPr>
    </w:p>
    <w:p>
      <w:pPr>
        <w:spacing w:line="380" w:lineRule="exact"/>
        <w:textAlignment w:val="baseline"/>
        <w:rPr>
          <w:rFonts w:ascii="仿宋" w:hAnsi="仿宋" w:eastAsia="仿宋" w:cs="仿宋"/>
          <w:color w:val="000000"/>
          <w:sz w:val="28"/>
          <w:szCs w:val="28"/>
          <w:lang w:val="zh-CN"/>
        </w:rPr>
      </w:pPr>
    </w:p>
    <w:p>
      <w:pPr>
        <w:spacing w:line="360" w:lineRule="auto"/>
        <w:ind w:right="960"/>
        <w:jc w:val="right"/>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 期：</w:t>
      </w:r>
      <w:bookmarkStart w:id="118" w:name="_Toc267060461"/>
      <w:bookmarkStart w:id="119" w:name="_Toc217891408"/>
      <w:bookmarkStart w:id="120" w:name="_Toc169332843"/>
      <w:bookmarkStart w:id="121" w:name="_Toc249325720"/>
      <w:bookmarkStart w:id="122" w:name="_Toc266870441"/>
      <w:bookmarkStart w:id="123" w:name="_Toc192664158"/>
      <w:bookmarkStart w:id="124" w:name="_Toc160880534"/>
      <w:bookmarkStart w:id="125" w:name="_Toc259520874"/>
      <w:bookmarkStart w:id="126" w:name="_Toc213755864"/>
      <w:bookmarkStart w:id="127" w:name="_Toc255975016"/>
      <w:bookmarkStart w:id="128" w:name="_Toc273178703"/>
      <w:bookmarkStart w:id="129" w:name="_Toc254790909"/>
      <w:bookmarkStart w:id="130" w:name="_Toc251613839"/>
      <w:bookmarkStart w:id="131" w:name="_Toc267059035"/>
      <w:bookmarkStart w:id="132" w:name="_Toc192663840"/>
      <w:bookmarkStart w:id="133" w:name="_Toc227058536"/>
      <w:bookmarkStart w:id="134" w:name="_Toc191783227"/>
      <w:bookmarkStart w:id="135" w:name="_Toc259692749"/>
      <w:bookmarkStart w:id="136" w:name="_Toc182805222"/>
      <w:bookmarkStart w:id="137" w:name="_Toc213208771"/>
      <w:bookmarkStart w:id="138" w:name="_Toc232302122"/>
      <w:bookmarkStart w:id="139" w:name="_Toc251586241"/>
      <w:bookmarkStart w:id="140" w:name="_Toc223146614"/>
      <w:bookmarkStart w:id="141" w:name="_Toc235438281"/>
      <w:bookmarkStart w:id="142" w:name="_Toc181436570"/>
      <w:bookmarkStart w:id="143" w:name="_Toc182372787"/>
      <w:bookmarkStart w:id="144" w:name="_Toc180302918"/>
      <w:bookmarkStart w:id="145" w:name="_Toc267060076"/>
      <w:bookmarkStart w:id="146" w:name="_Toc193165739"/>
      <w:bookmarkStart w:id="147" w:name="_Toc192663691"/>
      <w:bookmarkStart w:id="148" w:name="_Toc193160453"/>
      <w:bookmarkStart w:id="149" w:name="_Toc267059544"/>
      <w:bookmarkStart w:id="150" w:name="_Toc160880165"/>
      <w:bookmarkStart w:id="151" w:name="_Toc219800249"/>
      <w:bookmarkStart w:id="152" w:name="_Toc266868679"/>
      <w:bookmarkStart w:id="153" w:name="_Toc192996451"/>
      <w:bookmarkStart w:id="154" w:name="_Toc267060326"/>
      <w:bookmarkStart w:id="155" w:name="_Toc213755945"/>
      <w:bookmarkStart w:id="156" w:name="_Toc169332954"/>
      <w:bookmarkStart w:id="157" w:name="_Toc267059924"/>
      <w:bookmarkStart w:id="158" w:name="_Toc236021457"/>
      <w:bookmarkStart w:id="159" w:name="_Toc181436466"/>
      <w:bookmarkStart w:id="160" w:name="_Toc235438352"/>
      <w:bookmarkStart w:id="161" w:name="_Toc230071153"/>
      <w:bookmarkStart w:id="162" w:name="_Toc177985474"/>
      <w:bookmarkStart w:id="163" w:name="_Toc170798798"/>
      <w:bookmarkStart w:id="164" w:name="_Toc267059811"/>
      <w:bookmarkStart w:id="165" w:name="_Toc267060216"/>
      <w:bookmarkStart w:id="166" w:name="_Toc191789334"/>
      <w:bookmarkStart w:id="167" w:name="_Toc213756001"/>
      <w:bookmarkStart w:id="168" w:name="_Toc266870916"/>
      <w:bookmarkStart w:id="169" w:name="_Toc235437998"/>
      <w:bookmarkStart w:id="170" w:name="_Toc192996343"/>
      <w:bookmarkStart w:id="171" w:name="_Toc259692656"/>
      <w:bookmarkStart w:id="172" w:name="_Toc267059186"/>
      <w:bookmarkStart w:id="173" w:name="_Toc253066624"/>
      <w:bookmarkStart w:id="174" w:name="_Toc191803631"/>
      <w:bookmarkStart w:id="175" w:name="_Toc266868943"/>
      <w:bookmarkStart w:id="176" w:name="_Toc203355738"/>
      <w:bookmarkStart w:id="177" w:name="_Toc258401265"/>
      <w:bookmarkStart w:id="178" w:name="_Toc266870839"/>
      <w:bookmarkStart w:id="179" w:name="_Toc211917121"/>
      <w:bookmarkStart w:id="180" w:name="_Toc267059658"/>
      <w:bookmarkStart w:id="181" w:name="_Toc225669328"/>
      <w:bookmarkStart w:id="182" w:name="_Toc213756057"/>
      <w:bookmarkStart w:id="183" w:name="_Toc191802695"/>
    </w:p>
    <w:p>
      <w:pPr>
        <w:jc w:val="center"/>
        <w:textAlignment w:val="baseline"/>
        <w:rPr>
          <w:rFonts w:ascii="仿宋" w:hAnsi="仿宋" w:eastAsia="仿宋" w:cs="仿宋"/>
          <w:b/>
          <w:bCs/>
          <w:color w:val="000000"/>
          <w:sz w:val="28"/>
          <w:szCs w:val="28"/>
        </w:rPr>
      </w:pPr>
      <w:bookmarkStart w:id="184" w:name="_Toc232302124"/>
      <w:bookmarkStart w:id="185" w:name="_Toc266868681"/>
      <w:bookmarkStart w:id="186" w:name="_Toc230071155"/>
      <w:bookmarkStart w:id="187" w:name="_Toc251586243"/>
      <w:bookmarkStart w:id="188" w:name="_Toc235438354"/>
      <w:bookmarkStart w:id="189" w:name="_Toc266870918"/>
      <w:bookmarkStart w:id="190" w:name="_Toc217891410"/>
      <w:bookmarkStart w:id="191" w:name="_Toc258401267"/>
      <w:bookmarkStart w:id="192" w:name="_Toc213756059"/>
      <w:bookmarkStart w:id="193" w:name="_Toc235438000"/>
      <w:bookmarkStart w:id="194" w:name="_Toc254790911"/>
      <w:bookmarkStart w:id="195" w:name="_Toc219800251"/>
      <w:bookmarkStart w:id="196" w:name="_Toc251613841"/>
      <w:bookmarkStart w:id="197" w:name="_Toc225669330"/>
      <w:bookmarkStart w:id="198" w:name="_Toc236021459"/>
      <w:bookmarkStart w:id="199" w:name="_Toc253066626"/>
      <w:bookmarkStart w:id="200" w:name="_Toc249325722"/>
      <w:bookmarkStart w:id="201" w:name="_Toc227058538"/>
      <w:bookmarkStart w:id="202" w:name="_Toc235438283"/>
      <w:bookmarkStart w:id="203" w:name="_Toc223146616"/>
      <w:bookmarkStart w:id="204" w:name="_Toc255975018"/>
      <w:bookmarkStart w:id="205" w:name="_Toc259692658"/>
      <w:bookmarkStart w:id="206" w:name="_Toc266870443"/>
      <w:bookmarkStart w:id="207" w:name="_Toc259520876"/>
      <w:bookmarkStart w:id="208" w:name="_Toc259692751"/>
    </w:p>
    <w:p>
      <w:pPr>
        <w:jc w:val="center"/>
        <w:textAlignment w:val="baseline"/>
        <w:rPr>
          <w:rFonts w:ascii="仿宋" w:hAnsi="仿宋" w:eastAsia="仿宋" w:cs="仿宋"/>
          <w:b/>
          <w:bCs/>
          <w:color w:val="000000"/>
          <w:sz w:val="28"/>
          <w:szCs w:val="28"/>
        </w:rPr>
      </w:pPr>
    </w:p>
    <w:p>
      <w:pPr>
        <w:pStyle w:val="2"/>
        <w:textAlignment w:val="baseline"/>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3、参与人资质材料</w:t>
      </w:r>
    </w:p>
    <w:p>
      <w:pPr>
        <w:pStyle w:val="45"/>
        <w:spacing w:after="160" w:line="252" w:lineRule="auto"/>
        <w:textAlignment w:val="baseline"/>
        <w:rPr>
          <w:rFonts w:ascii="仿宋" w:hAnsi="仿宋" w:eastAsia="仿宋" w:cs="仿宋"/>
          <w:color w:val="000000"/>
          <w:sz w:val="28"/>
          <w:szCs w:val="28"/>
        </w:rPr>
      </w:pPr>
    </w:p>
    <w:p>
      <w:pPr>
        <w:spacing w:after="0" w:line="50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b/>
          <w:bCs/>
          <w:sz w:val="24"/>
          <w:szCs w:val="24"/>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headerReference r:id="rId10" w:type="firs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drawing>
        <wp:anchor distT="0" distB="0" distL="114300" distR="114300" simplePos="0" relativeHeight="251660288"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83AFA"/>
    <w:multiLevelType w:val="singleLevel"/>
    <w:tmpl w:val="1FA83AFA"/>
    <w:lvl w:ilvl="0" w:tentative="0">
      <w:start w:val="1"/>
      <w:numFmt w:val="decimal"/>
      <w:suff w:val="nothing"/>
      <w:lvlText w:val="%1、"/>
      <w:lvlJc w:val="left"/>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44"/>
        </w:tabs>
        <w:ind w:left="844"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595E0A"/>
    <w:multiLevelType w:val="multilevel"/>
    <w:tmpl w:val="77595E0A"/>
    <w:lvl w:ilvl="0" w:tentative="0">
      <w:start w:val="1"/>
      <w:numFmt w:val="decimal"/>
      <w:lvlText w:val="%1)"/>
      <w:lvlJc w:val="left"/>
      <w:pPr>
        <w:ind w:left="640" w:hanging="42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172A27"/>
    <w:rsid w:val="000044AD"/>
    <w:rsid w:val="0000490C"/>
    <w:rsid w:val="00004A19"/>
    <w:rsid w:val="0000733E"/>
    <w:rsid w:val="00010B96"/>
    <w:rsid w:val="00017266"/>
    <w:rsid w:val="00023332"/>
    <w:rsid w:val="00026317"/>
    <w:rsid w:val="00026806"/>
    <w:rsid w:val="0002731B"/>
    <w:rsid w:val="00031D61"/>
    <w:rsid w:val="00041909"/>
    <w:rsid w:val="000569E1"/>
    <w:rsid w:val="00064E4D"/>
    <w:rsid w:val="00070A6D"/>
    <w:rsid w:val="0007244C"/>
    <w:rsid w:val="0007493D"/>
    <w:rsid w:val="00074B20"/>
    <w:rsid w:val="00082572"/>
    <w:rsid w:val="000829E7"/>
    <w:rsid w:val="00087496"/>
    <w:rsid w:val="00090EE4"/>
    <w:rsid w:val="00091346"/>
    <w:rsid w:val="00092390"/>
    <w:rsid w:val="00092509"/>
    <w:rsid w:val="000934D4"/>
    <w:rsid w:val="000940AF"/>
    <w:rsid w:val="00096B8B"/>
    <w:rsid w:val="000A06E4"/>
    <w:rsid w:val="000A18C2"/>
    <w:rsid w:val="000A482E"/>
    <w:rsid w:val="000B3964"/>
    <w:rsid w:val="000C09AE"/>
    <w:rsid w:val="000D4D71"/>
    <w:rsid w:val="000D4FB9"/>
    <w:rsid w:val="000E703B"/>
    <w:rsid w:val="000F37DD"/>
    <w:rsid w:val="000F4F45"/>
    <w:rsid w:val="00100592"/>
    <w:rsid w:val="00101756"/>
    <w:rsid w:val="00112269"/>
    <w:rsid w:val="00114B89"/>
    <w:rsid w:val="00115200"/>
    <w:rsid w:val="00122C32"/>
    <w:rsid w:val="0012724D"/>
    <w:rsid w:val="0013118F"/>
    <w:rsid w:val="001331A0"/>
    <w:rsid w:val="00146B60"/>
    <w:rsid w:val="00147E05"/>
    <w:rsid w:val="001561E9"/>
    <w:rsid w:val="0016249C"/>
    <w:rsid w:val="00163B53"/>
    <w:rsid w:val="00163C9A"/>
    <w:rsid w:val="00164FF1"/>
    <w:rsid w:val="00172A27"/>
    <w:rsid w:val="00176CD4"/>
    <w:rsid w:val="00182C6E"/>
    <w:rsid w:val="00191234"/>
    <w:rsid w:val="00193B3E"/>
    <w:rsid w:val="001975A8"/>
    <w:rsid w:val="001A06A4"/>
    <w:rsid w:val="001A5B43"/>
    <w:rsid w:val="001B1737"/>
    <w:rsid w:val="001B2557"/>
    <w:rsid w:val="001B719E"/>
    <w:rsid w:val="001C0845"/>
    <w:rsid w:val="001C2BFC"/>
    <w:rsid w:val="001C6943"/>
    <w:rsid w:val="001D0190"/>
    <w:rsid w:val="001D1081"/>
    <w:rsid w:val="001E2DC0"/>
    <w:rsid w:val="001E44E4"/>
    <w:rsid w:val="001E7B35"/>
    <w:rsid w:val="001F3952"/>
    <w:rsid w:val="001F428B"/>
    <w:rsid w:val="001F4F58"/>
    <w:rsid w:val="00200F50"/>
    <w:rsid w:val="00204680"/>
    <w:rsid w:val="00207A85"/>
    <w:rsid w:val="00215A21"/>
    <w:rsid w:val="00220FA1"/>
    <w:rsid w:val="0022300A"/>
    <w:rsid w:val="002232B6"/>
    <w:rsid w:val="00231B1F"/>
    <w:rsid w:val="00235332"/>
    <w:rsid w:val="00235942"/>
    <w:rsid w:val="00235C32"/>
    <w:rsid w:val="00237309"/>
    <w:rsid w:val="00241EA7"/>
    <w:rsid w:val="00243FB7"/>
    <w:rsid w:val="00244E90"/>
    <w:rsid w:val="002476C4"/>
    <w:rsid w:val="002549BF"/>
    <w:rsid w:val="002644F6"/>
    <w:rsid w:val="002772BB"/>
    <w:rsid w:val="002807CE"/>
    <w:rsid w:val="00282FFD"/>
    <w:rsid w:val="002936CA"/>
    <w:rsid w:val="00295514"/>
    <w:rsid w:val="002961A3"/>
    <w:rsid w:val="00296A5D"/>
    <w:rsid w:val="002A1975"/>
    <w:rsid w:val="002B5EA2"/>
    <w:rsid w:val="002C2C3D"/>
    <w:rsid w:val="002C4297"/>
    <w:rsid w:val="002C533C"/>
    <w:rsid w:val="002C558F"/>
    <w:rsid w:val="002C6DF9"/>
    <w:rsid w:val="002D033C"/>
    <w:rsid w:val="002D191B"/>
    <w:rsid w:val="002E0FB4"/>
    <w:rsid w:val="002E1E70"/>
    <w:rsid w:val="002E2902"/>
    <w:rsid w:val="002E6D83"/>
    <w:rsid w:val="002F3F54"/>
    <w:rsid w:val="002F61BF"/>
    <w:rsid w:val="00312246"/>
    <w:rsid w:val="00312460"/>
    <w:rsid w:val="003154F1"/>
    <w:rsid w:val="00315D0D"/>
    <w:rsid w:val="0031762B"/>
    <w:rsid w:val="003222F2"/>
    <w:rsid w:val="003306CB"/>
    <w:rsid w:val="00332174"/>
    <w:rsid w:val="00334E6F"/>
    <w:rsid w:val="0033686F"/>
    <w:rsid w:val="00343EEF"/>
    <w:rsid w:val="0034695A"/>
    <w:rsid w:val="00350AF8"/>
    <w:rsid w:val="003570A0"/>
    <w:rsid w:val="00370098"/>
    <w:rsid w:val="003716A7"/>
    <w:rsid w:val="003716F7"/>
    <w:rsid w:val="00372F6D"/>
    <w:rsid w:val="003737CE"/>
    <w:rsid w:val="00383EA0"/>
    <w:rsid w:val="003845F2"/>
    <w:rsid w:val="00384665"/>
    <w:rsid w:val="003924B5"/>
    <w:rsid w:val="003A7A8A"/>
    <w:rsid w:val="003C0028"/>
    <w:rsid w:val="003C0E1A"/>
    <w:rsid w:val="003C406B"/>
    <w:rsid w:val="003C60EF"/>
    <w:rsid w:val="003C7CDC"/>
    <w:rsid w:val="003D02FC"/>
    <w:rsid w:val="003D1CA4"/>
    <w:rsid w:val="003D43EC"/>
    <w:rsid w:val="003D55C2"/>
    <w:rsid w:val="003D6A3D"/>
    <w:rsid w:val="003E1083"/>
    <w:rsid w:val="003E1304"/>
    <w:rsid w:val="003E1D0F"/>
    <w:rsid w:val="003E44E9"/>
    <w:rsid w:val="003E6439"/>
    <w:rsid w:val="003E68FC"/>
    <w:rsid w:val="003F20A6"/>
    <w:rsid w:val="003F36CB"/>
    <w:rsid w:val="003F379F"/>
    <w:rsid w:val="003F4827"/>
    <w:rsid w:val="003F4AE2"/>
    <w:rsid w:val="003F4C2C"/>
    <w:rsid w:val="003F6D67"/>
    <w:rsid w:val="003F7E53"/>
    <w:rsid w:val="004023BD"/>
    <w:rsid w:val="00402535"/>
    <w:rsid w:val="00403AD6"/>
    <w:rsid w:val="00404FA2"/>
    <w:rsid w:val="00416AB1"/>
    <w:rsid w:val="004225B0"/>
    <w:rsid w:val="004242F4"/>
    <w:rsid w:val="00424AA3"/>
    <w:rsid w:val="0043243C"/>
    <w:rsid w:val="00436823"/>
    <w:rsid w:val="00441955"/>
    <w:rsid w:val="00453BDA"/>
    <w:rsid w:val="0045488D"/>
    <w:rsid w:val="004632D3"/>
    <w:rsid w:val="00464CB2"/>
    <w:rsid w:val="004667B7"/>
    <w:rsid w:val="00467BE1"/>
    <w:rsid w:val="00477053"/>
    <w:rsid w:val="00482E03"/>
    <w:rsid w:val="00482EE8"/>
    <w:rsid w:val="004842C5"/>
    <w:rsid w:val="00485EE6"/>
    <w:rsid w:val="00486EEF"/>
    <w:rsid w:val="00490E29"/>
    <w:rsid w:val="00494088"/>
    <w:rsid w:val="00495025"/>
    <w:rsid w:val="004956C0"/>
    <w:rsid w:val="00495A1D"/>
    <w:rsid w:val="004977A9"/>
    <w:rsid w:val="004A59AD"/>
    <w:rsid w:val="004A6E7B"/>
    <w:rsid w:val="004B03B5"/>
    <w:rsid w:val="004B4E97"/>
    <w:rsid w:val="004B66B1"/>
    <w:rsid w:val="004C1DB0"/>
    <w:rsid w:val="004C6316"/>
    <w:rsid w:val="004D3E79"/>
    <w:rsid w:val="004E0683"/>
    <w:rsid w:val="004E06EB"/>
    <w:rsid w:val="004E0DBF"/>
    <w:rsid w:val="004E24DE"/>
    <w:rsid w:val="004E3E6F"/>
    <w:rsid w:val="004E66A6"/>
    <w:rsid w:val="004F3FCE"/>
    <w:rsid w:val="00500FB5"/>
    <w:rsid w:val="00501DFD"/>
    <w:rsid w:val="00502F52"/>
    <w:rsid w:val="00510AAB"/>
    <w:rsid w:val="00510FC5"/>
    <w:rsid w:val="005116F4"/>
    <w:rsid w:val="00517197"/>
    <w:rsid w:val="00527BFC"/>
    <w:rsid w:val="00543220"/>
    <w:rsid w:val="005477B2"/>
    <w:rsid w:val="00553238"/>
    <w:rsid w:val="005553AB"/>
    <w:rsid w:val="00555AB1"/>
    <w:rsid w:val="00561EC1"/>
    <w:rsid w:val="00562F2E"/>
    <w:rsid w:val="00574CC1"/>
    <w:rsid w:val="0057646C"/>
    <w:rsid w:val="00581650"/>
    <w:rsid w:val="00582530"/>
    <w:rsid w:val="00584FFB"/>
    <w:rsid w:val="005852F1"/>
    <w:rsid w:val="00586D40"/>
    <w:rsid w:val="005873BF"/>
    <w:rsid w:val="00590957"/>
    <w:rsid w:val="0059251D"/>
    <w:rsid w:val="005A5A4D"/>
    <w:rsid w:val="005B24C4"/>
    <w:rsid w:val="005B2529"/>
    <w:rsid w:val="005B48FA"/>
    <w:rsid w:val="005B5D96"/>
    <w:rsid w:val="005C18C2"/>
    <w:rsid w:val="005C2170"/>
    <w:rsid w:val="005C6E27"/>
    <w:rsid w:val="005E4228"/>
    <w:rsid w:val="005F1FC8"/>
    <w:rsid w:val="005F55CD"/>
    <w:rsid w:val="00607B2B"/>
    <w:rsid w:val="006121C8"/>
    <w:rsid w:val="00614268"/>
    <w:rsid w:val="00614D33"/>
    <w:rsid w:val="0061746C"/>
    <w:rsid w:val="00617D27"/>
    <w:rsid w:val="006230ED"/>
    <w:rsid w:val="00624155"/>
    <w:rsid w:val="00630374"/>
    <w:rsid w:val="006375CF"/>
    <w:rsid w:val="006458AD"/>
    <w:rsid w:val="00645EFA"/>
    <w:rsid w:val="0064713E"/>
    <w:rsid w:val="0064793B"/>
    <w:rsid w:val="0066427F"/>
    <w:rsid w:val="006651E0"/>
    <w:rsid w:val="006652BF"/>
    <w:rsid w:val="00665A94"/>
    <w:rsid w:val="00677267"/>
    <w:rsid w:val="00682FBB"/>
    <w:rsid w:val="00684FEF"/>
    <w:rsid w:val="0068614B"/>
    <w:rsid w:val="00691E02"/>
    <w:rsid w:val="006A084D"/>
    <w:rsid w:val="006B244D"/>
    <w:rsid w:val="006B2746"/>
    <w:rsid w:val="006B3723"/>
    <w:rsid w:val="006B52EE"/>
    <w:rsid w:val="006B6F8C"/>
    <w:rsid w:val="006C2D5E"/>
    <w:rsid w:val="006D02DB"/>
    <w:rsid w:val="006D060B"/>
    <w:rsid w:val="006D268E"/>
    <w:rsid w:val="006D27DD"/>
    <w:rsid w:val="006D53F9"/>
    <w:rsid w:val="006D6492"/>
    <w:rsid w:val="006D65D2"/>
    <w:rsid w:val="006F3C71"/>
    <w:rsid w:val="006F5FBA"/>
    <w:rsid w:val="00702C4A"/>
    <w:rsid w:val="00703879"/>
    <w:rsid w:val="00704E17"/>
    <w:rsid w:val="00705550"/>
    <w:rsid w:val="00722897"/>
    <w:rsid w:val="00722CE4"/>
    <w:rsid w:val="00723B1F"/>
    <w:rsid w:val="00735819"/>
    <w:rsid w:val="007366E7"/>
    <w:rsid w:val="00737694"/>
    <w:rsid w:val="00742D2F"/>
    <w:rsid w:val="00745DF4"/>
    <w:rsid w:val="007470F2"/>
    <w:rsid w:val="00753CD6"/>
    <w:rsid w:val="007550F2"/>
    <w:rsid w:val="007569BC"/>
    <w:rsid w:val="00756DBC"/>
    <w:rsid w:val="00757228"/>
    <w:rsid w:val="00771F32"/>
    <w:rsid w:val="00775CE1"/>
    <w:rsid w:val="007774F1"/>
    <w:rsid w:val="00780A6F"/>
    <w:rsid w:val="00790192"/>
    <w:rsid w:val="0079407E"/>
    <w:rsid w:val="00796754"/>
    <w:rsid w:val="007B0F09"/>
    <w:rsid w:val="007B2319"/>
    <w:rsid w:val="007B26B2"/>
    <w:rsid w:val="007B5846"/>
    <w:rsid w:val="007B5C67"/>
    <w:rsid w:val="007C0756"/>
    <w:rsid w:val="007C3EF2"/>
    <w:rsid w:val="007C719E"/>
    <w:rsid w:val="007D5A32"/>
    <w:rsid w:val="007E12A9"/>
    <w:rsid w:val="007E4679"/>
    <w:rsid w:val="00802261"/>
    <w:rsid w:val="008065CB"/>
    <w:rsid w:val="00807A7B"/>
    <w:rsid w:val="00820F76"/>
    <w:rsid w:val="00821371"/>
    <w:rsid w:val="0082366F"/>
    <w:rsid w:val="0083016F"/>
    <w:rsid w:val="00832069"/>
    <w:rsid w:val="00843058"/>
    <w:rsid w:val="00844ABD"/>
    <w:rsid w:val="0085479C"/>
    <w:rsid w:val="008561D9"/>
    <w:rsid w:val="00865B30"/>
    <w:rsid w:val="00867893"/>
    <w:rsid w:val="008733EA"/>
    <w:rsid w:val="00874219"/>
    <w:rsid w:val="00875E40"/>
    <w:rsid w:val="00876AB6"/>
    <w:rsid w:val="00880A20"/>
    <w:rsid w:val="008843FB"/>
    <w:rsid w:val="008902DC"/>
    <w:rsid w:val="00891579"/>
    <w:rsid w:val="008A00A5"/>
    <w:rsid w:val="008A577A"/>
    <w:rsid w:val="008A7DBB"/>
    <w:rsid w:val="008B31EE"/>
    <w:rsid w:val="008B4BAE"/>
    <w:rsid w:val="008B4FB6"/>
    <w:rsid w:val="008C2433"/>
    <w:rsid w:val="008C32D6"/>
    <w:rsid w:val="008C3660"/>
    <w:rsid w:val="008D05CA"/>
    <w:rsid w:val="008D2D55"/>
    <w:rsid w:val="008D5688"/>
    <w:rsid w:val="008E5F9A"/>
    <w:rsid w:val="008F1544"/>
    <w:rsid w:val="008F1965"/>
    <w:rsid w:val="008F47CB"/>
    <w:rsid w:val="008F53B1"/>
    <w:rsid w:val="008F58E3"/>
    <w:rsid w:val="00901AE2"/>
    <w:rsid w:val="00906C23"/>
    <w:rsid w:val="00912CB1"/>
    <w:rsid w:val="00916532"/>
    <w:rsid w:val="009206ED"/>
    <w:rsid w:val="00923C7E"/>
    <w:rsid w:val="0092599B"/>
    <w:rsid w:val="00936704"/>
    <w:rsid w:val="00941CEB"/>
    <w:rsid w:val="00942C74"/>
    <w:rsid w:val="00945B37"/>
    <w:rsid w:val="0095341B"/>
    <w:rsid w:val="009548E4"/>
    <w:rsid w:val="009606BC"/>
    <w:rsid w:val="009622D2"/>
    <w:rsid w:val="00964CEA"/>
    <w:rsid w:val="00966AAA"/>
    <w:rsid w:val="00967E57"/>
    <w:rsid w:val="00970E44"/>
    <w:rsid w:val="00974742"/>
    <w:rsid w:val="00977EF1"/>
    <w:rsid w:val="0098102A"/>
    <w:rsid w:val="00985B7A"/>
    <w:rsid w:val="00985FC2"/>
    <w:rsid w:val="00994E59"/>
    <w:rsid w:val="009A19FA"/>
    <w:rsid w:val="009A1E78"/>
    <w:rsid w:val="009A635D"/>
    <w:rsid w:val="009A6925"/>
    <w:rsid w:val="009A6FFC"/>
    <w:rsid w:val="009B035D"/>
    <w:rsid w:val="009B38B3"/>
    <w:rsid w:val="009B52E5"/>
    <w:rsid w:val="009B5A7A"/>
    <w:rsid w:val="009B75DB"/>
    <w:rsid w:val="009C0273"/>
    <w:rsid w:val="009C3840"/>
    <w:rsid w:val="009C3D80"/>
    <w:rsid w:val="009C5A83"/>
    <w:rsid w:val="009C7584"/>
    <w:rsid w:val="009C77D4"/>
    <w:rsid w:val="009D0C9E"/>
    <w:rsid w:val="009D6222"/>
    <w:rsid w:val="009D75D8"/>
    <w:rsid w:val="009E3062"/>
    <w:rsid w:val="009E63C4"/>
    <w:rsid w:val="009E759F"/>
    <w:rsid w:val="00A005E3"/>
    <w:rsid w:val="00A04519"/>
    <w:rsid w:val="00A10022"/>
    <w:rsid w:val="00A148CE"/>
    <w:rsid w:val="00A24465"/>
    <w:rsid w:val="00A265CF"/>
    <w:rsid w:val="00A26B1D"/>
    <w:rsid w:val="00A26F27"/>
    <w:rsid w:val="00A40610"/>
    <w:rsid w:val="00A4220E"/>
    <w:rsid w:val="00A43284"/>
    <w:rsid w:val="00A44A63"/>
    <w:rsid w:val="00A554C6"/>
    <w:rsid w:val="00A625F7"/>
    <w:rsid w:val="00A6474C"/>
    <w:rsid w:val="00A64A5B"/>
    <w:rsid w:val="00A6611C"/>
    <w:rsid w:val="00A708C1"/>
    <w:rsid w:val="00A71B06"/>
    <w:rsid w:val="00A728FD"/>
    <w:rsid w:val="00A73E47"/>
    <w:rsid w:val="00A8178D"/>
    <w:rsid w:val="00A8390A"/>
    <w:rsid w:val="00A921E6"/>
    <w:rsid w:val="00AA5A63"/>
    <w:rsid w:val="00AB777C"/>
    <w:rsid w:val="00AC4071"/>
    <w:rsid w:val="00AC50D8"/>
    <w:rsid w:val="00AD29A3"/>
    <w:rsid w:val="00AE010F"/>
    <w:rsid w:val="00AE4A31"/>
    <w:rsid w:val="00AF1CE1"/>
    <w:rsid w:val="00AF3C2A"/>
    <w:rsid w:val="00B016CA"/>
    <w:rsid w:val="00B14C37"/>
    <w:rsid w:val="00B31A5D"/>
    <w:rsid w:val="00B3206A"/>
    <w:rsid w:val="00B35205"/>
    <w:rsid w:val="00B430EE"/>
    <w:rsid w:val="00B435BD"/>
    <w:rsid w:val="00B47743"/>
    <w:rsid w:val="00B53F63"/>
    <w:rsid w:val="00B54440"/>
    <w:rsid w:val="00B554E7"/>
    <w:rsid w:val="00B566C5"/>
    <w:rsid w:val="00B60843"/>
    <w:rsid w:val="00B613BB"/>
    <w:rsid w:val="00B61E3B"/>
    <w:rsid w:val="00B6214C"/>
    <w:rsid w:val="00B638CE"/>
    <w:rsid w:val="00B6574F"/>
    <w:rsid w:val="00B9025C"/>
    <w:rsid w:val="00B92B89"/>
    <w:rsid w:val="00BA1DC6"/>
    <w:rsid w:val="00BA4686"/>
    <w:rsid w:val="00BA7AF2"/>
    <w:rsid w:val="00BB038D"/>
    <w:rsid w:val="00BC2A5F"/>
    <w:rsid w:val="00BC35B4"/>
    <w:rsid w:val="00BC576B"/>
    <w:rsid w:val="00BD3834"/>
    <w:rsid w:val="00BD49FB"/>
    <w:rsid w:val="00BD7232"/>
    <w:rsid w:val="00BE1921"/>
    <w:rsid w:val="00BE3AA2"/>
    <w:rsid w:val="00BF3260"/>
    <w:rsid w:val="00C019D8"/>
    <w:rsid w:val="00C035B5"/>
    <w:rsid w:val="00C03744"/>
    <w:rsid w:val="00C03BFF"/>
    <w:rsid w:val="00C24328"/>
    <w:rsid w:val="00C24722"/>
    <w:rsid w:val="00C25F5C"/>
    <w:rsid w:val="00C35176"/>
    <w:rsid w:val="00C4469C"/>
    <w:rsid w:val="00C44740"/>
    <w:rsid w:val="00C457AF"/>
    <w:rsid w:val="00C46CBE"/>
    <w:rsid w:val="00C53205"/>
    <w:rsid w:val="00C53790"/>
    <w:rsid w:val="00C53D70"/>
    <w:rsid w:val="00C55D10"/>
    <w:rsid w:val="00C66E1E"/>
    <w:rsid w:val="00C676BA"/>
    <w:rsid w:val="00C726EE"/>
    <w:rsid w:val="00C77E17"/>
    <w:rsid w:val="00C81AB4"/>
    <w:rsid w:val="00C84553"/>
    <w:rsid w:val="00C8537C"/>
    <w:rsid w:val="00C857BF"/>
    <w:rsid w:val="00C872BA"/>
    <w:rsid w:val="00C9328D"/>
    <w:rsid w:val="00C974A4"/>
    <w:rsid w:val="00C97CD5"/>
    <w:rsid w:val="00CA48A5"/>
    <w:rsid w:val="00CA4EF8"/>
    <w:rsid w:val="00CA4FBA"/>
    <w:rsid w:val="00CB5A61"/>
    <w:rsid w:val="00CE21FE"/>
    <w:rsid w:val="00CF096E"/>
    <w:rsid w:val="00CF3127"/>
    <w:rsid w:val="00D12D9B"/>
    <w:rsid w:val="00D131BB"/>
    <w:rsid w:val="00D17DDE"/>
    <w:rsid w:val="00D17E70"/>
    <w:rsid w:val="00D2102C"/>
    <w:rsid w:val="00D23E6F"/>
    <w:rsid w:val="00D2428C"/>
    <w:rsid w:val="00D251BD"/>
    <w:rsid w:val="00D254EC"/>
    <w:rsid w:val="00D268B8"/>
    <w:rsid w:val="00D26CC2"/>
    <w:rsid w:val="00D31624"/>
    <w:rsid w:val="00D36D52"/>
    <w:rsid w:val="00D37021"/>
    <w:rsid w:val="00D441A4"/>
    <w:rsid w:val="00D454CB"/>
    <w:rsid w:val="00D52F5A"/>
    <w:rsid w:val="00D56DEA"/>
    <w:rsid w:val="00D57A7A"/>
    <w:rsid w:val="00D63CE3"/>
    <w:rsid w:val="00D67996"/>
    <w:rsid w:val="00D710EA"/>
    <w:rsid w:val="00D81172"/>
    <w:rsid w:val="00D83759"/>
    <w:rsid w:val="00D864D5"/>
    <w:rsid w:val="00D920FD"/>
    <w:rsid w:val="00D92ED7"/>
    <w:rsid w:val="00DA0D64"/>
    <w:rsid w:val="00DA3375"/>
    <w:rsid w:val="00DA5179"/>
    <w:rsid w:val="00DB059A"/>
    <w:rsid w:val="00DB64C3"/>
    <w:rsid w:val="00DC2A3E"/>
    <w:rsid w:val="00DC2C74"/>
    <w:rsid w:val="00DC7C62"/>
    <w:rsid w:val="00DE4C02"/>
    <w:rsid w:val="00DE53CA"/>
    <w:rsid w:val="00DF2370"/>
    <w:rsid w:val="00DF34B2"/>
    <w:rsid w:val="00DF4B52"/>
    <w:rsid w:val="00DF67CF"/>
    <w:rsid w:val="00DF6A55"/>
    <w:rsid w:val="00E04A37"/>
    <w:rsid w:val="00E06CBF"/>
    <w:rsid w:val="00E11567"/>
    <w:rsid w:val="00E20AD4"/>
    <w:rsid w:val="00E2321D"/>
    <w:rsid w:val="00E30C8F"/>
    <w:rsid w:val="00E3212F"/>
    <w:rsid w:val="00E3241C"/>
    <w:rsid w:val="00E3310A"/>
    <w:rsid w:val="00E33B9E"/>
    <w:rsid w:val="00E33C1C"/>
    <w:rsid w:val="00E37297"/>
    <w:rsid w:val="00E41977"/>
    <w:rsid w:val="00E51E84"/>
    <w:rsid w:val="00E60537"/>
    <w:rsid w:val="00E67206"/>
    <w:rsid w:val="00E737BC"/>
    <w:rsid w:val="00E76AD8"/>
    <w:rsid w:val="00E77DB9"/>
    <w:rsid w:val="00E83F69"/>
    <w:rsid w:val="00E84BB5"/>
    <w:rsid w:val="00E85E7E"/>
    <w:rsid w:val="00E9406E"/>
    <w:rsid w:val="00E95973"/>
    <w:rsid w:val="00EA07EB"/>
    <w:rsid w:val="00EA11F7"/>
    <w:rsid w:val="00EA31FE"/>
    <w:rsid w:val="00EA320E"/>
    <w:rsid w:val="00EA340A"/>
    <w:rsid w:val="00EA574F"/>
    <w:rsid w:val="00EA674F"/>
    <w:rsid w:val="00EA6FF2"/>
    <w:rsid w:val="00EA6FFA"/>
    <w:rsid w:val="00EB0368"/>
    <w:rsid w:val="00EB1B4B"/>
    <w:rsid w:val="00EB4FC4"/>
    <w:rsid w:val="00EC2D26"/>
    <w:rsid w:val="00EC2FDD"/>
    <w:rsid w:val="00EC5886"/>
    <w:rsid w:val="00EC65A4"/>
    <w:rsid w:val="00ED0332"/>
    <w:rsid w:val="00ED2437"/>
    <w:rsid w:val="00ED41C4"/>
    <w:rsid w:val="00EE02A8"/>
    <w:rsid w:val="00EE3803"/>
    <w:rsid w:val="00EE7263"/>
    <w:rsid w:val="00EF2F2B"/>
    <w:rsid w:val="00EF4153"/>
    <w:rsid w:val="00F0149B"/>
    <w:rsid w:val="00F01F49"/>
    <w:rsid w:val="00F030C2"/>
    <w:rsid w:val="00F07094"/>
    <w:rsid w:val="00F07716"/>
    <w:rsid w:val="00F11B31"/>
    <w:rsid w:val="00F15782"/>
    <w:rsid w:val="00F1721B"/>
    <w:rsid w:val="00F172D8"/>
    <w:rsid w:val="00F17683"/>
    <w:rsid w:val="00F23FCB"/>
    <w:rsid w:val="00F2460B"/>
    <w:rsid w:val="00F30016"/>
    <w:rsid w:val="00F313BA"/>
    <w:rsid w:val="00F36530"/>
    <w:rsid w:val="00F66190"/>
    <w:rsid w:val="00F674D8"/>
    <w:rsid w:val="00F73AB6"/>
    <w:rsid w:val="00F81C66"/>
    <w:rsid w:val="00F823F4"/>
    <w:rsid w:val="00F83352"/>
    <w:rsid w:val="00F83BFD"/>
    <w:rsid w:val="00F8646A"/>
    <w:rsid w:val="00F876DE"/>
    <w:rsid w:val="00F9131A"/>
    <w:rsid w:val="00F915AB"/>
    <w:rsid w:val="00F93BA7"/>
    <w:rsid w:val="00F97E22"/>
    <w:rsid w:val="00FA1749"/>
    <w:rsid w:val="00FA4236"/>
    <w:rsid w:val="00FA5070"/>
    <w:rsid w:val="00FB099F"/>
    <w:rsid w:val="00FB2DCF"/>
    <w:rsid w:val="00FB4B52"/>
    <w:rsid w:val="00FB7688"/>
    <w:rsid w:val="00FC4A83"/>
    <w:rsid w:val="00FC66F9"/>
    <w:rsid w:val="00FD19CF"/>
    <w:rsid w:val="00FD2343"/>
    <w:rsid w:val="00FE1E93"/>
    <w:rsid w:val="00FE2A00"/>
    <w:rsid w:val="00FE36EC"/>
    <w:rsid w:val="00FF1750"/>
    <w:rsid w:val="00FF2B78"/>
    <w:rsid w:val="00FF766A"/>
    <w:rsid w:val="0254388B"/>
    <w:rsid w:val="033C2BF5"/>
    <w:rsid w:val="03A11052"/>
    <w:rsid w:val="04F2510B"/>
    <w:rsid w:val="05AA653C"/>
    <w:rsid w:val="068A3C77"/>
    <w:rsid w:val="068D5AA9"/>
    <w:rsid w:val="06A55578"/>
    <w:rsid w:val="07147652"/>
    <w:rsid w:val="07150683"/>
    <w:rsid w:val="07571DAC"/>
    <w:rsid w:val="078B060B"/>
    <w:rsid w:val="078C34A0"/>
    <w:rsid w:val="07A04D2D"/>
    <w:rsid w:val="09377495"/>
    <w:rsid w:val="09726D79"/>
    <w:rsid w:val="0A8C5AAF"/>
    <w:rsid w:val="0B642CE9"/>
    <w:rsid w:val="0B87499E"/>
    <w:rsid w:val="0CEA59EF"/>
    <w:rsid w:val="0D4F10C1"/>
    <w:rsid w:val="0FB5408F"/>
    <w:rsid w:val="0FD27338"/>
    <w:rsid w:val="10121AA5"/>
    <w:rsid w:val="10790648"/>
    <w:rsid w:val="118F3962"/>
    <w:rsid w:val="126B0E01"/>
    <w:rsid w:val="12710F1A"/>
    <w:rsid w:val="12F15D99"/>
    <w:rsid w:val="13107E68"/>
    <w:rsid w:val="1335788C"/>
    <w:rsid w:val="13A14411"/>
    <w:rsid w:val="14D53EE5"/>
    <w:rsid w:val="15724254"/>
    <w:rsid w:val="1595633D"/>
    <w:rsid w:val="161A564D"/>
    <w:rsid w:val="16567EDF"/>
    <w:rsid w:val="1730601D"/>
    <w:rsid w:val="184F17AB"/>
    <w:rsid w:val="197519B2"/>
    <w:rsid w:val="197E300D"/>
    <w:rsid w:val="19CC487B"/>
    <w:rsid w:val="1AD81BF2"/>
    <w:rsid w:val="1B210BF7"/>
    <w:rsid w:val="1B4346C9"/>
    <w:rsid w:val="1BA3160C"/>
    <w:rsid w:val="1BE76E54"/>
    <w:rsid w:val="1BEC742C"/>
    <w:rsid w:val="1C74135B"/>
    <w:rsid w:val="1CF57C45"/>
    <w:rsid w:val="1DE37A85"/>
    <w:rsid w:val="1E2A6014"/>
    <w:rsid w:val="1E7951B1"/>
    <w:rsid w:val="1F813A12"/>
    <w:rsid w:val="208268EC"/>
    <w:rsid w:val="250C310C"/>
    <w:rsid w:val="261849A4"/>
    <w:rsid w:val="263A4097"/>
    <w:rsid w:val="27956F3C"/>
    <w:rsid w:val="29B0373B"/>
    <w:rsid w:val="29E51041"/>
    <w:rsid w:val="2A7C013C"/>
    <w:rsid w:val="2AC306A5"/>
    <w:rsid w:val="2B6C4A8A"/>
    <w:rsid w:val="2B8711D3"/>
    <w:rsid w:val="2DBB0A37"/>
    <w:rsid w:val="2DD131C6"/>
    <w:rsid w:val="2DD3767D"/>
    <w:rsid w:val="2DE07C8F"/>
    <w:rsid w:val="2E076A35"/>
    <w:rsid w:val="2E1F652C"/>
    <w:rsid w:val="2E45465A"/>
    <w:rsid w:val="2E9278E2"/>
    <w:rsid w:val="2EF76197"/>
    <w:rsid w:val="2F88036A"/>
    <w:rsid w:val="2FB11738"/>
    <w:rsid w:val="300039B1"/>
    <w:rsid w:val="30B654E5"/>
    <w:rsid w:val="33702106"/>
    <w:rsid w:val="33941545"/>
    <w:rsid w:val="33F12D64"/>
    <w:rsid w:val="34554CDF"/>
    <w:rsid w:val="34E37300"/>
    <w:rsid w:val="353D31DD"/>
    <w:rsid w:val="35933869"/>
    <w:rsid w:val="35C32C30"/>
    <w:rsid w:val="36265468"/>
    <w:rsid w:val="36A8379E"/>
    <w:rsid w:val="37CF728A"/>
    <w:rsid w:val="38181B8B"/>
    <w:rsid w:val="38B13B4F"/>
    <w:rsid w:val="397B107A"/>
    <w:rsid w:val="39E135D3"/>
    <w:rsid w:val="3B7F24F5"/>
    <w:rsid w:val="3BC9431F"/>
    <w:rsid w:val="3C0F6CA9"/>
    <w:rsid w:val="3DF51DB5"/>
    <w:rsid w:val="3F5F1657"/>
    <w:rsid w:val="3F671653"/>
    <w:rsid w:val="3F7B1C31"/>
    <w:rsid w:val="3FFF2BB9"/>
    <w:rsid w:val="400E7289"/>
    <w:rsid w:val="40F93AA5"/>
    <w:rsid w:val="411E5593"/>
    <w:rsid w:val="419C5872"/>
    <w:rsid w:val="448542CA"/>
    <w:rsid w:val="461D5993"/>
    <w:rsid w:val="462525FB"/>
    <w:rsid w:val="47372A84"/>
    <w:rsid w:val="476D64A6"/>
    <w:rsid w:val="482A25E9"/>
    <w:rsid w:val="495B2848"/>
    <w:rsid w:val="4A9412EB"/>
    <w:rsid w:val="4B166E55"/>
    <w:rsid w:val="4BAD18DA"/>
    <w:rsid w:val="4BE60F1D"/>
    <w:rsid w:val="4C416153"/>
    <w:rsid w:val="4CAE45A3"/>
    <w:rsid w:val="4CB42C42"/>
    <w:rsid w:val="4CE038D4"/>
    <w:rsid w:val="4CE21CE3"/>
    <w:rsid w:val="4E6C100D"/>
    <w:rsid w:val="4ED82F7C"/>
    <w:rsid w:val="4EFC0DA6"/>
    <w:rsid w:val="4F785859"/>
    <w:rsid w:val="4FC16E09"/>
    <w:rsid w:val="50081462"/>
    <w:rsid w:val="55062673"/>
    <w:rsid w:val="56A77BCF"/>
    <w:rsid w:val="56FD7EC5"/>
    <w:rsid w:val="57CC0FC7"/>
    <w:rsid w:val="57D0790D"/>
    <w:rsid w:val="58792F86"/>
    <w:rsid w:val="594B23BF"/>
    <w:rsid w:val="59DC5390"/>
    <w:rsid w:val="5E42574C"/>
    <w:rsid w:val="5F707A36"/>
    <w:rsid w:val="5F83505C"/>
    <w:rsid w:val="5F934889"/>
    <w:rsid w:val="6119299D"/>
    <w:rsid w:val="62864720"/>
    <w:rsid w:val="634B207A"/>
    <w:rsid w:val="63A31DAE"/>
    <w:rsid w:val="63CA6B2E"/>
    <w:rsid w:val="645312BC"/>
    <w:rsid w:val="648869EB"/>
    <w:rsid w:val="64E042CC"/>
    <w:rsid w:val="65225B79"/>
    <w:rsid w:val="65417B64"/>
    <w:rsid w:val="66325CC3"/>
    <w:rsid w:val="66A84677"/>
    <w:rsid w:val="66BF6CE4"/>
    <w:rsid w:val="676214CF"/>
    <w:rsid w:val="67B37AAD"/>
    <w:rsid w:val="682664D1"/>
    <w:rsid w:val="689564A6"/>
    <w:rsid w:val="69400739"/>
    <w:rsid w:val="6A885CD4"/>
    <w:rsid w:val="6A923527"/>
    <w:rsid w:val="6B6932A5"/>
    <w:rsid w:val="6D6172FC"/>
    <w:rsid w:val="6D814CBA"/>
    <w:rsid w:val="6EC66DD1"/>
    <w:rsid w:val="704473C7"/>
    <w:rsid w:val="7064403B"/>
    <w:rsid w:val="70A27D8B"/>
    <w:rsid w:val="71E83163"/>
    <w:rsid w:val="71EE5982"/>
    <w:rsid w:val="73107C5C"/>
    <w:rsid w:val="73123A66"/>
    <w:rsid w:val="732E6B82"/>
    <w:rsid w:val="7379604F"/>
    <w:rsid w:val="73E110E9"/>
    <w:rsid w:val="7416389E"/>
    <w:rsid w:val="74DF000E"/>
    <w:rsid w:val="75137B32"/>
    <w:rsid w:val="77A959E9"/>
    <w:rsid w:val="794B5D40"/>
    <w:rsid w:val="7A5701A2"/>
    <w:rsid w:val="7AC454BE"/>
    <w:rsid w:val="7C9D00ED"/>
    <w:rsid w:val="7CB116B1"/>
    <w:rsid w:val="7D6B5643"/>
    <w:rsid w:val="7DBC6ECA"/>
    <w:rsid w:val="7DC46119"/>
    <w:rsid w:val="7EBA751C"/>
    <w:rsid w:val="7F11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4"/>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5"/>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6"/>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7"/>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8"/>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9"/>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40"/>
    <w:semiHidden/>
    <w:unhideWhenUsed/>
    <w:qFormat/>
    <w:uiPriority w:val="9"/>
    <w:pPr>
      <w:keepNext/>
      <w:keepLines/>
      <w:spacing w:before="120" w:after="0"/>
      <w:outlineLvl w:val="6"/>
    </w:pPr>
    <w:rPr>
      <w:i/>
      <w:iCs/>
    </w:rPr>
  </w:style>
  <w:style w:type="paragraph" w:styleId="10">
    <w:name w:val="heading 8"/>
    <w:basedOn w:val="1"/>
    <w:next w:val="1"/>
    <w:link w:val="41"/>
    <w:semiHidden/>
    <w:unhideWhenUsed/>
    <w:qFormat/>
    <w:uiPriority w:val="9"/>
    <w:pPr>
      <w:keepNext/>
      <w:keepLines/>
      <w:spacing w:before="120" w:after="0"/>
      <w:outlineLvl w:val="7"/>
    </w:pPr>
    <w:rPr>
      <w:b/>
      <w:bCs/>
    </w:rPr>
  </w:style>
  <w:style w:type="paragraph" w:styleId="11">
    <w:name w:val="heading 9"/>
    <w:basedOn w:val="1"/>
    <w:next w:val="1"/>
    <w:link w:val="42"/>
    <w:semiHidden/>
    <w:unhideWhenUsed/>
    <w:qFormat/>
    <w:uiPriority w:val="9"/>
    <w:pPr>
      <w:keepNext/>
      <w:keepLines/>
      <w:spacing w:before="120" w:after="0"/>
      <w:outlineLvl w:val="8"/>
    </w:pPr>
    <w:rPr>
      <w:i/>
      <w:i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3"/>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ody Text Indent 2"/>
    <w:basedOn w:val="1"/>
    <w:qFormat/>
    <w:uiPriority w:val="0"/>
    <w:pPr>
      <w:spacing w:line="40" w:lineRule="atLeast"/>
      <w:ind w:firstLine="538" w:firstLineChars="192"/>
    </w:pPr>
    <w:rPr>
      <w:rFonts w:ascii="宋体" w:hAnsi="宋体"/>
      <w:kern w:val="0"/>
      <w:sz w:val="28"/>
    </w:rPr>
  </w:style>
  <w:style w:type="paragraph" w:styleId="18">
    <w:name w:val="Balloon Text"/>
    <w:basedOn w:val="1"/>
    <w:link w:val="68"/>
    <w:semiHidden/>
    <w:unhideWhenUsed/>
    <w:qFormat/>
    <w:uiPriority w:val="99"/>
    <w:pPr>
      <w:spacing w:after="0" w:line="240" w:lineRule="auto"/>
    </w:pPr>
    <w:rPr>
      <w:sz w:val="18"/>
      <w:szCs w:val="18"/>
    </w:rPr>
  </w:style>
  <w:style w:type="paragraph" w:styleId="19">
    <w:name w:val="footer"/>
    <w:basedOn w:val="1"/>
    <w:link w:val="59"/>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61"/>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Normal (Web)"/>
    <w:basedOn w:val="1"/>
    <w:semiHidden/>
    <w:unhideWhenUsed/>
    <w:qFormat/>
    <w:uiPriority w:val="99"/>
    <w:pPr>
      <w:spacing w:beforeAutospacing="1" w:after="0" w:afterAutospacing="1"/>
      <w:jc w:val="left"/>
    </w:pPr>
    <w:rPr>
      <w:rFonts w:cs="Times New Roman"/>
      <w:sz w:val="24"/>
    </w:rPr>
  </w:style>
  <w:style w:type="paragraph" w:styleId="26">
    <w:name w:val="Title"/>
    <w:basedOn w:val="1"/>
    <w:next w:val="1"/>
    <w:link w:val="43"/>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color w:val="auto"/>
    </w:rPr>
  </w:style>
  <w:style w:type="character" w:styleId="31">
    <w:name w:val="page number"/>
    <w:basedOn w:val="29"/>
    <w:qFormat/>
    <w:uiPriority w:val="99"/>
    <w:rPr>
      <w:rFonts w:cs="Times New Roman"/>
    </w:rPr>
  </w:style>
  <w:style w:type="character" w:styleId="32">
    <w:name w:val="Emphasis"/>
    <w:basedOn w:val="29"/>
    <w:qFormat/>
    <w:uiPriority w:val="20"/>
    <w:rPr>
      <w:i/>
      <w:iCs/>
      <w:color w:val="auto"/>
    </w:rPr>
  </w:style>
  <w:style w:type="character" w:styleId="33">
    <w:name w:val="Hyperlink"/>
    <w:basedOn w:val="29"/>
    <w:unhideWhenUsed/>
    <w:qFormat/>
    <w:uiPriority w:val="99"/>
    <w:rPr>
      <w:color w:val="F49100"/>
      <w:u w:val="single"/>
    </w:rPr>
  </w:style>
  <w:style w:type="character" w:customStyle="1" w:styleId="34">
    <w:name w:val="标题 1 字符"/>
    <w:basedOn w:val="29"/>
    <w:link w:val="3"/>
    <w:qFormat/>
    <w:uiPriority w:val="9"/>
    <w:rPr>
      <w:rFonts w:asciiTheme="majorHAnsi" w:hAnsiTheme="majorHAnsi" w:eastAsiaTheme="majorEastAsia" w:cstheme="majorBidi"/>
      <w:b/>
      <w:bCs/>
      <w:caps/>
      <w:spacing w:val="4"/>
      <w:sz w:val="28"/>
      <w:szCs w:val="28"/>
    </w:rPr>
  </w:style>
  <w:style w:type="character" w:customStyle="1" w:styleId="35">
    <w:name w:val="标题 2 字符"/>
    <w:basedOn w:val="29"/>
    <w:link w:val="4"/>
    <w:semiHidden/>
    <w:qFormat/>
    <w:uiPriority w:val="9"/>
    <w:rPr>
      <w:rFonts w:asciiTheme="majorHAnsi" w:hAnsiTheme="majorHAnsi" w:eastAsiaTheme="majorEastAsia" w:cstheme="majorBidi"/>
      <w:b/>
      <w:bCs/>
      <w:sz w:val="28"/>
      <w:szCs w:val="28"/>
    </w:rPr>
  </w:style>
  <w:style w:type="character" w:customStyle="1" w:styleId="36">
    <w:name w:val="标题 3 字符"/>
    <w:basedOn w:val="29"/>
    <w:link w:val="5"/>
    <w:semiHidden/>
    <w:qFormat/>
    <w:uiPriority w:val="9"/>
    <w:rPr>
      <w:rFonts w:asciiTheme="majorHAnsi" w:hAnsiTheme="majorHAnsi" w:eastAsiaTheme="majorEastAsia" w:cstheme="majorBidi"/>
      <w:spacing w:val="4"/>
      <w:sz w:val="24"/>
      <w:szCs w:val="24"/>
    </w:rPr>
  </w:style>
  <w:style w:type="character" w:customStyle="1" w:styleId="37">
    <w:name w:val="标题 4 字符"/>
    <w:basedOn w:val="29"/>
    <w:link w:val="6"/>
    <w:semiHidden/>
    <w:qFormat/>
    <w:uiPriority w:val="9"/>
    <w:rPr>
      <w:rFonts w:asciiTheme="majorHAnsi" w:hAnsiTheme="majorHAnsi" w:eastAsiaTheme="majorEastAsia" w:cstheme="majorBidi"/>
      <w:i/>
      <w:iCs/>
      <w:sz w:val="24"/>
      <w:szCs w:val="24"/>
    </w:rPr>
  </w:style>
  <w:style w:type="character" w:customStyle="1" w:styleId="38">
    <w:name w:val="标题 5 字符"/>
    <w:basedOn w:val="29"/>
    <w:link w:val="7"/>
    <w:semiHidden/>
    <w:qFormat/>
    <w:uiPriority w:val="9"/>
    <w:rPr>
      <w:rFonts w:asciiTheme="majorHAnsi" w:hAnsiTheme="majorHAnsi" w:eastAsiaTheme="majorEastAsia" w:cstheme="majorBidi"/>
      <w:b/>
      <w:bCs/>
    </w:rPr>
  </w:style>
  <w:style w:type="character" w:customStyle="1" w:styleId="39">
    <w:name w:val="标题 6 字符"/>
    <w:basedOn w:val="29"/>
    <w:link w:val="8"/>
    <w:semiHidden/>
    <w:qFormat/>
    <w:uiPriority w:val="9"/>
    <w:rPr>
      <w:rFonts w:asciiTheme="majorHAnsi" w:hAnsiTheme="majorHAnsi" w:eastAsiaTheme="majorEastAsia" w:cstheme="majorBidi"/>
      <w:b/>
      <w:bCs/>
      <w:i/>
      <w:iCs/>
    </w:rPr>
  </w:style>
  <w:style w:type="character" w:customStyle="1" w:styleId="40">
    <w:name w:val="标题 7 字符"/>
    <w:basedOn w:val="29"/>
    <w:link w:val="9"/>
    <w:semiHidden/>
    <w:qFormat/>
    <w:uiPriority w:val="9"/>
    <w:rPr>
      <w:i/>
      <w:iCs/>
    </w:rPr>
  </w:style>
  <w:style w:type="character" w:customStyle="1" w:styleId="41">
    <w:name w:val="标题 8 字符"/>
    <w:basedOn w:val="29"/>
    <w:link w:val="10"/>
    <w:semiHidden/>
    <w:qFormat/>
    <w:uiPriority w:val="9"/>
    <w:rPr>
      <w:b/>
      <w:bCs/>
    </w:rPr>
  </w:style>
  <w:style w:type="character" w:customStyle="1" w:styleId="42">
    <w:name w:val="标题 9 字符"/>
    <w:basedOn w:val="29"/>
    <w:link w:val="11"/>
    <w:semiHidden/>
    <w:qFormat/>
    <w:uiPriority w:val="9"/>
    <w:rPr>
      <w:i/>
      <w:iCs/>
    </w:rPr>
  </w:style>
  <w:style w:type="character" w:customStyle="1" w:styleId="43">
    <w:name w:val="标题 字符"/>
    <w:basedOn w:val="29"/>
    <w:link w:val="26"/>
    <w:qFormat/>
    <w:uiPriority w:val="10"/>
    <w:rPr>
      <w:rFonts w:asciiTheme="majorHAnsi" w:hAnsiTheme="majorHAnsi" w:eastAsiaTheme="majorEastAsia" w:cstheme="majorBidi"/>
      <w:b/>
      <w:bCs/>
      <w:spacing w:val="-7"/>
      <w:sz w:val="48"/>
      <w:szCs w:val="48"/>
    </w:rPr>
  </w:style>
  <w:style w:type="character" w:customStyle="1" w:styleId="44">
    <w:name w:val="副标题 字符"/>
    <w:basedOn w:val="29"/>
    <w:link w:val="22"/>
    <w:qFormat/>
    <w:uiPriority w:val="11"/>
    <w:rPr>
      <w:rFonts w:asciiTheme="majorHAnsi" w:hAnsiTheme="majorHAnsi" w:eastAsiaTheme="majorEastAsia" w:cstheme="majorBidi"/>
      <w:sz w:val="24"/>
      <w:szCs w:val="24"/>
    </w:rPr>
  </w:style>
  <w:style w:type="paragraph" w:styleId="45">
    <w:name w:val="No Spacing"/>
    <w:link w:val="56"/>
    <w:qFormat/>
    <w:uiPriority w:val="1"/>
    <w:pPr>
      <w:jc w:val="both"/>
    </w:pPr>
    <w:rPr>
      <w:rFonts w:asciiTheme="minorHAnsi" w:hAnsiTheme="minorHAnsi" w:eastAsiaTheme="minorEastAsia" w:cstheme="minorBidi"/>
      <w:sz w:val="22"/>
      <w:szCs w:val="22"/>
      <w:lang w:val="en-US" w:eastAsia="zh-CN" w:bidi="ar-SA"/>
    </w:rPr>
  </w:style>
  <w:style w:type="paragraph" w:styleId="46">
    <w:name w:val="Quote"/>
    <w:basedOn w:val="1"/>
    <w:next w:val="1"/>
    <w:link w:val="47"/>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7">
    <w:name w:val="引用 字符"/>
    <w:basedOn w:val="29"/>
    <w:link w:val="46"/>
    <w:qFormat/>
    <w:uiPriority w:val="29"/>
    <w:rPr>
      <w:rFonts w:asciiTheme="majorHAnsi" w:hAnsiTheme="majorHAnsi" w:eastAsiaTheme="majorEastAsia" w:cstheme="majorBidi"/>
      <w:i/>
      <w:iCs/>
      <w:sz w:val="24"/>
      <w:szCs w:val="24"/>
    </w:rPr>
  </w:style>
  <w:style w:type="paragraph" w:styleId="48">
    <w:name w:val="Intense Quote"/>
    <w:basedOn w:val="1"/>
    <w:next w:val="1"/>
    <w:link w:val="49"/>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9">
    <w:name w:val="明显引用 字符"/>
    <w:basedOn w:val="29"/>
    <w:link w:val="48"/>
    <w:qFormat/>
    <w:uiPriority w:val="30"/>
    <w:rPr>
      <w:rFonts w:asciiTheme="majorHAnsi" w:hAnsiTheme="majorHAnsi" w:eastAsiaTheme="majorEastAsia" w:cstheme="majorBidi"/>
      <w:sz w:val="26"/>
      <w:szCs w:val="26"/>
    </w:rPr>
  </w:style>
  <w:style w:type="character" w:customStyle="1" w:styleId="50">
    <w:name w:val="不明显强调1"/>
    <w:basedOn w:val="29"/>
    <w:qFormat/>
    <w:uiPriority w:val="19"/>
    <w:rPr>
      <w:i/>
      <w:iCs/>
      <w:color w:val="auto"/>
    </w:rPr>
  </w:style>
  <w:style w:type="character" w:customStyle="1" w:styleId="51">
    <w:name w:val="明显强调1"/>
    <w:basedOn w:val="29"/>
    <w:qFormat/>
    <w:uiPriority w:val="21"/>
    <w:rPr>
      <w:b/>
      <w:bCs/>
      <w:i/>
      <w:iCs/>
      <w:color w:val="auto"/>
    </w:rPr>
  </w:style>
  <w:style w:type="character" w:customStyle="1" w:styleId="52">
    <w:name w:val="不明显参考1"/>
    <w:basedOn w:val="29"/>
    <w:qFormat/>
    <w:uiPriority w:val="31"/>
    <w:rPr>
      <w:smallCaps/>
      <w:color w:val="auto"/>
      <w:u w:val="single" w:color="7E7E7E" w:themeColor="text1" w:themeTint="80"/>
    </w:rPr>
  </w:style>
  <w:style w:type="character" w:customStyle="1" w:styleId="53">
    <w:name w:val="明显参考1"/>
    <w:basedOn w:val="29"/>
    <w:qFormat/>
    <w:uiPriority w:val="32"/>
    <w:rPr>
      <w:b/>
      <w:bCs/>
      <w:smallCaps/>
      <w:color w:val="auto"/>
      <w:u w:val="single"/>
    </w:rPr>
  </w:style>
  <w:style w:type="character" w:customStyle="1" w:styleId="54">
    <w:name w:val="书籍标题1"/>
    <w:basedOn w:val="29"/>
    <w:qFormat/>
    <w:uiPriority w:val="33"/>
    <w:rPr>
      <w:b/>
      <w:bCs/>
      <w:smallCaps/>
      <w:color w:val="auto"/>
    </w:rPr>
  </w:style>
  <w:style w:type="paragraph" w:customStyle="1" w:styleId="55">
    <w:name w:val="TOC 标题1"/>
    <w:basedOn w:val="3"/>
    <w:next w:val="1"/>
    <w:unhideWhenUsed/>
    <w:qFormat/>
    <w:uiPriority w:val="39"/>
    <w:pPr>
      <w:outlineLvl w:val="9"/>
    </w:pPr>
  </w:style>
  <w:style w:type="character" w:customStyle="1" w:styleId="56">
    <w:name w:val="无间隔 字符"/>
    <w:basedOn w:val="29"/>
    <w:link w:val="45"/>
    <w:qFormat/>
    <w:uiPriority w:val="1"/>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8">
    <w:name w:val="页眉 字符"/>
    <w:basedOn w:val="29"/>
    <w:link w:val="20"/>
    <w:qFormat/>
    <w:uiPriority w:val="99"/>
    <w:rPr>
      <w:sz w:val="18"/>
      <w:szCs w:val="18"/>
    </w:rPr>
  </w:style>
  <w:style w:type="character" w:customStyle="1" w:styleId="59">
    <w:name w:val="页脚 字符"/>
    <w:basedOn w:val="29"/>
    <w:link w:val="19"/>
    <w:qFormat/>
    <w:uiPriority w:val="99"/>
    <w:rPr>
      <w:sz w:val="18"/>
      <w:szCs w:val="18"/>
    </w:rPr>
  </w:style>
  <w:style w:type="paragraph" w:styleId="60">
    <w:name w:val="List Paragraph"/>
    <w:basedOn w:val="1"/>
    <w:qFormat/>
    <w:uiPriority w:val="0"/>
    <w:pPr>
      <w:ind w:firstLine="420" w:firstLineChars="200"/>
    </w:pPr>
  </w:style>
  <w:style w:type="character" w:customStyle="1" w:styleId="61">
    <w:name w:val="正文文本缩进 3 字符"/>
    <w:basedOn w:val="29"/>
    <w:link w:val="23"/>
    <w:qFormat/>
    <w:uiPriority w:val="0"/>
    <w:rPr>
      <w:rFonts w:ascii="Times New Roman" w:hAnsi="Times New Roman" w:eastAsia="宋体" w:cs="Times New Roman"/>
      <w:kern w:val="2"/>
      <w:sz w:val="16"/>
      <w:szCs w:val="16"/>
    </w:rPr>
  </w:style>
  <w:style w:type="paragraph" w:customStyle="1" w:styleId="62">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字符"/>
    <w:basedOn w:val="29"/>
    <w:link w:val="15"/>
    <w:semiHidden/>
    <w:qFormat/>
    <w:uiPriority w:val="99"/>
    <w:rPr>
      <w:rFonts w:hAnsi="Courier New" w:cs="Courier New" w:asciiTheme="minorEastAsia"/>
    </w:rPr>
  </w:style>
  <w:style w:type="character" w:customStyle="1" w:styleId="64">
    <w:name w:val="正文文本 字符"/>
    <w:basedOn w:val="29"/>
    <w:link w:val="2"/>
    <w:qFormat/>
    <w:uiPriority w:val="99"/>
  </w:style>
  <w:style w:type="character" w:customStyle="1" w:styleId="65">
    <w:name w:val="纯文本 Char"/>
    <w:qFormat/>
    <w:uiPriority w:val="0"/>
    <w:rPr>
      <w:rFonts w:ascii="宋体" w:hAnsi="Courier New" w:eastAsia="宋体"/>
      <w:kern w:val="2"/>
      <w:sz w:val="21"/>
      <w:lang w:val="en-US" w:eastAsia="zh-CN" w:bidi="ar-SA"/>
    </w:rPr>
  </w:style>
  <w:style w:type="character" w:customStyle="1" w:styleId="66">
    <w:name w:val="font11"/>
    <w:basedOn w:val="29"/>
    <w:qFormat/>
    <w:uiPriority w:val="0"/>
    <w:rPr>
      <w:rFonts w:hint="eastAsia" w:ascii="微软雅黑" w:hAnsi="微软雅黑" w:eastAsia="微软雅黑" w:cs="微软雅黑"/>
      <w:color w:val="000000"/>
      <w:sz w:val="16"/>
      <w:szCs w:val="16"/>
      <w:u w:val="none"/>
    </w:rPr>
  </w:style>
  <w:style w:type="character" w:customStyle="1" w:styleId="67">
    <w:name w:val="font01"/>
    <w:basedOn w:val="29"/>
    <w:qFormat/>
    <w:uiPriority w:val="0"/>
    <w:rPr>
      <w:rFonts w:hint="eastAsia" w:ascii="微软雅黑" w:hAnsi="微软雅黑" w:eastAsia="微软雅黑" w:cs="微软雅黑"/>
      <w:color w:val="FF0000"/>
      <w:sz w:val="16"/>
      <w:szCs w:val="16"/>
      <w:u w:val="none"/>
    </w:rPr>
  </w:style>
  <w:style w:type="character" w:customStyle="1" w:styleId="68">
    <w:name w:val="批注框文本 字符"/>
    <w:basedOn w:val="29"/>
    <w:link w:val="18"/>
    <w:semiHidden/>
    <w:qFormat/>
    <w:uiPriority w:val="99"/>
    <w:rPr>
      <w:sz w:val="18"/>
      <w:szCs w:val="18"/>
    </w:rPr>
  </w:style>
  <w:style w:type="paragraph" w:customStyle="1" w:styleId="69">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 w:type="character" w:customStyle="1" w:styleId="70">
    <w:name w:val="font21"/>
    <w:basedOn w:val="29"/>
    <w:qFormat/>
    <w:uiPriority w:val="0"/>
    <w:rPr>
      <w:rFonts w:hint="default" w:ascii="Times New Roman" w:hAnsi="Times New Roman" w:cs="Times New Roman"/>
      <w:color w:val="000000"/>
      <w:sz w:val="18"/>
      <w:szCs w:val="18"/>
      <w:u w:val="none"/>
    </w:rPr>
  </w:style>
  <w:style w:type="character" w:customStyle="1" w:styleId="71">
    <w:name w:val="font131"/>
    <w:basedOn w:val="29"/>
    <w:qFormat/>
    <w:uiPriority w:val="0"/>
    <w:rPr>
      <w:rFonts w:hint="eastAsia" w:ascii="宋体" w:hAnsi="宋体" w:eastAsia="宋体" w:cs="宋体"/>
      <w:color w:val="000000"/>
      <w:sz w:val="18"/>
      <w:szCs w:val="18"/>
      <w:u w:val="none"/>
    </w:rPr>
  </w:style>
  <w:style w:type="character" w:customStyle="1" w:styleId="72">
    <w:name w:val="font91"/>
    <w:basedOn w:val="29"/>
    <w:qFormat/>
    <w:uiPriority w:val="0"/>
    <w:rPr>
      <w:rFonts w:hint="eastAsia" w:ascii="宋体" w:hAnsi="宋体" w:eastAsia="宋体" w:cs="宋体"/>
      <w:b/>
      <w:bCs/>
      <w:color w:val="000000"/>
      <w:sz w:val="24"/>
      <w:szCs w:val="24"/>
      <w:u w:val="none"/>
    </w:rPr>
  </w:style>
  <w:style w:type="character" w:customStyle="1" w:styleId="73">
    <w:name w:val="font31"/>
    <w:basedOn w:val="29"/>
    <w:qFormat/>
    <w:uiPriority w:val="0"/>
    <w:rPr>
      <w:rFonts w:hint="eastAsia" w:ascii="宋体" w:hAnsi="宋体" w:eastAsia="宋体" w:cs="宋体"/>
      <w:color w:val="000000"/>
      <w:sz w:val="20"/>
      <w:szCs w:val="20"/>
      <w:u w:val="none"/>
    </w:rPr>
  </w:style>
  <w:style w:type="character" w:customStyle="1" w:styleId="74">
    <w:name w:val="font51"/>
    <w:basedOn w:val="29"/>
    <w:qFormat/>
    <w:uiPriority w:val="0"/>
    <w:rPr>
      <w:rFonts w:hint="eastAsia" w:ascii="宋体" w:hAnsi="宋体" w:eastAsia="宋体" w:cs="宋体"/>
      <w:color w:val="000000"/>
      <w:sz w:val="20"/>
      <w:szCs w:val="20"/>
      <w:u w:val="none"/>
    </w:rPr>
  </w:style>
  <w:style w:type="character" w:customStyle="1" w:styleId="75">
    <w:name w:val="font61"/>
    <w:basedOn w:val="29"/>
    <w:qFormat/>
    <w:uiPriority w:val="0"/>
    <w:rPr>
      <w:rFonts w:hint="eastAsia" w:ascii="宋体" w:hAnsi="宋体" w:eastAsia="宋体" w:cs="宋体"/>
      <w:color w:val="000000"/>
      <w:sz w:val="20"/>
      <w:szCs w:val="20"/>
      <w:u w:val="none"/>
    </w:rPr>
  </w:style>
  <w:style w:type="character" w:customStyle="1" w:styleId="76">
    <w:name w:val="font71"/>
    <w:basedOn w:val="29"/>
    <w:qFormat/>
    <w:uiPriority w:val="0"/>
    <w:rPr>
      <w:rFonts w:hint="default" w:ascii="Times New Roman" w:hAnsi="Times New Roman" w:cs="Times New Roman"/>
      <w:color w:val="000000"/>
      <w:sz w:val="18"/>
      <w:szCs w:val="18"/>
      <w:u w:val="none"/>
    </w:rPr>
  </w:style>
  <w:style w:type="character" w:customStyle="1" w:styleId="77">
    <w:name w:val="font141"/>
    <w:basedOn w:val="29"/>
    <w:qFormat/>
    <w:uiPriority w:val="0"/>
    <w:rPr>
      <w:rFonts w:hint="eastAsia" w:ascii="宋体" w:hAnsi="宋体" w:eastAsia="宋体" w:cs="宋体"/>
      <w:color w:val="FF0000"/>
      <w:sz w:val="20"/>
      <w:szCs w:val="20"/>
      <w:u w:val="none"/>
    </w:rPr>
  </w:style>
  <w:style w:type="paragraph" w:customStyle="1" w:styleId="78">
    <w:name w:val="列出段落1"/>
    <w:basedOn w:val="1"/>
    <w:qFormat/>
    <w:uiPriority w:val="0"/>
    <w:pPr>
      <w:ind w:firstLine="420" w:firstLineChars="200"/>
    </w:pPr>
    <w:rPr>
      <w:rFonts w:eastAsia="宋体" w:cs="黑体"/>
      <w:szCs w:val="22"/>
    </w:rPr>
  </w:style>
  <w:style w:type="character" w:customStyle="1" w:styleId="79">
    <w:name w:val="font4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16</Pages>
  <Words>4480</Words>
  <Characters>6629</Characters>
  <Lines>38</Lines>
  <Paragraphs>10</Paragraphs>
  <TotalTime>156</TotalTime>
  <ScaleCrop>false</ScaleCrop>
  <LinksUpToDate>false</LinksUpToDate>
  <CharactersWithSpaces>7520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Deity雅</cp:lastModifiedBy>
  <dcterms:modified xsi:type="dcterms:W3CDTF">2023-09-19T06:31:04Z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57536422A6C64429A348BB6F3DC3735B_13</vt:lpwstr>
  </property>
</Properties>
</file>