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36"/>
          <w:szCs w:val="36"/>
        </w:rPr>
      </w:pPr>
      <w:bookmarkStart w:id="0" w:name="_Hlk38472698"/>
      <w:r>
        <w:rPr>
          <w:rFonts w:hint="eastAsia" w:ascii="仿宋" w:hAnsi="仿宋" w:eastAsia="仿宋"/>
          <w:b/>
          <w:sz w:val="36"/>
          <w:szCs w:val="36"/>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0" t="0" r="6350" b="9525"/>
            <wp:wrapNone/>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pic:cNvPicPr>
                  </pic:nvPicPr>
                  <pic:blipFill>
                    <a:blip r:embed="rId13"/>
                    <a:stretch>
                      <a:fillRect/>
                    </a:stretch>
                  </pic:blipFill>
                  <pic:spPr>
                    <a:xfrm>
                      <a:off x="0" y="0"/>
                      <a:ext cx="2914650" cy="676275"/>
                    </a:xfrm>
                    <a:prstGeom prst="rect">
                      <a:avLst/>
                    </a:prstGeom>
                    <a:noFill/>
                    <a:ln>
                      <a:noFill/>
                    </a:ln>
                  </pic:spPr>
                </pic:pic>
              </a:graphicData>
            </a:graphic>
          </wp:anchor>
        </w:drawing>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300" w:afterAutospacing="0" w:line="540" w:lineRule="atLeast"/>
        <w:ind w:left="0" w:right="0" w:firstLine="0"/>
        <w:jc w:val="center"/>
        <w:textAlignment w:val="baseline"/>
        <w:rPr>
          <w:rFonts w:hint="eastAsia" w:ascii="仿宋" w:hAnsi="仿宋" w:eastAsia="仿宋"/>
          <w:b/>
          <w:bCs w:val="0"/>
          <w:sz w:val="40"/>
          <w:szCs w:val="32"/>
        </w:rPr>
      </w:pPr>
      <w:r>
        <w:rPr>
          <w:rFonts w:hint="eastAsia" w:ascii="仿宋" w:hAnsi="仿宋" w:eastAsia="仿宋"/>
          <w:b/>
          <w:bCs w:val="0"/>
          <w:sz w:val="40"/>
          <w:szCs w:val="32"/>
        </w:rPr>
        <w:t>江西科技学院</w:t>
      </w:r>
      <w:r>
        <w:rPr>
          <w:rFonts w:hint="eastAsia" w:ascii="仿宋" w:hAnsi="仿宋" w:eastAsia="仿宋"/>
          <w:b/>
          <w:bCs w:val="0"/>
          <w:sz w:val="40"/>
          <w:szCs w:val="32"/>
          <w:lang w:eastAsia="zh-CN"/>
        </w:rPr>
        <w:t>负载均衡设备</w:t>
      </w:r>
      <w:r>
        <w:rPr>
          <w:rFonts w:hint="eastAsia" w:ascii="仿宋" w:hAnsi="仿宋" w:eastAsia="仿宋"/>
          <w:b/>
          <w:bCs w:val="0"/>
          <w:sz w:val="40"/>
          <w:szCs w:val="32"/>
        </w:rPr>
        <w:t>采购项目</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询</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506" w:firstLineChars="500"/>
        <w:rPr>
          <w:rFonts w:hint="default" w:ascii="仿宋" w:hAnsi="仿宋" w:eastAsia="仿宋"/>
          <w:b/>
          <w:color w:val="000000"/>
          <w:sz w:val="30"/>
          <w:szCs w:val="30"/>
          <w:lang w:val="en-US" w:eastAsia="zh-CN"/>
        </w:rPr>
      </w:pPr>
      <w:r>
        <w:rPr>
          <w:rFonts w:hint="eastAsia" w:ascii="仿宋" w:hAnsi="仿宋" w:eastAsia="仿宋"/>
          <w:b/>
          <w:color w:val="000000"/>
          <w:sz w:val="30"/>
          <w:szCs w:val="30"/>
        </w:rPr>
        <w:t>项目编号：</w:t>
      </w:r>
      <w:bookmarkStart w:id="1" w:name="_Toc169332792"/>
      <w:bookmarkStart w:id="2" w:name="_Toc160880485"/>
      <w:bookmarkStart w:id="3" w:name="_Toc160880118"/>
      <w:r>
        <w:rPr>
          <w:rFonts w:hint="eastAsia" w:ascii="仿宋" w:hAnsi="仿宋" w:eastAsia="仿宋"/>
          <w:b/>
          <w:color w:val="000000"/>
          <w:sz w:val="30"/>
          <w:szCs w:val="30"/>
        </w:rPr>
        <w:t>JK202</w:t>
      </w:r>
      <w:r>
        <w:rPr>
          <w:rFonts w:hint="eastAsia" w:ascii="仿宋" w:hAnsi="仿宋" w:eastAsia="仿宋"/>
          <w:b/>
          <w:color w:val="000000"/>
          <w:sz w:val="30"/>
          <w:szCs w:val="30"/>
          <w:lang w:val="en-US" w:eastAsia="zh-CN"/>
        </w:rPr>
        <w:t>31009001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300" w:afterAutospacing="0" w:line="540" w:lineRule="atLeast"/>
        <w:ind w:left="0" w:right="0" w:firstLine="1506" w:firstLineChars="500"/>
        <w:jc w:val="both"/>
        <w:textAlignment w:val="baseline"/>
        <w:rPr>
          <w:rFonts w:hint="eastAsia" w:ascii="仿宋" w:hAnsi="仿宋" w:eastAsia="仿宋"/>
          <w:b w:val="0"/>
          <w:sz w:val="40"/>
          <w:szCs w:val="32"/>
        </w:rPr>
      </w:pPr>
      <w:r>
        <w:rPr>
          <w:rFonts w:hint="eastAsia" w:ascii="仿宋" w:hAnsi="仿宋" w:eastAsia="仿宋"/>
          <w:b/>
          <w:bCs/>
          <w:color w:val="000000"/>
          <w:sz w:val="30"/>
          <w:szCs w:val="30"/>
        </w:rPr>
        <w:t>项目名称</w:t>
      </w:r>
      <w:bookmarkEnd w:id="1"/>
      <w:bookmarkEnd w:id="2"/>
      <w:bookmarkEnd w:id="3"/>
      <w:r>
        <w:rPr>
          <w:rFonts w:hint="eastAsia" w:ascii="仿宋" w:hAnsi="仿宋" w:eastAsia="仿宋"/>
          <w:b/>
          <w:bCs/>
          <w:color w:val="000000"/>
          <w:sz w:val="30"/>
          <w:szCs w:val="30"/>
        </w:rPr>
        <w:t>：</w:t>
      </w:r>
      <w:bookmarkStart w:id="4" w:name="_Toc267059786"/>
      <w:bookmarkStart w:id="5" w:name="_Toc235438227"/>
      <w:bookmarkStart w:id="6" w:name="_Toc267059161"/>
      <w:bookmarkStart w:id="7" w:name="_Toc267059519"/>
      <w:bookmarkStart w:id="8" w:name="_Toc251586187"/>
      <w:bookmarkStart w:id="9" w:name="_Toc170798743"/>
      <w:bookmarkStart w:id="10" w:name="_Toc266868924"/>
      <w:bookmarkStart w:id="11" w:name="_Toc258401210"/>
      <w:bookmarkStart w:id="12" w:name="_Toc259520819"/>
      <w:bookmarkStart w:id="13" w:name="_Toc225669277"/>
      <w:bookmarkStart w:id="14" w:name="_Toc255974963"/>
      <w:bookmarkStart w:id="15" w:name="_Toc254790852"/>
      <w:bookmarkStart w:id="16" w:name="_Toc249325665"/>
      <w:bookmarkStart w:id="17" w:name="_Toc219800200"/>
      <w:bookmarkStart w:id="18" w:name="_Toc267059010"/>
      <w:bookmarkStart w:id="19" w:name="_Toc267060162"/>
      <w:bookmarkStart w:id="20" w:name="_Toc251613780"/>
      <w:bookmarkStart w:id="21" w:name="_Toc273178686"/>
      <w:bookmarkStart w:id="22" w:name="_Toc235437942"/>
      <w:bookmarkStart w:id="23" w:name="_Toc236021402"/>
      <w:bookmarkStart w:id="24" w:name="_Toc177985424"/>
      <w:bookmarkStart w:id="25" w:name="_Toc267060022"/>
      <w:bookmarkStart w:id="26" w:name="_Toc211937196"/>
      <w:bookmarkStart w:id="27" w:name="_Toc207014580"/>
      <w:bookmarkStart w:id="28" w:name="_Toc223146565"/>
      <w:bookmarkStart w:id="29" w:name="_Toc266870861"/>
      <w:bookmarkStart w:id="30" w:name="_Toc227058483"/>
      <w:bookmarkStart w:id="31" w:name="_Toc267059633"/>
      <w:bookmarkStart w:id="32" w:name="_Toc235438297"/>
      <w:bookmarkStart w:id="33" w:name="_Toc212530253"/>
      <w:bookmarkStart w:id="34" w:name="_Toc259692693"/>
      <w:bookmarkStart w:id="35" w:name="_Toc169332904"/>
      <w:bookmarkStart w:id="36" w:name="_Toc216241307"/>
      <w:bookmarkStart w:id="37" w:name="_Toc212526081"/>
      <w:bookmarkStart w:id="38" w:name="_Toc212456146"/>
      <w:bookmarkStart w:id="39" w:name="_Toc253066567"/>
      <w:bookmarkStart w:id="40" w:name="_Toc266868624"/>
      <w:bookmarkStart w:id="41" w:name="_Toc267059899"/>
      <w:bookmarkStart w:id="42" w:name="_Toc160880487"/>
      <w:bookmarkStart w:id="43" w:name="_Toc169332794"/>
      <w:bookmarkStart w:id="44" w:name="_Toc259692600"/>
      <w:bookmarkStart w:id="45" w:name="_Toc217891359"/>
      <w:bookmarkStart w:id="46" w:name="_Toc267060407"/>
      <w:bookmarkStart w:id="47" w:name="_Toc212454753"/>
      <w:bookmarkStart w:id="48" w:name="_Toc266870386"/>
      <w:r>
        <w:rPr>
          <w:rFonts w:hint="eastAsia" w:ascii="仿宋" w:hAnsi="仿宋" w:eastAsia="仿宋"/>
          <w:b/>
          <w:bCs/>
          <w:sz w:val="30"/>
          <w:szCs w:val="30"/>
        </w:rPr>
        <w:t>江西科技学院</w:t>
      </w:r>
      <w:r>
        <w:rPr>
          <w:rFonts w:hint="eastAsia" w:ascii="仿宋" w:hAnsi="仿宋" w:eastAsia="仿宋"/>
          <w:b/>
          <w:bCs/>
          <w:sz w:val="30"/>
          <w:szCs w:val="30"/>
          <w:lang w:eastAsia="zh-CN"/>
        </w:rPr>
        <w:t>负载均衡设备</w:t>
      </w:r>
      <w:r>
        <w:rPr>
          <w:rFonts w:hint="eastAsia" w:ascii="仿宋" w:hAnsi="仿宋" w:eastAsia="仿宋"/>
          <w:b/>
          <w:bCs/>
          <w:sz w:val="30"/>
          <w:szCs w:val="30"/>
        </w:rPr>
        <w:t>采购项目</w:t>
      </w:r>
    </w:p>
    <w:p>
      <w:pPr>
        <w:pStyle w:val="62"/>
        <w:spacing w:line="360" w:lineRule="auto"/>
        <w:ind w:left="3012" w:hanging="3213" w:hangingChars="1000"/>
        <w:jc w:val="left"/>
        <w:outlineLvl w:val="0"/>
        <w:rPr>
          <w:rFonts w:hint="eastAsia" w:ascii="仿宋" w:hAnsi="仿宋" w:eastAsia="仿宋" w:cs="仿宋"/>
          <w:b/>
          <w:bCs/>
          <w:sz w:val="32"/>
          <w:szCs w:val="32"/>
          <w:lang w:eastAsia="zh-CN"/>
        </w:rPr>
      </w:pPr>
    </w:p>
    <w:p>
      <w:pPr>
        <w:pStyle w:val="62"/>
        <w:spacing w:line="360" w:lineRule="auto"/>
        <w:jc w:val="center"/>
        <w:outlineLvl w:val="0"/>
        <w:rPr>
          <w:rFonts w:hint="eastAsia" w:ascii="仿宋" w:hAnsi="仿宋" w:eastAsia="仿宋"/>
          <w:b/>
          <w:color w:val="000000"/>
          <w:sz w:val="44"/>
          <w:szCs w:val="44"/>
        </w:rPr>
      </w:pPr>
    </w:p>
    <w:p>
      <w:pPr>
        <w:pStyle w:val="62"/>
        <w:spacing w:line="360" w:lineRule="auto"/>
        <w:jc w:val="center"/>
        <w:outlineLvl w:val="0"/>
        <w:rPr>
          <w:rFonts w:ascii="仿宋" w:hAnsi="仿宋" w:eastAsia="仿宋"/>
          <w:b/>
          <w:color w:val="000000"/>
          <w:sz w:val="44"/>
          <w:szCs w:val="44"/>
        </w:rPr>
      </w:pPr>
      <w:r>
        <w:rPr>
          <w:rFonts w:hint="eastAsia" w:ascii="仿宋" w:hAnsi="仿宋" w:eastAsia="仿宋"/>
          <w:b/>
          <w:color w:val="000000"/>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sz w:val="44"/>
          <w:szCs w:val="44"/>
        </w:rPr>
        <w:t>函</w:t>
      </w:r>
    </w:p>
    <w:p>
      <w:pPr>
        <w:spacing w:line="500" w:lineRule="exact"/>
        <w:ind w:firstLine="480" w:firstLineChars="200"/>
        <w:rPr>
          <w:rFonts w:hint="eastAsia" w:ascii="仿宋" w:hAnsi="仿宋" w:eastAsia="仿宋" w:cs="仿宋"/>
          <w:b w:val="0"/>
          <w:bCs w:val="0"/>
          <w:sz w:val="24"/>
          <w:szCs w:val="24"/>
        </w:rPr>
      </w:pPr>
      <w:bookmarkStart w:id="49" w:name="_Hlk10840310"/>
      <w:r>
        <w:rPr>
          <w:rFonts w:hint="eastAsia" w:ascii="仿宋" w:hAnsi="仿宋" w:eastAsia="仿宋" w:cs="仿宋"/>
          <w:b w:val="0"/>
          <w:bCs w:val="0"/>
          <w:sz w:val="24"/>
          <w:szCs w:val="24"/>
          <w:shd w:val="clear" w:color="auto"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w:t>
      </w:r>
      <w:r>
        <w:rPr>
          <w:rFonts w:hint="eastAsia" w:ascii="仿宋" w:hAnsi="仿宋" w:eastAsia="仿宋" w:cs="仿宋"/>
          <w:b w:val="0"/>
          <w:bCs w:val="0"/>
          <w:sz w:val="24"/>
          <w:szCs w:val="24"/>
          <w:shd w:val="clear" w:color="auto" w:fill="FFFFFF"/>
          <w:lang w:val="en-US" w:eastAsia="zh-CN"/>
        </w:rPr>
        <w:t>90</w:t>
      </w:r>
      <w:r>
        <w:rPr>
          <w:rFonts w:hint="eastAsia" w:ascii="仿宋" w:hAnsi="仿宋" w:eastAsia="仿宋" w:cs="仿宋"/>
          <w:b w:val="0"/>
          <w:bCs w:val="0"/>
          <w:sz w:val="24"/>
          <w:szCs w:val="24"/>
          <w:shd w:val="clear" w:color="auto" w:fill="FFFFFF"/>
        </w:rPr>
        <w:t>万平方米。</w:t>
      </w:r>
      <w:r>
        <w:rPr>
          <w:rFonts w:hint="eastAsia" w:ascii="仿宋" w:hAnsi="仿宋" w:eastAsia="仿宋" w:cs="仿宋"/>
          <w:b w:val="0"/>
          <w:bCs w:val="0"/>
          <w:sz w:val="24"/>
          <w:szCs w:val="24"/>
        </w:rPr>
        <w:t>按照公开、公平、公正的原则，经学校研究决定，将江西科技学院</w:t>
      </w:r>
      <w:r>
        <w:rPr>
          <w:rFonts w:hint="eastAsia" w:ascii="仿宋" w:hAnsi="仿宋" w:eastAsia="仿宋" w:cs="仿宋"/>
          <w:b w:val="0"/>
          <w:bCs w:val="0"/>
          <w:sz w:val="24"/>
          <w:szCs w:val="24"/>
          <w:lang w:eastAsia="zh-CN"/>
        </w:rPr>
        <w:t>负载均衡设备</w:t>
      </w:r>
      <w:r>
        <w:rPr>
          <w:rFonts w:hint="eastAsia" w:ascii="仿宋" w:hAnsi="仿宋" w:eastAsia="仿宋" w:cs="仿宋"/>
          <w:b w:val="0"/>
          <w:bCs w:val="0"/>
          <w:sz w:val="24"/>
          <w:szCs w:val="24"/>
        </w:rPr>
        <w:t>采购项目公开询价信息公布，欢迎国内合格的供应商参与,校内教职工均可推荐符合条件的供应商来参与。</w:t>
      </w:r>
    </w:p>
    <w:p>
      <w:pPr>
        <w:spacing w:after="0" w:line="500" w:lineRule="exact"/>
        <w:ind w:firstLine="364" w:firstLineChars="152"/>
        <w:jc w:val="left"/>
        <w:rPr>
          <w:rFonts w:hint="eastAsia" w:ascii="仿宋" w:hAnsi="仿宋" w:eastAsia="仿宋" w:cs="仿宋"/>
          <w:color w:val="000000"/>
          <w:sz w:val="24"/>
          <w:szCs w:val="24"/>
        </w:rPr>
      </w:pPr>
      <w:r>
        <w:rPr>
          <w:rFonts w:hint="eastAsia" w:ascii="仿宋" w:hAnsi="仿宋" w:eastAsia="仿宋" w:cs="仿宋"/>
          <w:color w:val="000000"/>
          <w:sz w:val="24"/>
          <w:szCs w:val="24"/>
        </w:rPr>
        <w:t>一、项目说明</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项目编号：JK202</w:t>
      </w:r>
      <w:r>
        <w:rPr>
          <w:rFonts w:hint="eastAsia" w:ascii="仿宋" w:hAnsi="仿宋" w:eastAsia="仿宋" w:cs="仿宋"/>
          <w:color w:val="000000"/>
          <w:sz w:val="24"/>
          <w:szCs w:val="24"/>
          <w:lang w:val="en-US" w:eastAsia="zh-CN"/>
        </w:rPr>
        <w:t>31009001</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b w:val="0"/>
          <w:bCs w:val="0"/>
          <w:sz w:val="24"/>
          <w:szCs w:val="24"/>
        </w:rPr>
        <w:t>江西科技学院</w:t>
      </w:r>
      <w:r>
        <w:rPr>
          <w:rFonts w:hint="eastAsia" w:ascii="仿宋" w:hAnsi="仿宋" w:eastAsia="仿宋" w:cs="仿宋"/>
          <w:b w:val="0"/>
          <w:bCs w:val="0"/>
          <w:sz w:val="24"/>
          <w:szCs w:val="24"/>
          <w:lang w:eastAsia="zh-CN"/>
        </w:rPr>
        <w:t>负载均衡设备</w:t>
      </w:r>
      <w:r>
        <w:rPr>
          <w:rFonts w:hint="eastAsia" w:ascii="仿宋" w:hAnsi="仿宋" w:eastAsia="仿宋" w:cs="仿宋"/>
          <w:b w:val="0"/>
          <w:bCs w:val="0"/>
          <w:sz w:val="24"/>
          <w:szCs w:val="24"/>
        </w:rPr>
        <w:t>采购项目</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数量及主要技术要求:</w:t>
      </w:r>
      <w:r>
        <w:rPr>
          <w:rFonts w:hint="eastAsia" w:ascii="仿宋" w:hAnsi="仿宋" w:eastAsia="仿宋" w:cs="仿宋"/>
          <w:sz w:val="24"/>
          <w:szCs w:val="24"/>
        </w:rPr>
        <w:t>(技术要求</w:t>
      </w:r>
      <w:r>
        <w:rPr>
          <w:rFonts w:hint="eastAsia" w:ascii="仿宋" w:hAnsi="仿宋" w:eastAsia="仿宋" w:cs="仿宋"/>
          <w:color w:val="000000"/>
          <w:sz w:val="24"/>
          <w:szCs w:val="24"/>
        </w:rPr>
        <w:t>详见附件）</w:t>
      </w:r>
    </w:p>
    <w:p>
      <w:pPr>
        <w:widowControl w:val="0"/>
        <w:numPr>
          <w:ilvl w:val="1"/>
          <w:numId w:val="1"/>
        </w:numPr>
        <w:spacing w:after="0" w:line="500" w:lineRule="exact"/>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参与人资格标准：本项目采用资格预审制，发布公开询价公告后，各潜在参与人在满足资格要求并提供以下相关证明资料方能参与本项目报价</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递交</w:t>
      </w:r>
      <w:r>
        <w:rPr>
          <w:rFonts w:hint="eastAsia" w:ascii="仿宋" w:hAnsi="仿宋" w:eastAsia="仿宋" w:cs="仿宋"/>
          <w:b/>
          <w:bCs/>
          <w:color w:val="000000"/>
          <w:sz w:val="24"/>
          <w:szCs w:val="24"/>
        </w:rPr>
        <w:t>标书前发给联系人，同时放入</w:t>
      </w:r>
      <w:r>
        <w:rPr>
          <w:rFonts w:hint="eastAsia" w:ascii="仿宋" w:hAnsi="仿宋" w:eastAsia="仿宋" w:cs="仿宋"/>
          <w:b/>
          <w:bCs/>
          <w:color w:val="000000"/>
          <w:sz w:val="24"/>
          <w:szCs w:val="24"/>
          <w:lang w:val="en-US" w:eastAsia="zh-CN"/>
        </w:rPr>
        <w:t>标书</w:t>
      </w:r>
      <w:r>
        <w:rPr>
          <w:rFonts w:hint="eastAsia" w:ascii="仿宋" w:hAnsi="仿宋" w:eastAsia="仿宋" w:cs="仿宋"/>
          <w:b/>
          <w:bCs/>
          <w:color w:val="000000"/>
          <w:sz w:val="24"/>
          <w:szCs w:val="24"/>
        </w:rPr>
        <w:t>中）</w:t>
      </w:r>
    </w:p>
    <w:p>
      <w:pPr>
        <w:spacing w:after="0" w:line="500" w:lineRule="exact"/>
        <w:ind w:left="1310" w:leftChars="322" w:hanging="602" w:hangingChars="251"/>
        <w:jc w:val="left"/>
        <w:rPr>
          <w:rFonts w:hint="eastAsia" w:ascii="仿宋" w:hAnsi="仿宋" w:eastAsia="仿宋" w:cs="仿宋"/>
          <w:sz w:val="24"/>
          <w:szCs w:val="24"/>
        </w:rPr>
      </w:pPr>
      <w:r>
        <w:rPr>
          <w:rFonts w:hint="eastAsia" w:ascii="仿宋" w:hAnsi="仿宋" w:eastAsia="仿宋" w:cs="仿宋"/>
          <w:sz w:val="24"/>
          <w:szCs w:val="24"/>
        </w:rPr>
        <w:t>（1）参与人应具有独立法人资格</w:t>
      </w:r>
      <w:r>
        <w:rPr>
          <w:rFonts w:hint="eastAsia" w:ascii="仿宋" w:hAnsi="仿宋" w:eastAsia="仿宋" w:cs="仿宋"/>
          <w:color w:val="0C0C0C"/>
          <w:sz w:val="24"/>
          <w:szCs w:val="24"/>
        </w:rPr>
        <w:t>，</w:t>
      </w:r>
      <w:r>
        <w:rPr>
          <w:rFonts w:hint="eastAsia" w:ascii="仿宋" w:hAnsi="仿宋" w:eastAsia="仿宋" w:cs="仿宋"/>
          <w:sz w:val="24"/>
          <w:szCs w:val="24"/>
        </w:rPr>
        <w:t>具有独立承担民事责任能力的生产厂商或授权代理商。</w:t>
      </w:r>
    </w:p>
    <w:p>
      <w:pPr>
        <w:spacing w:after="0" w:line="500" w:lineRule="exact"/>
        <w:ind w:left="1310" w:leftChars="322" w:hanging="602" w:hangingChars="251"/>
        <w:jc w:val="left"/>
        <w:rPr>
          <w:rFonts w:hint="eastAsia" w:ascii="仿宋" w:hAnsi="仿宋" w:eastAsia="仿宋" w:cs="仿宋"/>
          <w:sz w:val="24"/>
          <w:szCs w:val="24"/>
        </w:rPr>
      </w:pPr>
      <w:r>
        <w:rPr>
          <w:rFonts w:hint="eastAsia" w:ascii="仿宋" w:hAnsi="仿宋" w:eastAsia="仿宋" w:cs="仿宋"/>
          <w:sz w:val="24"/>
          <w:szCs w:val="24"/>
        </w:rPr>
        <w:t>（2）参与人应具有提供</w:t>
      </w:r>
      <w:r>
        <w:rPr>
          <w:rFonts w:hint="eastAsia" w:ascii="仿宋" w:hAnsi="仿宋" w:eastAsia="仿宋" w:cs="仿宋"/>
          <w:sz w:val="24"/>
          <w:szCs w:val="24"/>
          <w:lang w:val="en-US" w:eastAsia="zh-CN"/>
        </w:rPr>
        <w:t>计算机信息系统安全专用产品销售许可证（负载均衡类）的</w:t>
      </w:r>
      <w:r>
        <w:rPr>
          <w:rFonts w:hint="eastAsia" w:ascii="仿宋" w:hAnsi="仿宋" w:eastAsia="仿宋" w:cs="仿宋"/>
          <w:color w:val="000000"/>
          <w:sz w:val="24"/>
          <w:szCs w:val="24"/>
        </w:rPr>
        <w:t>资格及能力</w:t>
      </w:r>
      <w:r>
        <w:rPr>
          <w:rFonts w:hint="eastAsia" w:ascii="仿宋" w:hAnsi="仿宋" w:eastAsia="仿宋" w:cs="仿宋"/>
          <w:sz w:val="24"/>
          <w:szCs w:val="24"/>
        </w:rPr>
        <w:t>。在南昌市范围有固定服务机构</w:t>
      </w:r>
      <w:r>
        <w:rPr>
          <w:rFonts w:hint="eastAsia" w:ascii="仿宋" w:hAnsi="仿宋" w:eastAsia="仿宋" w:cs="仿宋"/>
          <w:sz w:val="24"/>
          <w:szCs w:val="24"/>
          <w:lang w:eastAsia="zh-CN"/>
        </w:rPr>
        <w:t>优先</w:t>
      </w:r>
      <w:r>
        <w:rPr>
          <w:rFonts w:hint="eastAsia" w:ascii="仿宋" w:hAnsi="仿宋" w:eastAsia="仿宋" w:cs="仿宋"/>
          <w:sz w:val="24"/>
          <w:szCs w:val="24"/>
        </w:rPr>
        <w:t>。</w:t>
      </w:r>
    </w:p>
    <w:p>
      <w:pPr>
        <w:spacing w:after="0" w:line="500" w:lineRule="exact"/>
        <w:ind w:left="1070" w:leftChars="322" w:hanging="362" w:hangingChars="151"/>
        <w:jc w:val="left"/>
        <w:rPr>
          <w:rFonts w:hint="eastAsia" w:ascii="仿宋" w:hAnsi="仿宋" w:eastAsia="仿宋" w:cs="仿宋"/>
          <w:sz w:val="24"/>
          <w:szCs w:val="24"/>
        </w:rPr>
      </w:pPr>
      <w:r>
        <w:rPr>
          <w:rFonts w:hint="eastAsia" w:ascii="仿宋" w:hAnsi="仿宋" w:eastAsia="仿宋" w:cs="仿宋"/>
          <w:sz w:val="24"/>
          <w:szCs w:val="24"/>
        </w:rPr>
        <w:t>（3）参与人应遵守中国的有关法律、法规和规章的规定。</w:t>
      </w:r>
    </w:p>
    <w:p>
      <w:pPr>
        <w:spacing w:after="0" w:line="500" w:lineRule="exact"/>
        <w:ind w:left="1310" w:leftChars="322" w:hanging="602" w:hangingChars="251"/>
        <w:jc w:val="left"/>
        <w:rPr>
          <w:rFonts w:hint="eastAsia" w:ascii="仿宋" w:hAnsi="仿宋" w:eastAsia="仿宋" w:cs="仿宋"/>
          <w:color w:val="auto"/>
          <w:sz w:val="24"/>
          <w:szCs w:val="24"/>
        </w:rPr>
      </w:pPr>
      <w:r>
        <w:rPr>
          <w:rFonts w:hint="eastAsia" w:ascii="仿宋" w:hAnsi="仿宋" w:eastAsia="仿宋" w:cs="仿宋"/>
          <w:color w:val="auto"/>
          <w:sz w:val="24"/>
          <w:szCs w:val="24"/>
        </w:rPr>
        <w:t>（4）参与人</w:t>
      </w:r>
      <w:r>
        <w:rPr>
          <w:rFonts w:hint="eastAsia" w:ascii="仿宋" w:hAnsi="仿宋" w:eastAsia="仿宋" w:cs="仿宋"/>
          <w:color w:val="auto"/>
          <w:sz w:val="24"/>
          <w:szCs w:val="24"/>
          <w:lang w:eastAsia="zh-CN"/>
        </w:rPr>
        <w:t>应提供近三年</w:t>
      </w:r>
      <w:r>
        <w:rPr>
          <w:rFonts w:hint="eastAsia" w:ascii="仿宋" w:hAnsi="仿宋" w:eastAsia="仿宋" w:cs="仿宋"/>
          <w:color w:val="auto"/>
          <w:sz w:val="24"/>
          <w:szCs w:val="24"/>
        </w:rPr>
        <w:t>相关</w:t>
      </w:r>
      <w:r>
        <w:rPr>
          <w:rFonts w:hint="eastAsia" w:ascii="仿宋" w:hAnsi="仿宋" w:eastAsia="仿宋" w:cs="仿宋"/>
          <w:color w:val="auto"/>
          <w:sz w:val="24"/>
          <w:szCs w:val="24"/>
          <w:lang w:eastAsia="zh-CN"/>
        </w:rPr>
        <w:t>负载均衡设备</w:t>
      </w:r>
      <w:r>
        <w:rPr>
          <w:rFonts w:hint="eastAsia" w:ascii="仿宋" w:hAnsi="仿宋" w:eastAsia="仿宋" w:cs="仿宋"/>
          <w:color w:val="auto"/>
          <w:sz w:val="24"/>
          <w:szCs w:val="24"/>
        </w:rPr>
        <w:t>和良好的售后服务应用成功案例</w:t>
      </w:r>
      <w:r>
        <w:rPr>
          <w:rFonts w:hint="eastAsia" w:ascii="仿宋" w:hAnsi="仿宋" w:eastAsia="仿宋" w:cs="仿宋"/>
          <w:color w:val="auto"/>
          <w:sz w:val="24"/>
          <w:szCs w:val="24"/>
          <w:lang w:eastAsia="zh-CN"/>
        </w:rPr>
        <w:t>类似业绩</w:t>
      </w:r>
      <w:r>
        <w:rPr>
          <w:rFonts w:hint="eastAsia" w:ascii="仿宋" w:hAnsi="仿宋" w:eastAsia="仿宋" w:cs="仿宋"/>
          <w:color w:val="auto"/>
          <w:sz w:val="24"/>
          <w:szCs w:val="24"/>
        </w:rPr>
        <w:t>,近三年未发生重大安全或质量事故。</w:t>
      </w:r>
    </w:p>
    <w:p>
      <w:pPr>
        <w:spacing w:after="0" w:line="500" w:lineRule="exact"/>
        <w:ind w:left="1070" w:leftChars="322" w:hanging="362" w:hangingChars="151"/>
        <w:jc w:val="left"/>
        <w:rPr>
          <w:rFonts w:hint="eastAsia" w:ascii="仿宋" w:hAnsi="仿宋" w:eastAsia="仿宋" w:cs="仿宋"/>
          <w:sz w:val="24"/>
          <w:szCs w:val="24"/>
        </w:rPr>
      </w:pPr>
      <w:r>
        <w:rPr>
          <w:rFonts w:hint="eastAsia" w:ascii="仿宋" w:hAnsi="仿宋" w:eastAsia="仿宋" w:cs="仿宋"/>
          <w:sz w:val="24"/>
          <w:szCs w:val="24"/>
        </w:rPr>
        <w:t>（5）参与人须有良好的商业信誉和健全的财务制度。</w:t>
      </w:r>
    </w:p>
    <w:p>
      <w:pPr>
        <w:spacing w:after="0" w:line="500" w:lineRule="exact"/>
        <w:ind w:left="1070" w:leftChars="322" w:hanging="362" w:hangingChars="151"/>
        <w:jc w:val="left"/>
        <w:rPr>
          <w:rFonts w:hint="eastAsia" w:ascii="仿宋" w:hAnsi="仿宋" w:eastAsia="仿宋" w:cs="仿宋"/>
          <w:sz w:val="24"/>
          <w:szCs w:val="24"/>
        </w:rPr>
      </w:pPr>
      <w:r>
        <w:rPr>
          <w:rFonts w:hint="eastAsia" w:ascii="仿宋" w:hAnsi="仿宋" w:eastAsia="仿宋" w:cs="仿宋"/>
          <w:sz w:val="24"/>
          <w:szCs w:val="24"/>
        </w:rPr>
        <w:t>（6）参与人有依法缴纳税金的良好记录。</w:t>
      </w:r>
    </w:p>
    <w:p>
      <w:pPr>
        <w:widowControl w:val="0"/>
        <w:numPr>
          <w:ilvl w:val="1"/>
          <w:numId w:val="1"/>
        </w:numPr>
        <w:spacing w:after="0" w:line="500" w:lineRule="exact"/>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rPr>
        <w:t>报价响应文件递交方式：密封报价，按规定时间送达或邮寄。</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报价响应文件递交截止时间：202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下午</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:00前。</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报价响应文件</w:t>
      </w:r>
      <w:r>
        <w:rPr>
          <w:rFonts w:hint="eastAsia" w:ascii="仿宋" w:hAnsi="仿宋" w:eastAsia="仿宋" w:cs="仿宋"/>
          <w:color w:val="000000"/>
          <w:sz w:val="24"/>
          <w:szCs w:val="24"/>
          <w:lang w:eastAsia="zh-CN"/>
        </w:rPr>
        <w:t>及样品</w:t>
      </w:r>
      <w:r>
        <w:rPr>
          <w:rFonts w:hint="eastAsia" w:ascii="仿宋" w:hAnsi="仿宋" w:eastAsia="仿宋" w:cs="仿宋"/>
          <w:color w:val="000000"/>
          <w:sz w:val="24"/>
          <w:szCs w:val="24"/>
        </w:rPr>
        <w:t>递交地点：江西科技学院后勤中心</w:t>
      </w:r>
      <w:r>
        <w:rPr>
          <w:rFonts w:hint="eastAsia" w:ascii="仿宋" w:hAnsi="仿宋" w:eastAsia="仿宋" w:cs="仿宋"/>
          <w:color w:val="000000"/>
          <w:sz w:val="24"/>
          <w:szCs w:val="24"/>
          <w:lang w:val="en-US" w:eastAsia="zh-CN"/>
        </w:rPr>
        <w:t>204</w:t>
      </w:r>
      <w:r>
        <w:rPr>
          <w:rFonts w:hint="eastAsia" w:ascii="仿宋" w:hAnsi="仿宋" w:eastAsia="仿宋" w:cs="仿宋"/>
          <w:color w:val="000000"/>
          <w:sz w:val="24"/>
          <w:szCs w:val="24"/>
          <w:lang w:eastAsia="zh-CN"/>
        </w:rPr>
        <w:t>室</w:t>
      </w:r>
    </w:p>
    <w:p>
      <w:pPr>
        <w:widowControl w:val="0"/>
        <w:numPr>
          <w:ilvl w:val="1"/>
          <w:numId w:val="1"/>
        </w:numPr>
        <w:spacing w:after="0"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联系人：吴礼平；联系电话：18070125196</w:t>
      </w:r>
    </w:p>
    <w:p>
      <w:pPr>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9.参加本项目的参与人如对</w:t>
      </w:r>
      <w:r>
        <w:rPr>
          <w:rFonts w:hint="eastAsia" w:ascii="仿宋" w:hAnsi="仿宋" w:eastAsia="仿宋" w:cs="仿宋"/>
          <w:b/>
          <w:bCs/>
          <w:color w:val="000000"/>
          <w:sz w:val="24"/>
          <w:szCs w:val="24"/>
        </w:rPr>
        <w:t>公开询价邀请函列示内容参数存有疑问的</w:t>
      </w:r>
      <w:r>
        <w:rPr>
          <w:rFonts w:hint="eastAsia" w:ascii="仿宋" w:hAnsi="仿宋" w:eastAsia="仿宋" w:cs="仿宋"/>
          <w:color w:val="000000"/>
          <w:sz w:val="24"/>
          <w:szCs w:val="24"/>
        </w:rPr>
        <w:t>，请在报价响应文件递交截止之日前，将问题以书面形式（有效签署的原件并加盖公章）提交至学校业务对接人，联系人：</w:t>
      </w:r>
      <w:r>
        <w:rPr>
          <w:rFonts w:hint="eastAsia" w:ascii="仿宋" w:hAnsi="仿宋" w:eastAsia="仿宋" w:cs="仿宋"/>
          <w:color w:val="000000"/>
          <w:sz w:val="24"/>
          <w:szCs w:val="24"/>
          <w:lang w:eastAsia="zh-CN"/>
        </w:rPr>
        <w:t>刘浩</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13576976116</w:t>
      </w:r>
      <w:r>
        <w:rPr>
          <w:rFonts w:hint="eastAsia" w:ascii="仿宋" w:hAnsi="仿宋" w:eastAsia="仿宋" w:cs="仿宋"/>
          <w:sz w:val="24"/>
          <w:szCs w:val="24"/>
          <w:lang w:eastAsia="zh-CN"/>
        </w:rPr>
        <w:t>，</w:t>
      </w:r>
      <w:r>
        <w:rPr>
          <w:rFonts w:hint="eastAsia" w:ascii="仿宋" w:hAnsi="仿宋" w:eastAsia="仿宋" w:cs="仿宋"/>
          <w:color w:val="000000"/>
          <w:sz w:val="24"/>
          <w:szCs w:val="24"/>
        </w:rPr>
        <w:t>采购人不对超时提交及未加盖公章的质疑文件进行回复。</w:t>
      </w:r>
    </w:p>
    <w:p>
      <w:pPr>
        <w:widowControl w:val="0"/>
        <w:spacing w:after="0" w:line="460" w:lineRule="exact"/>
        <w:ind w:left="420"/>
        <w:jc w:val="left"/>
        <w:rPr>
          <w:rFonts w:hint="eastAsia" w:ascii="仿宋" w:hAnsi="仿宋" w:eastAsia="仿宋" w:cs="仿宋"/>
          <w:color w:val="000000"/>
          <w:sz w:val="24"/>
          <w:szCs w:val="24"/>
        </w:rPr>
      </w:pPr>
      <w:bookmarkStart w:id="50" w:name="_Hlk97917519"/>
      <w:r>
        <w:rPr>
          <w:rFonts w:hint="eastAsia" w:ascii="仿宋" w:hAnsi="仿宋" w:eastAsia="仿宋" w:cs="仿宋"/>
          <w:color w:val="000000"/>
          <w:sz w:val="24"/>
          <w:szCs w:val="24"/>
        </w:rPr>
        <w:t>10.本项目最终成交结果会在中教集团后勤贤知平台“中标信息公示”板块公示，网址：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"http://www.ceghqxz.com" </w:instrText>
      </w:r>
      <w:r>
        <w:rPr>
          <w:rFonts w:hint="eastAsia" w:ascii="仿宋" w:hAnsi="仿宋" w:eastAsia="仿宋" w:cs="仿宋"/>
          <w:sz w:val="24"/>
          <w:szCs w:val="24"/>
        </w:rPr>
        <w:fldChar w:fldCharType="separate"/>
      </w:r>
      <w:r>
        <w:rPr>
          <w:rStyle w:val="32"/>
          <w:rFonts w:hint="eastAsia" w:ascii="仿宋" w:hAnsi="仿宋" w:eastAsia="仿宋" w:cs="仿宋"/>
          <w:color w:val="000000"/>
          <w:sz w:val="24"/>
          <w:szCs w:val="24"/>
        </w:rPr>
        <w:t>www.ceghqxz.com</w:t>
      </w:r>
      <w:r>
        <w:rPr>
          <w:rStyle w:val="32"/>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。参加本项目的参与人如对</w:t>
      </w:r>
      <w:r>
        <w:rPr>
          <w:rFonts w:hint="eastAsia" w:ascii="仿宋" w:hAnsi="仿宋" w:eastAsia="仿宋" w:cs="仿宋"/>
          <w:b/>
          <w:bCs/>
          <w:color w:val="000000"/>
          <w:sz w:val="24"/>
          <w:szCs w:val="24"/>
        </w:rPr>
        <w:t>采购过程和成交结果有异议的，</w:t>
      </w:r>
      <w:bookmarkEnd w:id="50"/>
      <w:r>
        <w:rPr>
          <w:rFonts w:hint="eastAsia" w:ascii="仿宋" w:hAnsi="仿宋" w:eastAsia="仿宋" w:cs="仿宋"/>
          <w:color w:val="000000"/>
          <w:sz w:val="24"/>
          <w:szCs w:val="24"/>
        </w:rPr>
        <w:t>请以书面形式（有效签署的原件并加盖公章），并附有相关的证据材料，提交至集团</w:t>
      </w:r>
      <w:r>
        <w:rPr>
          <w:rFonts w:hint="eastAsia" w:ascii="仿宋" w:hAnsi="仿宋" w:eastAsia="仿宋" w:cs="仿宋"/>
          <w:color w:val="000000"/>
          <w:sz w:val="24"/>
          <w:szCs w:val="24"/>
          <w:lang w:eastAsia="zh-CN"/>
        </w:rPr>
        <w:t>监察审计部</w:t>
      </w:r>
      <w:r>
        <w:rPr>
          <w:rFonts w:hint="eastAsia" w:ascii="仿宋" w:hAnsi="仿宋" w:eastAsia="仿宋" w:cs="仿宋"/>
          <w:color w:val="000000"/>
          <w:sz w:val="24"/>
          <w:szCs w:val="24"/>
        </w:rPr>
        <w:t>。</w:t>
      </w:r>
    </w:p>
    <w:p>
      <w:pPr>
        <w:widowControl w:val="0"/>
        <w:tabs>
          <w:tab w:val="left" w:pos="839"/>
        </w:tabs>
        <w:spacing w:after="0" w:line="460" w:lineRule="exact"/>
        <w:ind w:left="839"/>
        <w:jc w:val="left"/>
        <w:rPr>
          <w:rFonts w:hint="eastAsia" w:ascii="仿宋" w:hAnsi="仿宋" w:eastAsia="仿宋" w:cs="仿宋"/>
          <w:color w:val="000000"/>
          <w:sz w:val="24"/>
          <w:szCs w:val="24"/>
        </w:rPr>
      </w:pPr>
      <w:r>
        <w:rPr>
          <w:rFonts w:hint="eastAsia" w:ascii="仿宋" w:hAnsi="仿宋" w:eastAsia="仿宋" w:cs="仿宋"/>
          <w:color w:val="000000"/>
          <w:sz w:val="24"/>
          <w:szCs w:val="24"/>
        </w:rPr>
        <w:t>投诉受理部门：中教集团</w:t>
      </w:r>
      <w:r>
        <w:rPr>
          <w:rFonts w:hint="eastAsia" w:ascii="仿宋" w:hAnsi="仿宋" w:eastAsia="仿宋" w:cs="仿宋"/>
          <w:color w:val="000000"/>
          <w:sz w:val="24"/>
          <w:szCs w:val="24"/>
          <w:lang w:eastAsia="zh-CN"/>
        </w:rPr>
        <w:t>监察审计部</w:t>
      </w:r>
      <w:r>
        <w:rPr>
          <w:rFonts w:hint="eastAsia" w:ascii="仿宋" w:hAnsi="仿宋" w:eastAsia="仿宋" w:cs="仿宋"/>
          <w:color w:val="000000"/>
          <w:sz w:val="24"/>
          <w:szCs w:val="24"/>
        </w:rPr>
        <w:t>，投诉电话： 0791-88106510 /0791-88102608</w:t>
      </w:r>
    </w:p>
    <w:p>
      <w:pPr>
        <w:spacing w:after="0" w:line="500" w:lineRule="exact"/>
        <w:ind w:firstLine="364" w:firstLineChars="152"/>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二、参与人须知</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1.所有货物均以人民币报价；</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2.报价响应文件2份，报价响应文件必须用A4幅面纸张打印，须由参与人填写并加盖公章（正本1份副本1份）；</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3.报价响应文件用不退色墨水书写或打印，因字迹潦草或表达不清所引起的后果由参与人自负；</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 </w:t>
      </w:r>
      <w:r>
        <w:rPr>
          <w:rFonts w:hint="eastAsia" w:ascii="仿宋" w:hAnsi="仿宋" w:eastAsia="仿宋" w:cs="仿宋"/>
          <w:b/>
          <w:bCs/>
          <w:color w:val="000000"/>
          <w:sz w:val="24"/>
          <w:szCs w:val="24"/>
        </w:rPr>
        <w:t>报价响应文件及所有相关资料需同时进行密封处理，并在密封处加盖公章，未做密封处理及未加盖公章的视为无效报价；</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(1) 法定代表人为同一人的两个及两个以上法人；</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(2) 母公司、直接或间接持股50％及以上的被投资公司;</w:t>
      </w:r>
    </w:p>
    <w:p>
      <w:pPr>
        <w:widowControl w:val="0"/>
        <w:spacing w:after="0" w:line="500" w:lineRule="exact"/>
        <w:ind w:left="426"/>
        <w:jc w:val="left"/>
        <w:rPr>
          <w:rFonts w:hint="eastAsia" w:ascii="仿宋" w:hAnsi="仿宋" w:eastAsia="仿宋" w:cs="仿宋"/>
          <w:color w:val="000000"/>
          <w:sz w:val="24"/>
          <w:szCs w:val="24"/>
        </w:rPr>
      </w:pPr>
      <w:r>
        <w:rPr>
          <w:rFonts w:hint="eastAsia" w:ascii="仿宋" w:hAnsi="仿宋" w:eastAsia="仿宋" w:cs="仿宋"/>
          <w:color w:val="000000"/>
          <w:sz w:val="24"/>
          <w:szCs w:val="24"/>
        </w:rPr>
        <w:t>(3) 均为同一家母公司直接或间接持股50％及以上的被投资公司。</w:t>
      </w:r>
    </w:p>
    <w:p>
      <w:pPr>
        <w:pStyle w:val="24"/>
        <w:spacing w:before="0" w:beforeAutospacing="0" w:after="0" w:afterAutospacing="0" w:line="400"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三、售后服务要求：</w:t>
      </w:r>
    </w:p>
    <w:p>
      <w:pPr>
        <w:ind w:firstLine="480" w:firstLineChars="200"/>
        <w:jc w:val="left"/>
        <w:rPr>
          <w:rFonts w:hint="eastAsia" w:ascii="仿宋" w:hAnsi="仿宋" w:eastAsia="仿宋" w:cs="仿宋"/>
          <w:b w:val="0"/>
          <w:bCs/>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b w:val="0"/>
          <w:bCs/>
          <w:sz w:val="24"/>
          <w:szCs w:val="24"/>
          <w:lang w:val="en-US" w:eastAsia="zh-CN"/>
        </w:rPr>
        <w:t>质保期3年及以上；</w:t>
      </w:r>
    </w:p>
    <w:p>
      <w:pPr>
        <w:widowControl w:val="0"/>
        <w:spacing w:after="0" w:line="500" w:lineRule="exact"/>
        <w:ind w:left="426"/>
        <w:jc w:val="left"/>
        <w:rPr>
          <w:rFonts w:hint="eastAsia" w:ascii="仿宋" w:hAnsi="仿宋" w:eastAsia="仿宋" w:cs="仿宋"/>
          <w:color w:val="000000"/>
          <w:sz w:val="24"/>
          <w:szCs w:val="24"/>
        </w:rPr>
      </w:pP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2.应急维修时间安排；</w:t>
      </w: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3.培训计划及人员安排；</w:t>
      </w: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4.维修地点、地址、联系电话及联系人员；</w:t>
      </w: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5.维修服务收费标准；</w:t>
      </w: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6.主要零配件及易耗品价格；</w:t>
      </w:r>
    </w:p>
    <w:p>
      <w:pPr>
        <w:widowControl w:val="0"/>
        <w:spacing w:after="0"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7.制造商的技术支持；</w:t>
      </w:r>
    </w:p>
    <w:p>
      <w:pPr>
        <w:spacing w:after="0" w:line="500" w:lineRule="exact"/>
        <w:ind w:firstLine="364" w:firstLineChars="152"/>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四、确定成交参与人标准及原则：</w:t>
      </w:r>
    </w:p>
    <w:p>
      <w:pPr>
        <w:pStyle w:val="63"/>
        <w:numPr>
          <w:ilvl w:val="0"/>
          <w:numId w:val="2"/>
        </w:numPr>
        <w:spacing w:after="0" w:line="500" w:lineRule="exact"/>
        <w:ind w:left="851" w:hanging="425"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本项目为自有资金而非财政性资金采购，采购人按企业内部规定的标准进行评定 。</w:t>
      </w:r>
    </w:p>
    <w:p>
      <w:pPr>
        <w:pStyle w:val="63"/>
        <w:numPr>
          <w:ilvl w:val="0"/>
          <w:numId w:val="2"/>
        </w:numPr>
        <w:spacing w:after="0" w:line="500" w:lineRule="exact"/>
        <w:ind w:left="851" w:hanging="425"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参与人所投物品符合需求、质量和服务等的要求,经过磋商所报价格为合理价格的参与人为成交参与人。</w:t>
      </w:r>
    </w:p>
    <w:p>
      <w:pPr>
        <w:pStyle w:val="63"/>
        <w:numPr>
          <w:ilvl w:val="0"/>
          <w:numId w:val="2"/>
        </w:numPr>
        <w:spacing w:after="0" w:line="500" w:lineRule="exact"/>
        <w:ind w:left="851"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最低报价不作为成交的保证。</w:t>
      </w:r>
    </w:p>
    <w:bookmarkEnd w:id="49"/>
    <w:p>
      <w:pPr>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pStyle w:val="2"/>
        <w:rPr>
          <w:rFonts w:ascii="仿宋" w:hAnsi="仿宋" w:eastAsia="仿宋" w:cs="仿宋"/>
          <w:b/>
          <w:color w:val="auto"/>
          <w:sz w:val="44"/>
          <w:szCs w:val="44"/>
        </w:rPr>
      </w:pPr>
    </w:p>
    <w:p>
      <w:pPr>
        <w:pStyle w:val="3"/>
      </w:pPr>
      <w:bookmarkStart w:id="208" w:name="_GoBack"/>
      <w:bookmarkEnd w:id="208"/>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pStyle w:val="2"/>
      </w:pPr>
    </w:p>
    <w:tbl>
      <w:tblPr>
        <w:tblStyle w:val="26"/>
        <w:tblpPr w:leftFromText="180" w:rightFromText="180" w:vertAnchor="text" w:horzAnchor="page" w:tblpXSpec="center" w:tblpY="1160"/>
        <w:tblOverlap w:val="never"/>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1705"/>
        <w:gridCol w:w="2004"/>
        <w:gridCol w:w="1222"/>
        <w:gridCol w:w="899"/>
        <w:gridCol w:w="1017"/>
        <w:gridCol w:w="999"/>
        <w:gridCol w:w="86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序号</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规格参数</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6"/>
                <w:rFonts w:hint="eastAsia" w:ascii="仿宋" w:hAnsi="仿宋" w:eastAsia="仿宋" w:cs="仿宋"/>
                <w:lang w:val="en-US" w:eastAsia="zh-CN" w:bidi="ar"/>
              </w:rPr>
            </w:pPr>
            <w:r>
              <w:rPr>
                <w:rStyle w:val="76"/>
                <w:rFonts w:hint="eastAsia" w:ascii="仿宋" w:hAnsi="仿宋" w:eastAsia="仿宋" w:cs="仿宋"/>
                <w:lang w:val="en-US" w:eastAsia="zh-CN" w:bidi="ar"/>
              </w:rPr>
              <w:t>品牌</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单位</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数量</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单价（元）</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总价（元）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负载均衡设备</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详见技术参数说明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50"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p>
        </w:tc>
        <w:tc>
          <w:tcPr>
            <w:tcW w:w="7846"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8"/>
                <w:szCs w:val="28"/>
                <w:u w:val="none"/>
                <w:lang w:eastAsia="zh-CN"/>
              </w:rPr>
              <w:t>合计（大写）：</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50"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bl>
    <w:p>
      <w:pPr>
        <w:pStyle w:val="62"/>
        <w:numPr>
          <w:ilvl w:val="0"/>
          <w:numId w:val="3"/>
        </w:numPr>
        <w:spacing w:after="160" w:line="360" w:lineRule="auto"/>
        <w:jc w:val="center"/>
        <w:textAlignment w:val="baseline"/>
        <w:rPr>
          <w:rFonts w:hint="eastAsia" w:ascii="华文仿宋" w:hAnsi="华文仿宋" w:eastAsia="华文仿宋"/>
          <w:b/>
          <w:bCs/>
          <w:color w:val="auto"/>
          <w:sz w:val="36"/>
          <w:szCs w:val="36"/>
          <w:lang w:val="en-US" w:eastAsia="zh-CN"/>
        </w:rPr>
      </w:pPr>
      <w:r>
        <w:rPr>
          <w:rFonts w:hint="eastAsia" w:ascii="仿宋" w:hAnsi="仿宋" w:eastAsia="仿宋"/>
          <w:b/>
          <w:color w:val="auto"/>
          <w:sz w:val="44"/>
          <w:szCs w:val="44"/>
        </w:rPr>
        <w:t>公开询价货物一览表</w:t>
      </w:r>
    </w:p>
    <w:p>
      <w:pPr>
        <w:pStyle w:val="62"/>
        <w:spacing w:after="160" w:line="360" w:lineRule="auto"/>
        <w:jc w:val="both"/>
        <w:textAlignment w:val="baseline"/>
        <w:rPr>
          <w:rFonts w:ascii="仿宋" w:hAnsi="仿宋" w:eastAsia="仿宋"/>
          <w:b/>
          <w:sz w:val="30"/>
          <w:szCs w:val="30"/>
        </w:rPr>
      </w:pPr>
      <w:r>
        <w:rPr>
          <w:rFonts w:hint="eastAsia" w:ascii="仿宋" w:hAnsi="仿宋" w:eastAsia="仿宋"/>
          <w:sz w:val="28"/>
          <w:szCs w:val="28"/>
        </w:rPr>
        <w:t>注：</w:t>
      </w:r>
    </w:p>
    <w:p>
      <w:pPr>
        <w:numPr>
          <w:ilvl w:val="0"/>
          <w:numId w:val="4"/>
        </w:numPr>
        <w:spacing w:after="0" w:line="440" w:lineRule="exact"/>
        <w:textAlignment w:val="baseline"/>
        <w:rPr>
          <w:rFonts w:ascii="仿宋" w:hAnsi="仿宋" w:eastAsia="仿宋"/>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sz w:val="28"/>
          <w:szCs w:val="28"/>
        </w:rPr>
        <w:t>。</w:t>
      </w:r>
    </w:p>
    <w:p>
      <w:pPr>
        <w:numPr>
          <w:ilvl w:val="0"/>
          <w:numId w:val="4"/>
        </w:numPr>
        <w:spacing w:after="0" w:line="440" w:lineRule="exact"/>
        <w:textAlignment w:val="baseline"/>
        <w:rPr>
          <w:rFonts w:ascii="仿宋" w:hAnsi="仿宋" w:eastAsia="仿宋"/>
          <w:b/>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参与人所投商品报价应包含税费、运输费、搬运费、整体实施、安装（调试费、售后服务等一切费用，</w:t>
      </w:r>
      <w:r>
        <w:rPr>
          <w:rFonts w:hint="eastAsia" w:ascii="仿宋" w:hAnsi="仿宋" w:eastAsia="仿宋" w:cs="仿宋"/>
          <w:b/>
          <w:sz w:val="28"/>
          <w:szCs w:val="28"/>
        </w:rPr>
        <w:t>供应商务必自</w:t>
      </w:r>
      <w:r>
        <w:rPr>
          <w:rFonts w:hint="eastAsia" w:ascii="仿宋" w:hAnsi="仿宋" w:eastAsia="仿宋" w:cs="仿宋"/>
          <w:b/>
          <w:sz w:val="28"/>
          <w:szCs w:val="28"/>
          <w:lang w:eastAsia="zh-CN"/>
        </w:rPr>
        <w:t>行和学校业务对接人详细了解项目需求</w:t>
      </w:r>
      <w:r>
        <w:rPr>
          <w:rFonts w:hint="eastAsia" w:ascii="仿宋" w:hAnsi="仿宋" w:eastAsia="仿宋" w:cs="仿宋"/>
          <w:b/>
          <w:sz w:val="28"/>
          <w:szCs w:val="28"/>
        </w:rPr>
        <w:t>，</w:t>
      </w:r>
      <w:r>
        <w:rPr>
          <w:rFonts w:hint="eastAsia" w:ascii="仿宋" w:hAnsi="仿宋" w:eastAsia="仿宋"/>
          <w:b/>
          <w:color w:val="000000"/>
          <w:sz w:val="28"/>
          <w:szCs w:val="28"/>
        </w:rPr>
        <w:t>确保为交钥匙工程。</w:t>
      </w: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pStyle w:val="2"/>
        <w:numPr>
          <w:ilvl w:val="0"/>
          <w:numId w:val="3"/>
        </w:numPr>
        <w:ind w:left="0" w:leftChars="0" w:firstLine="0" w:firstLineChars="0"/>
        <w:jc w:val="center"/>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技术参数说明</w:t>
      </w:r>
    </w:p>
    <w:tbl>
      <w:tblPr>
        <w:tblStyle w:val="26"/>
        <w:tblW w:w="10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1540"/>
        <w:gridCol w:w="8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指标项</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﹡硬件架构</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是专业负载设备，非插卡式负载均衡设备。必须使用专用系统，设备型号官网可查并提供官网截图加盖原厂公章。(提供设备实物图,提供界面证)</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为了业务的连续性和资产保护，支持现有负载均衡做主备实现自动切换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接口配置</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≥10个千兆电口、≥8个千兆光口、≥4个10G光口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2"/>
                <w:szCs w:val="22"/>
                <w:u w:val="none"/>
              </w:rPr>
            </w:pPr>
            <w:r>
              <w:rPr>
                <w:rFonts w:hint="eastAsia" w:ascii="仿宋" w:hAnsi="仿宋" w:eastAsia="仿宋" w:cs="仿宋"/>
                <w:b/>
                <w:bCs/>
                <w:i w:val="0"/>
                <w:iCs w:val="0"/>
                <w:color w:val="000000"/>
                <w:kern w:val="0"/>
                <w:sz w:val="22"/>
                <w:szCs w:val="22"/>
                <w:u w:val="none"/>
                <w:lang w:val="en-US" w:eastAsia="zh-CN" w:bidi="ar"/>
              </w:rPr>
              <w:t>﹡性能要求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四层吞吐率≥40G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四层每秒新建连接数≥1,300,000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四层并发连接数≥40,000,000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七层每秒新建连接数≥3,300,000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七层并发连接数≥5,000,000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SSL吞吐率(RSA2048)：15.00Gbps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SSL最大并发连接数(RSA2048)：1,000,000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服务器负载均衡功能要求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支持针对单个虚拟服务独立配置各类TCP状态机独立超时时间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无需编写脚本即可支持HTTP、HTTPS、DNS、FTP、FTPS、TCP、TCPS、UDP、IP、SIPTCP、SIPUDP、RADAUTH、RADACCT、RDP、RTSP、L2IP、DIAMETER、TUXEDO等协议的负载分发。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可以对请求或相应内容的任意字段（header或content）实现每个客户端独立的保持算法。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支持虚拟链接功能，无需逻辑编程，通过配置即可实现不同负载均衡方法的多级嵌套。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服务器健康检查功能要求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必须支持丰富的健康检查方法，包括但不限于：ICMP、TCP、UDP、HTTP、HTTPS、FTP、SNMP、DNS、Radius、SIP、RTSP、LDAP等多种服务器健康检查方式，且设备能够支持通过SCRIPT-TCP、SCRIPT-UDP应用脚本方式，对服务器的FTP, SMTP, LDAP, RADIUS, POP3, DNS, TELNET等多种应用进行检查。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IP透传功能要求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支持在TCP Option中插入和提取客户端IP，支持IPv4、IPv6地址，支持在不编写脚本的情况下自定义偏移量。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HTTP/2支持要求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同一虚拟服务可同时支持HTTP/1、HTTP/2应用负载均衡功能。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支持HTTP/2到HTTP1间的混合负载与协议转换。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2"/>
                <w:szCs w:val="22"/>
                <w:u w:val="none"/>
              </w:rPr>
            </w:pPr>
            <w:r>
              <w:rPr>
                <w:rFonts w:hint="eastAsia" w:ascii="仿宋" w:hAnsi="仿宋" w:eastAsia="仿宋" w:cs="仿宋"/>
                <w:b/>
                <w:bCs/>
                <w:i w:val="0"/>
                <w:iCs w:val="0"/>
                <w:color w:val="000000"/>
                <w:kern w:val="0"/>
                <w:sz w:val="22"/>
                <w:szCs w:val="22"/>
                <w:u w:val="none"/>
                <w:lang w:val="en-US" w:eastAsia="zh-CN" w:bidi="ar"/>
              </w:rPr>
              <w:t>﹡HTTP安全功能要求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支持针对每个虚拟服务配置HTTP URL Filter，可根据请求长度、方法、指定变量、控制字符、关键字等条件提供HTTP防护功能，无需编写脚本即可实现。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支持HTTP高级ACL功能，可为指定URL、关键字、请求方法、客户端、客户端子网等设置访问阈值。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安全访问功能要求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支持基于OAuth、SAML、LDAP、Radius等方式的安全认证代理功能，可在应用无改造的情况下实现虚拟服务对应客户端的身份认证与单点登录功能。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链路负载均衡功能要求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支持出向链路负载均衡(Outbound)算法，至少包括轮询算法、加权轮询算法、最短响应时间算法、动态探测算法（Dynamic Detect）、最小带宽、最小连接数、HASHIP、HASH IP PORT；同时必须支持网络就近性(Eroutes)算法，且能够实现动静结合功能。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支持基于TCP、UDP、ICMP方式的动态链路状态探测，可基于线路响应时延动态选路。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支持基于域名的智能路由，可基于DNS代理实现域名记录查询。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支持最多32条出向链路间的负载均衡,支持基于域名的智能路由，可侦听客户端域名查询结果进行动态选路。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链路繁忙控制功能要求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支持基于链路负荷情况的优化控制机制，能根据链路的上行/下行带宽占用率情况执行对出站/入站流量的高级调度策略。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支持HTTPDNS功能，可实现HTTPDNS与传统DNS协议间的协议转换与混合负载均衡</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支持DNS DDoS防护功能，可自动过滤攻击流量并基于记录类型进行统计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2"/>
                <w:szCs w:val="22"/>
                <w:u w:val="none"/>
              </w:rPr>
            </w:pPr>
            <w:r>
              <w:rPr>
                <w:rFonts w:hint="eastAsia" w:ascii="仿宋" w:hAnsi="仿宋" w:eastAsia="仿宋" w:cs="仿宋"/>
                <w:b/>
                <w:bCs/>
                <w:i w:val="0"/>
                <w:iCs w:val="0"/>
                <w:color w:val="000000"/>
                <w:kern w:val="0"/>
                <w:sz w:val="22"/>
                <w:szCs w:val="22"/>
                <w:u w:val="none"/>
                <w:lang w:val="en-US" w:eastAsia="zh-CN" w:bidi="ar"/>
              </w:rPr>
              <w:t>可编程功能要求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可同时支持对设备流量编排功能和流量分析转发包括（防火墙，应用安全防火墙，IPS，IDS，上网行为管理）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支持自定义流量脚本，设备WebUI支持脚本在线编辑、语法着色、语法检查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支持对安全设备根据轮询，源IP地址静态拓扑，基于网络丢包，基于local DNS跳数探测，基于SNMP的自定义等算法进行智能DNS解析。</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支持DNS DDoS防护功能，可自动过滤攻击流量并基于记录类型进行统计</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支持设备虚拟化，支持独立账号资源区分，不同管理独立分区，配置独立管理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WebAgent功能要求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支持互联网访问WebAgent功能，单台设备可配置大于500个代理服务实例。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支持WebAgent访问控制功能，能够基于正则表达式自定义客户端的访问控制规则，支持自定义HTTP/HTTPS站点。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SSL侦听功能要求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支持动态识别和自定义SSL协议，实现出入向SSL流量解密与可视化,支持任意端口单、双向流量镜像功能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支持目标站点黑白名单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支持域名和URL过滤，可根据目标站点大类配置是否侦听，支持在线站点分类查询功能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FF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支持解密流量复制及安全设备负载均衡功能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广域网负载均衡功能要求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设备支持广域网负载GSLB功能，且具备全局负载均衡算法，包括但不限于以下算法：轮询算法(GRR)、加权轮询算法(VWGRR)、连接溢出(GCO)、最小连接数(GLC)、IP优先(IPO)、全局就近性算法 (PROXIMITY)、区域算法(REGION)、SNMP、DPS等算法；可实现应用级别的健康检查功能，支持数据中心互备。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设备可实现Full DNS 功能，支持标准DNS设备工作模式，包括：可作为智能DNS服务器，可作为DNS服务器代理，可作为最终DNS解析设备，可作为DNS转发器（DNS Forwarder）。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支持标准的DNS记录类型，至少包括：A记录，MX记录，NS记录，PRT记录，SVR记录，CNAME记录，SOA记录，AAAA记录。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高可用性功能要求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可自定义HA切换检测条件，包括服务可用性、网关可用性、CPU/SSL卡/内存/硬盘等健康状态与使用率等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管理功能要求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支持基于国密数字证书方式的管理员双因素认证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配置同步功能要求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支持全量配置、增量配置同步、实时配置同步、启动配置同步、配置回退等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资质要求</w:t>
            </w:r>
          </w:p>
        </w:tc>
        <w:tc>
          <w:tcPr>
            <w:tcW w:w="8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计算机信息系统安全专用产品销售许可证（负载均衡类）</w:t>
            </w:r>
          </w:p>
        </w:tc>
      </w:tr>
    </w:tbl>
    <w:p>
      <w:pPr>
        <w:numPr>
          <w:ilvl w:val="0"/>
          <w:numId w:val="0"/>
        </w:numPr>
        <w:spacing w:after="0" w:line="440" w:lineRule="exact"/>
        <w:ind w:leftChars="0" w:firstLine="280" w:firstLineChars="100"/>
      </w:pPr>
      <w:r>
        <w:rPr>
          <w:rFonts w:ascii="仿宋" w:hAnsi="仿宋" w:eastAsia="仿宋"/>
          <w:sz w:val="28"/>
          <w:szCs w:val="28"/>
        </w:rPr>
        <w:br w:type="page"/>
      </w:r>
    </w:p>
    <w:p>
      <w:pPr>
        <w:numPr>
          <w:ilvl w:val="0"/>
          <w:numId w:val="4"/>
        </w:numPr>
        <w:spacing w:after="0" w:line="440" w:lineRule="exact"/>
        <w:rPr>
          <w:rFonts w:ascii="仿宋" w:hAnsi="仿宋" w:eastAsia="仿宋"/>
          <w:b/>
          <w:color w:val="000000"/>
          <w:sz w:val="28"/>
          <w:szCs w:val="28"/>
        </w:rPr>
        <w:sectPr>
          <w:headerReference r:id="rId6" w:type="first"/>
          <w:headerReference r:id="rId5" w:type="default"/>
          <w:footerReference r:id="rId7" w:type="default"/>
          <w:pgSz w:w="11906" w:h="16838"/>
          <w:pgMar w:top="1440" w:right="1417" w:bottom="1440" w:left="1134" w:header="851" w:footer="680" w:gutter="0"/>
          <w:cols w:space="720" w:num="1"/>
          <w:titlePg/>
          <w:docGrid w:type="lines" w:linePitch="322" w:charSpace="0"/>
        </w:sectPr>
      </w:pPr>
    </w:p>
    <w:p>
      <w:pPr>
        <w:spacing w:line="1000" w:lineRule="exact"/>
        <w:jc w:val="center"/>
        <w:rPr>
          <w:rFonts w:ascii="仿宋" w:hAnsi="仿宋" w:eastAsia="仿宋"/>
          <w:b/>
          <w:color w:val="000000"/>
          <w:sz w:val="72"/>
          <w:szCs w:val="72"/>
        </w:rPr>
      </w:pPr>
    </w:p>
    <w:p>
      <w:pPr>
        <w:spacing w:line="1000" w:lineRule="exact"/>
        <w:jc w:val="center"/>
        <w:rPr>
          <w:rFonts w:hint="default" w:ascii="仿宋" w:hAnsi="仿宋" w:eastAsia="仿宋" w:cs="仿宋"/>
          <w:b/>
          <w:color w:val="000000"/>
          <w:sz w:val="40"/>
          <w:szCs w:val="40"/>
          <w:lang w:val="en-US" w:eastAsia="zh-CN"/>
        </w:rPr>
      </w:pPr>
      <w:r>
        <w:rPr>
          <w:rFonts w:ascii="仿宋" w:hAnsi="仿宋" w:eastAsia="仿宋"/>
          <w:b/>
          <w:color w:val="000000"/>
          <w:sz w:val="40"/>
          <w:szCs w:val="40"/>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0" t="0" r="9525" b="635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3"/>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b/>
          <w:color w:val="000000"/>
          <w:sz w:val="40"/>
          <w:szCs w:val="40"/>
        </w:rPr>
        <w:t>江西科技学院</w:t>
      </w:r>
      <w:r>
        <w:rPr>
          <w:rFonts w:hint="eastAsia" w:ascii="仿宋" w:hAnsi="仿宋" w:eastAsia="仿宋"/>
          <w:b/>
          <w:color w:val="000000"/>
          <w:sz w:val="40"/>
          <w:szCs w:val="40"/>
          <w:lang w:eastAsia="zh-CN"/>
        </w:rPr>
        <w:t>链路负载均衡设备</w:t>
      </w:r>
      <w:r>
        <w:rPr>
          <w:rFonts w:hint="eastAsia" w:ascii="仿宋" w:hAnsi="仿宋" w:eastAsia="仿宋" w:cs="仿宋"/>
          <w:b/>
          <w:color w:val="000000"/>
          <w:sz w:val="40"/>
          <w:szCs w:val="40"/>
          <w:lang w:val="en-US" w:eastAsia="zh-CN"/>
        </w:rPr>
        <w:t>采购项目</w:t>
      </w:r>
    </w:p>
    <w:p>
      <w:pPr>
        <w:spacing w:line="1000" w:lineRule="exact"/>
        <w:jc w:val="center"/>
        <w:rPr>
          <w:rFonts w:hint="eastAsia" w:ascii="仿宋" w:hAnsi="仿宋" w:eastAsia="仿宋"/>
          <w:b/>
          <w:color w:val="000000"/>
          <w:sz w:val="40"/>
          <w:szCs w:val="40"/>
          <w:lang w:eastAsia="zh-CN"/>
        </w:rPr>
      </w:pPr>
    </w:p>
    <w:p>
      <w:pPr>
        <w:spacing w:line="580" w:lineRule="exact"/>
        <w:jc w:val="center"/>
        <w:rPr>
          <w:rFonts w:ascii="仿宋" w:hAnsi="仿宋" w:eastAsia="仿宋"/>
          <w:b/>
          <w:color w:val="000000"/>
          <w:sz w:val="52"/>
          <w:szCs w:val="52"/>
        </w:rPr>
      </w:pP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rPr>
          <w:rFonts w:ascii="仿宋" w:hAnsi="仿宋" w:eastAsia="仿宋"/>
          <w:b/>
          <w:color w:val="000000"/>
          <w:sz w:val="72"/>
          <w:szCs w:val="72"/>
        </w:rPr>
      </w:pPr>
    </w:p>
    <w:p>
      <w:pPr>
        <w:spacing w:line="500" w:lineRule="exact"/>
        <w:ind w:firstLine="1943" w:firstLineChars="645"/>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rPr>
          <w:rFonts w:ascii="仿宋" w:hAnsi="仿宋" w:eastAsia="仿宋"/>
          <w:b/>
          <w:color w:val="000000"/>
          <w:sz w:val="36"/>
          <w:szCs w:val="36"/>
        </w:rPr>
      </w:pPr>
      <w:r>
        <w:rPr>
          <w:rFonts w:hint="eastAsia" w:ascii="仿宋" w:hAnsi="仿宋" w:eastAsia="仿宋"/>
          <w:b/>
          <w:color w:val="000000"/>
          <w:sz w:val="30"/>
          <w:szCs w:val="30"/>
        </w:rPr>
        <w:t>参与人授权代表：X</w:t>
      </w:r>
      <w:r>
        <w:rPr>
          <w:rFonts w:ascii="仿宋" w:hAnsi="仿宋" w:eastAsia="仿宋"/>
          <w:b/>
          <w:color w:val="000000"/>
          <w:sz w:val="30"/>
          <w:szCs w:val="30"/>
        </w:rPr>
        <w:t>XXX</w:t>
      </w:r>
    </w:p>
    <w:p>
      <w:pPr>
        <w:jc w:val="center"/>
        <w:rPr>
          <w:rFonts w:ascii="仿宋" w:hAnsi="仿宋" w:eastAsia="仿宋"/>
          <w:b/>
          <w:bCs/>
          <w:color w:val="000000"/>
          <w:sz w:val="30"/>
          <w:szCs w:val="30"/>
        </w:rPr>
      </w:pPr>
    </w:p>
    <w:p>
      <w:pPr>
        <w:rPr>
          <w:rFonts w:ascii="仿宋" w:hAnsi="仿宋" w:eastAsia="仿宋"/>
          <w:b/>
          <w:bCs/>
          <w:color w:val="000000"/>
          <w:sz w:val="30"/>
          <w:szCs w:val="30"/>
        </w:rPr>
      </w:pPr>
    </w:p>
    <w:p>
      <w:pPr>
        <w:jc w:val="center"/>
        <w:rPr>
          <w:rFonts w:ascii="仿宋" w:hAnsi="仿宋" w:eastAsia="仿宋"/>
          <w:b/>
          <w:bCs/>
          <w:color w:val="000000"/>
          <w:sz w:val="30"/>
          <w:szCs w:val="30"/>
        </w:rPr>
      </w:pPr>
      <w:r>
        <w:rPr>
          <w:rFonts w:hint="eastAsia" w:ascii="仿宋" w:hAnsi="仿宋" w:eastAsia="仿宋"/>
          <w:b/>
          <w:bCs/>
          <w:color w:val="000000"/>
          <w:sz w:val="30"/>
          <w:szCs w:val="30"/>
        </w:rPr>
        <w:t>此封面应作为报价响应文件封面</w:t>
      </w:r>
    </w:p>
    <w:p>
      <w:pPr>
        <w:rPr>
          <w:rFonts w:ascii="仿宋" w:hAnsi="仿宋" w:eastAsia="仿宋"/>
          <w:b/>
          <w:bCs/>
          <w:color w:val="000000"/>
          <w:sz w:val="30"/>
          <w:szCs w:val="30"/>
        </w:rPr>
        <w:sectPr>
          <w:headerReference r:id="rId9" w:type="first"/>
          <w:headerReference r:id="rId8" w:type="default"/>
          <w:type w:val="continuous"/>
          <w:pgSz w:w="11906" w:h="16838"/>
          <w:pgMar w:top="1440" w:right="1416" w:bottom="1440" w:left="1134" w:header="851" w:footer="680" w:gutter="0"/>
          <w:cols w:space="720" w:num="1"/>
          <w:titlePg/>
          <w:docGrid w:type="lines" w:linePitch="312" w:charSpace="0"/>
        </w:sectPr>
      </w:pPr>
    </w:p>
    <w:p>
      <w:pPr>
        <w:jc w:val="center"/>
        <w:outlineLvl w:val="1"/>
        <w:rPr>
          <w:rFonts w:ascii="仿宋" w:hAnsi="仿宋" w:eastAsia="仿宋" w:cs="仿宋"/>
          <w:b/>
          <w:bCs/>
          <w:color w:val="000000"/>
          <w:sz w:val="28"/>
          <w:szCs w:val="28"/>
        </w:rPr>
      </w:pPr>
      <w:bookmarkStart w:id="51" w:name="_Toc192663835"/>
      <w:bookmarkStart w:id="52" w:name="_Toc249325711"/>
      <w:bookmarkStart w:id="53" w:name="_Toc266870907"/>
      <w:bookmarkStart w:id="54" w:name="_Toc230071147"/>
      <w:bookmarkStart w:id="55" w:name="_Toc160880160"/>
      <w:bookmarkStart w:id="56" w:name="_Toc191802690"/>
      <w:bookmarkStart w:id="57" w:name="_Toc192663686"/>
      <w:bookmarkStart w:id="58" w:name="_Toc181436461"/>
      <w:bookmarkStart w:id="59" w:name="_Toc191803626"/>
      <w:bookmarkStart w:id="60" w:name="_Toc170798793"/>
      <w:bookmarkStart w:id="61" w:name="_Toc235438344"/>
      <w:bookmarkStart w:id="62" w:name="_Toc182372782"/>
      <w:bookmarkStart w:id="63" w:name="_Toc259520865"/>
      <w:bookmarkStart w:id="64" w:name="_Toc267060068"/>
      <w:bookmarkStart w:id="65" w:name="_Toc192996446"/>
      <w:bookmarkStart w:id="66" w:name="_Toc213755939"/>
      <w:bookmarkStart w:id="67" w:name="_Toc232302115"/>
      <w:bookmarkStart w:id="68" w:name="_Toc217891402"/>
      <w:bookmarkStart w:id="69" w:name="_Toc254790899"/>
      <w:bookmarkStart w:id="70" w:name="_Toc192996338"/>
      <w:bookmarkStart w:id="71" w:name="_Toc267059030"/>
      <w:bookmarkStart w:id="72" w:name="_Toc236021449"/>
      <w:bookmarkStart w:id="73" w:name="_Toc203355733"/>
      <w:bookmarkStart w:id="74" w:name="_Toc266868937"/>
      <w:bookmarkStart w:id="75" w:name="_Toc251586231"/>
      <w:bookmarkStart w:id="76" w:name="_Toc267059806"/>
      <w:bookmarkStart w:id="77" w:name="_Toc213208766"/>
      <w:bookmarkStart w:id="78" w:name="_Toc259692647"/>
      <w:bookmarkStart w:id="79" w:name="_Toc192664153"/>
      <w:bookmarkStart w:id="80" w:name="_Toc227058530"/>
      <w:bookmarkStart w:id="81" w:name="_Toc223146608"/>
      <w:bookmarkStart w:id="82" w:name="_Toc193160448"/>
      <w:bookmarkStart w:id="83" w:name="_Toc267059181"/>
      <w:bookmarkStart w:id="84" w:name="_Toc191783222"/>
      <w:bookmarkStart w:id="85" w:name="_Toc267059539"/>
      <w:bookmarkStart w:id="86" w:name="_Toc181436565"/>
      <w:bookmarkStart w:id="87" w:name="_Toc225669322"/>
      <w:bookmarkStart w:id="88" w:name="_Toc169332838"/>
      <w:bookmarkStart w:id="89" w:name="_Toc259692740"/>
      <w:bookmarkStart w:id="90" w:name="_Toc211917116"/>
      <w:bookmarkStart w:id="91" w:name="_Toc235438274"/>
      <w:bookmarkStart w:id="92" w:name="_Toc267060453"/>
      <w:bookmarkStart w:id="93" w:name="_Toc258401256"/>
      <w:bookmarkStart w:id="94" w:name="_Toc266870432"/>
      <w:bookmarkStart w:id="95" w:name="_Toc273178698"/>
      <w:bookmarkStart w:id="96" w:name="_Toc213756051"/>
      <w:bookmarkStart w:id="97" w:name="_Toc267060208"/>
      <w:bookmarkStart w:id="98" w:name="_Toc219800243"/>
      <w:bookmarkStart w:id="99" w:name="_Toc193165734"/>
      <w:bookmarkStart w:id="100" w:name="_Toc213755995"/>
      <w:bookmarkStart w:id="101" w:name="_Toc213755858"/>
      <w:bookmarkStart w:id="102" w:name="_Toc253066614"/>
      <w:bookmarkStart w:id="103" w:name="_Toc267059653"/>
      <w:bookmarkStart w:id="104" w:name="_Toc255975007"/>
      <w:bookmarkStart w:id="105" w:name="_Toc266870833"/>
      <w:bookmarkStart w:id="106" w:name="_Toc177985469"/>
      <w:bookmarkStart w:id="107" w:name="_Toc182805217"/>
      <w:bookmarkStart w:id="108" w:name="_Toc267059919"/>
      <w:bookmarkStart w:id="109" w:name="_Toc180302913"/>
      <w:bookmarkStart w:id="110" w:name="_Toc235437991"/>
      <w:bookmarkStart w:id="111" w:name="_Toc160880529"/>
      <w:bookmarkStart w:id="112" w:name="_Toc251613829"/>
      <w:bookmarkStart w:id="113" w:name="_Toc267060321"/>
      <w:bookmarkStart w:id="114" w:name="_Toc191789329"/>
      <w:bookmarkStart w:id="115" w:name="_Toc169332949"/>
      <w:bookmarkStart w:id="116" w:name="_Toc266868670"/>
      <w:r>
        <w:rPr>
          <w:rFonts w:hint="eastAsia" w:ascii="仿宋" w:hAnsi="仿宋" w:eastAsia="仿宋" w:cs="仿宋"/>
          <w:b/>
          <w:bCs/>
          <w:color w:val="000000"/>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sz w:val="28"/>
          <w:szCs w:val="28"/>
        </w:rPr>
        <w:t>询价响应函</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致：XXX学校</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根据贵学校编号为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项目名称为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的公开询价邀请，本签字代表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（全名、职务）正式授权并代表我方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 报价一览表</w:t>
      </w:r>
    </w:p>
    <w:p>
      <w:pPr>
        <w:spacing w:after="0" w:line="480" w:lineRule="exact"/>
        <w:ind w:firstLine="425" w:firstLineChars="152"/>
        <w:rPr>
          <w:rFonts w:ascii="仿宋" w:hAnsi="仿宋" w:eastAsia="仿宋" w:cs="仿宋"/>
          <w:color w:val="000000"/>
          <w:sz w:val="28"/>
          <w:szCs w:val="28"/>
        </w:rPr>
      </w:pPr>
      <w:r>
        <w:rPr>
          <w:rFonts w:hint="eastAsia" w:ascii="仿宋" w:hAnsi="仿宋" w:eastAsia="仿宋" w:cs="仿宋"/>
          <w:color w:val="000000"/>
          <w:sz w:val="28"/>
          <w:szCs w:val="28"/>
        </w:rPr>
        <w:t xml:space="preserve"> (2) 参与人资质证明</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1.所附详细报价表中规定的应提供和交付的货物及服务报价总价（国内现场交货价）为人民币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，即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（中文表述），交货期为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天 。</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3.保证遵守公开询价文件的全部规定，所提交的材料中所含的信息均为真实、准确、完整，且不具有任何误导性。</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4.同意按公开询价文件的规定履行合同责任和义务。</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5.同意提供按照贵方可能要求的与其公开询价有关的一切数据或资料</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参与人（公司全称并加盖公章）：</w:t>
      </w:r>
      <w:r>
        <w:rPr>
          <w:rFonts w:hint="eastAsia"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参与人授权代表签字： </w:t>
      </w:r>
      <w:r>
        <w:rPr>
          <w:rFonts w:hint="eastAsia"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电  话：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4"/>
        <w:spacing w:line="480" w:lineRule="exact"/>
        <w:ind w:firstLine="560" w:firstLineChars="200"/>
        <w:jc w:val="left"/>
        <w:outlineLvl w:val="9"/>
        <w:rPr>
          <w:rFonts w:hint="eastAsia" w:ascii="仿宋" w:hAnsi="仿宋" w:eastAsia="仿宋" w:cs="仿宋"/>
          <w:color w:val="000000"/>
          <w:szCs w:val="28"/>
        </w:rPr>
      </w:pPr>
      <w:r>
        <w:rPr>
          <w:rFonts w:hint="eastAsia" w:ascii="仿宋" w:hAnsi="仿宋" w:eastAsia="仿宋" w:cs="仿宋"/>
          <w:color w:val="000000"/>
          <w:szCs w:val="28"/>
        </w:rPr>
        <w:t xml:space="preserve">日  期：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年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月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w:t>
      </w:r>
    </w:p>
    <w:p>
      <w:pPr>
        <w:pStyle w:val="64"/>
        <w:spacing w:line="480" w:lineRule="exact"/>
        <w:ind w:firstLine="560" w:firstLineChars="200"/>
        <w:jc w:val="left"/>
        <w:outlineLvl w:val="9"/>
        <w:rPr>
          <w:rFonts w:hint="eastAsia" w:ascii="仿宋" w:hAnsi="仿宋" w:eastAsia="仿宋" w:cs="仿宋"/>
          <w:color w:val="000000"/>
          <w:szCs w:val="28"/>
        </w:rPr>
      </w:pPr>
    </w:p>
    <w:p>
      <w:pPr>
        <w:pStyle w:val="64"/>
        <w:spacing w:line="480" w:lineRule="exact"/>
        <w:ind w:firstLine="560" w:firstLineChars="200"/>
        <w:jc w:val="left"/>
        <w:outlineLvl w:val="9"/>
        <w:rPr>
          <w:rFonts w:hint="eastAsia" w:ascii="仿宋" w:hAnsi="仿宋" w:eastAsia="仿宋" w:cs="仿宋"/>
          <w:color w:val="000000"/>
          <w:szCs w:val="28"/>
        </w:rPr>
      </w:pPr>
    </w:p>
    <w:p>
      <w:pPr>
        <w:pStyle w:val="64"/>
        <w:spacing w:line="480" w:lineRule="exact"/>
        <w:jc w:val="center"/>
        <w:outlineLvl w:val="9"/>
        <w:rPr>
          <w:rFonts w:ascii="仿宋" w:hAnsi="仿宋" w:eastAsia="仿宋" w:cs="仿宋"/>
          <w:b/>
          <w:bCs/>
          <w:color w:val="000000"/>
          <w:sz w:val="28"/>
          <w:szCs w:val="28"/>
        </w:rPr>
      </w:pPr>
      <w:r>
        <w:rPr>
          <w:rFonts w:hint="eastAsia" w:ascii="仿宋" w:hAnsi="仿宋" w:eastAsia="仿宋" w:cs="仿宋"/>
          <w:color w:val="000000"/>
          <w:sz w:val="28"/>
          <w:szCs w:val="28"/>
        </w:rPr>
        <w:br w:type="page"/>
      </w: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报价一览表</w:t>
      </w:r>
    </w:p>
    <w:p>
      <w:pPr>
        <w:spacing w:line="3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tbl>
      <w:tblPr>
        <w:tblStyle w:val="26"/>
        <w:tblpPr w:leftFromText="180" w:rightFromText="180" w:vertAnchor="text" w:horzAnchor="page" w:tblpXSpec="center" w:tblpY="1160"/>
        <w:tblOverlap w:val="never"/>
        <w:tblW w:w="10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1800"/>
        <w:gridCol w:w="2115"/>
        <w:gridCol w:w="1290"/>
        <w:gridCol w:w="949"/>
        <w:gridCol w:w="1073"/>
        <w:gridCol w:w="1055"/>
        <w:gridCol w:w="912"/>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规格参数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6"/>
                <w:rFonts w:hint="eastAsia" w:ascii="仿宋" w:hAnsi="仿宋" w:eastAsia="仿宋" w:cs="仿宋"/>
                <w:lang w:val="en-US" w:eastAsia="zh-CN" w:bidi="ar"/>
              </w:rPr>
            </w:pPr>
            <w:r>
              <w:rPr>
                <w:rStyle w:val="76"/>
                <w:rFonts w:hint="eastAsia" w:ascii="仿宋" w:hAnsi="仿宋" w:eastAsia="仿宋" w:cs="仿宋"/>
                <w:lang w:val="en-US" w:eastAsia="zh-CN" w:bidi="ar"/>
              </w:rPr>
              <w:t>品牌</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单位</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数量</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单价（元）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总价（元）</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负载均衡设备</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详见技术参数说明</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套</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97"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p>
        </w:tc>
        <w:tc>
          <w:tcPr>
            <w:tcW w:w="828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8"/>
                <w:szCs w:val="28"/>
                <w:u w:val="none"/>
                <w:lang w:eastAsia="zh-CN"/>
              </w:rPr>
              <w:t>合计（大写）：</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9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bl>
    <w:p>
      <w:pPr>
        <w:pStyle w:val="2"/>
      </w:pP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rPr>
          <w:rFonts w:ascii="仿宋" w:hAnsi="仿宋" w:eastAsia="仿宋" w:cs="仿宋"/>
          <w:color w:val="000000"/>
          <w:sz w:val="28"/>
          <w:szCs w:val="28"/>
        </w:rPr>
      </w:pP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注：1.如果按单价计算的结果与总价不一致,以单价为准修正总价。</w:t>
      </w:r>
    </w:p>
    <w:p>
      <w:pPr>
        <w:spacing w:line="380" w:lineRule="exact"/>
        <w:ind w:left="147" w:leftChars="67"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2.如果不提供详细参数和报价将视为没有实质性响应公开询价文件。</w:t>
      </w:r>
    </w:p>
    <w:p>
      <w:pPr>
        <w:spacing w:line="360" w:lineRule="auto"/>
        <w:ind w:right="960"/>
        <w:jc w:val="righ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outlineLvl w:val="2"/>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 期：</w:t>
      </w:r>
      <w:bookmarkStart w:id="117" w:name="_Toc259692749"/>
      <w:bookmarkStart w:id="118" w:name="_Toc259692656"/>
      <w:bookmarkStart w:id="119" w:name="_Toc254790909"/>
      <w:bookmarkStart w:id="120" w:name="_Toc230071153"/>
      <w:bookmarkStart w:id="121" w:name="_Toc193160453"/>
      <w:bookmarkStart w:id="122" w:name="_Toc191803631"/>
      <w:bookmarkStart w:id="123" w:name="_Toc213208771"/>
      <w:bookmarkStart w:id="124" w:name="_Toc213755864"/>
      <w:bookmarkStart w:id="125" w:name="_Toc192663691"/>
      <w:bookmarkStart w:id="126" w:name="_Toc160880165"/>
      <w:bookmarkStart w:id="127" w:name="_Toc266868679"/>
      <w:bookmarkStart w:id="128" w:name="_Toc259520874"/>
      <w:bookmarkStart w:id="129" w:name="_Toc267060216"/>
      <w:bookmarkStart w:id="130" w:name="_Toc191789334"/>
      <w:bookmarkStart w:id="131" w:name="_Toc266870839"/>
      <w:bookmarkStart w:id="132" w:name="_Toc192996343"/>
      <w:bookmarkStart w:id="133" w:name="_Toc266870441"/>
      <w:bookmarkStart w:id="134" w:name="_Toc267059924"/>
      <w:bookmarkStart w:id="135" w:name="_Toc169332954"/>
      <w:bookmarkStart w:id="136" w:name="_Toc181436570"/>
      <w:bookmarkStart w:id="137" w:name="_Toc266870916"/>
      <w:bookmarkStart w:id="138" w:name="_Toc170798798"/>
      <w:bookmarkStart w:id="139" w:name="_Toc160880534"/>
      <w:bookmarkStart w:id="140" w:name="_Toc227058536"/>
      <w:bookmarkStart w:id="141" w:name="_Toc180302918"/>
      <w:bookmarkStart w:id="142" w:name="_Toc267059811"/>
      <w:bookmarkStart w:id="143" w:name="_Toc267060461"/>
      <w:bookmarkStart w:id="144" w:name="_Toc192663840"/>
      <w:bookmarkStart w:id="145" w:name="_Toc191802695"/>
      <w:bookmarkStart w:id="146" w:name="_Toc191783227"/>
      <w:bookmarkStart w:id="147" w:name="_Toc236021457"/>
      <w:bookmarkStart w:id="148" w:name="_Toc258401265"/>
      <w:bookmarkStart w:id="149" w:name="_Toc251586241"/>
      <w:bookmarkStart w:id="150" w:name="_Toc219800249"/>
      <w:bookmarkStart w:id="151" w:name="_Toc232302122"/>
      <w:bookmarkStart w:id="152" w:name="_Toc213756001"/>
      <w:bookmarkStart w:id="153" w:name="_Toc255975016"/>
      <w:bookmarkStart w:id="154" w:name="_Toc267059544"/>
      <w:bookmarkStart w:id="155" w:name="_Toc213756057"/>
      <w:bookmarkStart w:id="156" w:name="_Toc203355738"/>
      <w:bookmarkStart w:id="157" w:name="_Toc267059186"/>
      <w:bookmarkStart w:id="158" w:name="_Toc266868943"/>
      <w:bookmarkStart w:id="159" w:name="_Toc177985474"/>
      <w:bookmarkStart w:id="160" w:name="_Toc253066624"/>
      <w:bookmarkStart w:id="161" w:name="_Toc192996451"/>
      <w:bookmarkStart w:id="162" w:name="_Toc267059035"/>
      <w:bookmarkStart w:id="163" w:name="_Toc251613839"/>
      <w:bookmarkStart w:id="164" w:name="_Toc223146614"/>
      <w:bookmarkStart w:id="165" w:name="_Toc182372787"/>
      <w:bookmarkStart w:id="166" w:name="_Toc225669328"/>
      <w:bookmarkStart w:id="167" w:name="_Toc181436466"/>
      <w:bookmarkStart w:id="168" w:name="_Toc182805222"/>
      <w:bookmarkStart w:id="169" w:name="_Toc273178703"/>
      <w:bookmarkStart w:id="170" w:name="_Toc169332843"/>
      <w:bookmarkStart w:id="171" w:name="_Toc235437998"/>
      <w:bookmarkStart w:id="172" w:name="_Toc213755945"/>
      <w:bookmarkStart w:id="173" w:name="_Toc249325720"/>
      <w:bookmarkStart w:id="174" w:name="_Toc235438281"/>
      <w:bookmarkStart w:id="175" w:name="_Toc267059658"/>
      <w:bookmarkStart w:id="176" w:name="_Toc193165739"/>
      <w:bookmarkStart w:id="177" w:name="_Toc211917121"/>
      <w:bookmarkStart w:id="178" w:name="_Toc235438352"/>
      <w:bookmarkStart w:id="179" w:name="_Toc267060326"/>
      <w:bookmarkStart w:id="180" w:name="_Toc217891408"/>
      <w:bookmarkStart w:id="181" w:name="_Toc192664158"/>
      <w:bookmarkStart w:id="182" w:name="_Toc267060076"/>
    </w:p>
    <w:p>
      <w:pPr>
        <w:pStyle w:val="2"/>
        <w:rPr>
          <w:lang w:val="zh-CN"/>
        </w:rPr>
      </w:pPr>
    </w:p>
    <w:p>
      <w:pPr>
        <w:pStyle w:val="3"/>
        <w:rPr>
          <w:lang w:val="zh-CN"/>
        </w:rPr>
      </w:pPr>
    </w:p>
    <w:p>
      <w:pPr>
        <w:rPr>
          <w:lang w:val="zh-CN"/>
        </w:rPr>
      </w:pPr>
    </w:p>
    <w:p>
      <w:pPr>
        <w:pStyle w:val="2"/>
        <w:rPr>
          <w:lang w:val="zh-CN"/>
        </w:rPr>
      </w:pPr>
    </w:p>
    <w:p>
      <w:pPr>
        <w:pStyle w:val="3"/>
        <w:rPr>
          <w:lang w:val="zh-CN"/>
        </w:rPr>
      </w:pPr>
    </w:p>
    <w:p>
      <w:pPr>
        <w:jc w:val="center"/>
        <w:outlineLvl w:val="1"/>
        <w:rPr>
          <w:rFonts w:hint="eastAsia" w:ascii="仿宋" w:hAnsi="仿宋" w:eastAsia="仿宋" w:cs="仿宋"/>
          <w:b/>
          <w:bCs/>
          <w:color w:val="000000"/>
          <w:sz w:val="28"/>
          <w:szCs w:val="28"/>
        </w:rPr>
      </w:pPr>
      <w:bookmarkStart w:id="183" w:name="_Toc219800251"/>
      <w:bookmarkStart w:id="184" w:name="_Toc266870443"/>
      <w:bookmarkStart w:id="185" w:name="_Toc230071155"/>
      <w:bookmarkStart w:id="186" w:name="_Toc227058538"/>
      <w:bookmarkStart w:id="187" w:name="_Toc236021459"/>
      <w:bookmarkStart w:id="188" w:name="_Toc259692658"/>
      <w:bookmarkStart w:id="189" w:name="_Toc266870918"/>
      <w:bookmarkStart w:id="190" w:name="_Toc259692751"/>
      <w:bookmarkStart w:id="191" w:name="_Toc253066626"/>
      <w:bookmarkStart w:id="192" w:name="_Toc223146616"/>
      <w:bookmarkStart w:id="193" w:name="_Toc235438283"/>
      <w:bookmarkStart w:id="194" w:name="_Toc225669330"/>
      <w:bookmarkStart w:id="195" w:name="_Toc249325722"/>
      <w:bookmarkStart w:id="196" w:name="_Toc232302124"/>
      <w:bookmarkStart w:id="197" w:name="_Toc217891410"/>
      <w:bookmarkStart w:id="198" w:name="_Toc259520876"/>
      <w:bookmarkStart w:id="199" w:name="_Toc251586243"/>
      <w:bookmarkStart w:id="200" w:name="_Toc251613841"/>
      <w:bookmarkStart w:id="201" w:name="_Toc258401267"/>
      <w:bookmarkStart w:id="202" w:name="_Toc213756059"/>
      <w:bookmarkStart w:id="203" w:name="_Toc235438000"/>
      <w:bookmarkStart w:id="204" w:name="_Toc254790911"/>
      <w:bookmarkStart w:id="205" w:name="_Toc235438354"/>
      <w:bookmarkStart w:id="206" w:name="_Toc255975018"/>
      <w:bookmarkStart w:id="207" w:name="_Toc266868681"/>
    </w:p>
    <w:p>
      <w:pPr>
        <w:jc w:val="center"/>
        <w:outlineLvl w:val="1"/>
        <w:rPr>
          <w:rFonts w:hint="eastAsia" w:ascii="仿宋" w:hAnsi="仿宋" w:eastAsia="仿宋" w:cs="仿宋"/>
          <w:b/>
          <w:bCs/>
          <w:color w:val="000000"/>
          <w:sz w:val="28"/>
          <w:szCs w:val="28"/>
        </w:rPr>
      </w:pPr>
    </w:p>
    <w:p>
      <w:pPr>
        <w:jc w:val="center"/>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3、参与人资质材料</w:t>
      </w:r>
    </w:p>
    <w:p>
      <w:pPr>
        <w:pStyle w:val="50"/>
        <w:rPr>
          <w:rFonts w:ascii="仿宋" w:hAnsi="仿宋" w:eastAsia="仿宋" w:cs="仿宋"/>
          <w:color w:val="000000"/>
          <w:sz w:val="28"/>
          <w:szCs w:val="28"/>
        </w:rPr>
      </w:pPr>
    </w:p>
    <w:p>
      <w:pPr>
        <w:spacing w:after="0" w:line="500" w:lineRule="exact"/>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rPr>
          <w:rFonts w:ascii="仿宋" w:hAnsi="仿宋" w:eastAsia="仿宋" w:cs="仿宋"/>
          <w:color w:val="000000"/>
          <w:sz w:val="28"/>
          <w:szCs w:val="28"/>
        </w:rPr>
      </w:pPr>
    </w:p>
    <w:p>
      <w:pPr>
        <w:spacing w:line="380" w:lineRule="exact"/>
        <w:rPr>
          <w:rFonts w:ascii="仿宋" w:hAnsi="仿宋" w:eastAsia="仿宋" w:cs="仿宋"/>
          <w:b/>
          <w:bCs/>
          <w:sz w:val="28"/>
          <w:szCs w:val="28"/>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0" w:type="first"/>
      <w:footerReference r:id="rId11" w:type="default"/>
      <w:type w:val="continuous"/>
      <w:pgSz w:w="11906" w:h="16838"/>
      <w:pgMar w:top="1440" w:right="1416" w:bottom="1440" w:left="113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0" t="0" r="7620" b="3175"/>
          <wp:wrapNone/>
          <wp:docPr id="3"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jxut"/>
                  <pic:cNvPicPr>
                    <a:picLocks noChangeAspect="1"/>
                  </pic:cNvPicPr>
                </pic:nvPicPr>
                <pic:blipFill>
                  <a:blip r:embed="rId1"/>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685A53D"/>
    <w:multiLevelType w:val="singleLevel"/>
    <w:tmpl w:val="6685A53D"/>
    <w:lvl w:ilvl="0" w:tentative="0">
      <w:start w:val="2"/>
      <w:numFmt w:val="chineseCounting"/>
      <w:suff w:val="nothing"/>
      <w:lvlText w:val="%1、"/>
      <w:lvlJc w:val="left"/>
      <w:rPr>
        <w:rFonts w:hint="eastAsia"/>
      </w:r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1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172A27"/>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2A27"/>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2F68"/>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AF7988"/>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317F"/>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159126E"/>
    <w:rsid w:val="031748A7"/>
    <w:rsid w:val="04913949"/>
    <w:rsid w:val="062B7CE6"/>
    <w:rsid w:val="07150683"/>
    <w:rsid w:val="075073EE"/>
    <w:rsid w:val="08CE328B"/>
    <w:rsid w:val="09897128"/>
    <w:rsid w:val="09A82D2F"/>
    <w:rsid w:val="0A634D99"/>
    <w:rsid w:val="0B6D5FA2"/>
    <w:rsid w:val="0BDF6EDE"/>
    <w:rsid w:val="0CFB40E2"/>
    <w:rsid w:val="0DD26323"/>
    <w:rsid w:val="0E264A8F"/>
    <w:rsid w:val="0FB5408F"/>
    <w:rsid w:val="109045B9"/>
    <w:rsid w:val="119251D5"/>
    <w:rsid w:val="11E2312C"/>
    <w:rsid w:val="12FA0628"/>
    <w:rsid w:val="13A520F1"/>
    <w:rsid w:val="13B51710"/>
    <w:rsid w:val="14D53EE5"/>
    <w:rsid w:val="15DC0DF9"/>
    <w:rsid w:val="170E6714"/>
    <w:rsid w:val="17D80B19"/>
    <w:rsid w:val="184710BD"/>
    <w:rsid w:val="184F17AB"/>
    <w:rsid w:val="1AD81BF2"/>
    <w:rsid w:val="1B9472D5"/>
    <w:rsid w:val="1BEC742C"/>
    <w:rsid w:val="1C4F7437"/>
    <w:rsid w:val="1D1F6294"/>
    <w:rsid w:val="1DFB2E09"/>
    <w:rsid w:val="1E1E766F"/>
    <w:rsid w:val="1F172446"/>
    <w:rsid w:val="1F3A074B"/>
    <w:rsid w:val="208268EC"/>
    <w:rsid w:val="20A06544"/>
    <w:rsid w:val="21801A5F"/>
    <w:rsid w:val="220410E7"/>
    <w:rsid w:val="225A45C1"/>
    <w:rsid w:val="22B221FB"/>
    <w:rsid w:val="239C6495"/>
    <w:rsid w:val="27256C24"/>
    <w:rsid w:val="287E4B99"/>
    <w:rsid w:val="29140A6A"/>
    <w:rsid w:val="29250A8B"/>
    <w:rsid w:val="2A7C013C"/>
    <w:rsid w:val="2BC71CDB"/>
    <w:rsid w:val="2DD131C6"/>
    <w:rsid w:val="2E9278E2"/>
    <w:rsid w:val="2EF76197"/>
    <w:rsid w:val="2FEE50F3"/>
    <w:rsid w:val="300039B1"/>
    <w:rsid w:val="304E0046"/>
    <w:rsid w:val="32806A45"/>
    <w:rsid w:val="332F2E07"/>
    <w:rsid w:val="33791C97"/>
    <w:rsid w:val="33F12D64"/>
    <w:rsid w:val="3461328A"/>
    <w:rsid w:val="34D060DE"/>
    <w:rsid w:val="35933869"/>
    <w:rsid w:val="35C04C89"/>
    <w:rsid w:val="36265468"/>
    <w:rsid w:val="39F82C09"/>
    <w:rsid w:val="3A341312"/>
    <w:rsid w:val="3F7B1C31"/>
    <w:rsid w:val="40E3088A"/>
    <w:rsid w:val="411E5593"/>
    <w:rsid w:val="41EE2DD5"/>
    <w:rsid w:val="42A72334"/>
    <w:rsid w:val="44AA076F"/>
    <w:rsid w:val="45114789"/>
    <w:rsid w:val="45E037EE"/>
    <w:rsid w:val="482A0DCF"/>
    <w:rsid w:val="495B2848"/>
    <w:rsid w:val="49612DA3"/>
    <w:rsid w:val="4B405CC3"/>
    <w:rsid w:val="4BAD18DA"/>
    <w:rsid w:val="4C4E6FB2"/>
    <w:rsid w:val="4CE038D4"/>
    <w:rsid w:val="4CF87786"/>
    <w:rsid w:val="4D5B311A"/>
    <w:rsid w:val="4DAB4632"/>
    <w:rsid w:val="4DF62D9A"/>
    <w:rsid w:val="4EFC0DA6"/>
    <w:rsid w:val="4F614987"/>
    <w:rsid w:val="4F785859"/>
    <w:rsid w:val="51441F13"/>
    <w:rsid w:val="51AC44C4"/>
    <w:rsid w:val="52406254"/>
    <w:rsid w:val="529C3C7E"/>
    <w:rsid w:val="52A803DF"/>
    <w:rsid w:val="57CC0FC7"/>
    <w:rsid w:val="57D451E5"/>
    <w:rsid w:val="58044E7D"/>
    <w:rsid w:val="59F56F8C"/>
    <w:rsid w:val="5BD963A8"/>
    <w:rsid w:val="5C3E09EB"/>
    <w:rsid w:val="5C662C1F"/>
    <w:rsid w:val="5D926D13"/>
    <w:rsid w:val="5FB200B3"/>
    <w:rsid w:val="60F8611F"/>
    <w:rsid w:val="612F4EE6"/>
    <w:rsid w:val="614532F2"/>
    <w:rsid w:val="642A1621"/>
    <w:rsid w:val="64AE039F"/>
    <w:rsid w:val="64EF661B"/>
    <w:rsid w:val="65225B79"/>
    <w:rsid w:val="671D3EC7"/>
    <w:rsid w:val="6A923527"/>
    <w:rsid w:val="6C614857"/>
    <w:rsid w:val="6D385AB2"/>
    <w:rsid w:val="6D814CBA"/>
    <w:rsid w:val="6D9914F3"/>
    <w:rsid w:val="6F3617A2"/>
    <w:rsid w:val="6FB31F7C"/>
    <w:rsid w:val="6FF93A4A"/>
    <w:rsid w:val="71E83163"/>
    <w:rsid w:val="739D2EF6"/>
    <w:rsid w:val="75C31342"/>
    <w:rsid w:val="76772D89"/>
    <w:rsid w:val="76FC6B32"/>
    <w:rsid w:val="77582A5D"/>
    <w:rsid w:val="77FA60E0"/>
    <w:rsid w:val="78005ADF"/>
    <w:rsid w:val="7AD953AF"/>
    <w:rsid w:val="7B7F16D1"/>
    <w:rsid w:val="7BEC215B"/>
    <w:rsid w:val="7C5F3658"/>
    <w:rsid w:val="7CB116B1"/>
    <w:rsid w:val="7D973E0B"/>
    <w:rsid w:val="7E982C74"/>
    <w:rsid w:val="7F7B4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Century Gothic" w:hAnsi="Century Gothic" w:eastAsia="宋体" w:cs="Times New Roman"/>
      <w:sz w:val="22"/>
      <w:szCs w:val="22"/>
      <w:lang w:val="en-US" w:eastAsia="zh-CN" w:bidi="ar-SA"/>
    </w:rPr>
  </w:style>
  <w:style w:type="paragraph" w:styleId="2">
    <w:name w:val="heading 1"/>
    <w:basedOn w:val="1"/>
    <w:next w:val="3"/>
    <w:link w:val="33"/>
    <w:qFormat/>
    <w:uiPriority w:val="9"/>
    <w:pPr>
      <w:keepNext/>
      <w:keepLines/>
      <w:spacing w:before="320" w:after="40"/>
      <w:outlineLvl w:val="0"/>
    </w:pPr>
    <w:rPr>
      <w:rFonts w:ascii="Century Gothic" w:hAnsi="Century Gothic" w:eastAsia="宋体" w:cs="Times New Roman"/>
      <w:b/>
      <w:bCs/>
      <w:caps/>
      <w:spacing w:val="4"/>
      <w:sz w:val="28"/>
      <w:szCs w:val="28"/>
    </w:rPr>
  </w:style>
  <w:style w:type="paragraph" w:styleId="3">
    <w:name w:val="heading 2"/>
    <w:basedOn w:val="1"/>
    <w:next w:val="4"/>
    <w:link w:val="34"/>
    <w:unhideWhenUsed/>
    <w:qFormat/>
    <w:uiPriority w:val="9"/>
    <w:pPr>
      <w:keepNext/>
      <w:keepLines/>
      <w:spacing w:before="120" w:after="0"/>
      <w:outlineLvl w:val="1"/>
    </w:pPr>
    <w:rPr>
      <w:rFonts w:ascii="Century Gothic" w:hAnsi="Century Gothic" w:eastAsia="宋体" w:cs="Times New Roman"/>
      <w:b/>
      <w:bCs/>
      <w:sz w:val="28"/>
      <w:szCs w:val="28"/>
    </w:rPr>
  </w:style>
  <w:style w:type="paragraph" w:styleId="4">
    <w:name w:val="heading 3"/>
    <w:basedOn w:val="1"/>
    <w:next w:val="1"/>
    <w:link w:val="35"/>
    <w:unhideWhenUsed/>
    <w:qFormat/>
    <w:uiPriority w:val="9"/>
    <w:pPr>
      <w:keepNext/>
      <w:keepLines/>
      <w:spacing w:before="120" w:after="0"/>
      <w:outlineLvl w:val="2"/>
    </w:pPr>
    <w:rPr>
      <w:rFonts w:ascii="Century Gothic" w:hAnsi="Century Gothic" w:eastAsia="宋体" w:cs="Times New Roman"/>
      <w:spacing w:val="4"/>
      <w:sz w:val="24"/>
      <w:szCs w:val="24"/>
    </w:rPr>
  </w:style>
  <w:style w:type="paragraph" w:styleId="5">
    <w:name w:val="heading 4"/>
    <w:basedOn w:val="1"/>
    <w:next w:val="1"/>
    <w:link w:val="36"/>
    <w:unhideWhenUsed/>
    <w:qFormat/>
    <w:uiPriority w:val="9"/>
    <w:pPr>
      <w:keepNext/>
      <w:keepLines/>
      <w:spacing w:before="120" w:after="0"/>
      <w:outlineLvl w:val="3"/>
    </w:pPr>
    <w:rPr>
      <w:rFonts w:ascii="Century Gothic" w:hAnsi="Century Gothic" w:eastAsia="宋体" w:cs="Times New Roman"/>
      <w:i/>
      <w:iCs/>
      <w:sz w:val="24"/>
      <w:szCs w:val="24"/>
    </w:rPr>
  </w:style>
  <w:style w:type="paragraph" w:styleId="6">
    <w:name w:val="heading 5"/>
    <w:basedOn w:val="1"/>
    <w:next w:val="1"/>
    <w:link w:val="37"/>
    <w:unhideWhenUsed/>
    <w:qFormat/>
    <w:uiPriority w:val="9"/>
    <w:pPr>
      <w:keepNext/>
      <w:keepLines/>
      <w:spacing w:before="120" w:after="0"/>
      <w:outlineLvl w:val="4"/>
    </w:pPr>
    <w:rPr>
      <w:rFonts w:ascii="Century Gothic" w:hAnsi="Century Gothic" w:eastAsia="宋体" w:cs="Times New Roman"/>
      <w:b/>
      <w:bCs/>
    </w:rPr>
  </w:style>
  <w:style w:type="paragraph" w:styleId="7">
    <w:name w:val="heading 6"/>
    <w:basedOn w:val="1"/>
    <w:next w:val="1"/>
    <w:link w:val="38"/>
    <w:unhideWhenUsed/>
    <w:qFormat/>
    <w:uiPriority w:val="9"/>
    <w:pPr>
      <w:keepNext/>
      <w:keepLines/>
      <w:spacing w:before="120" w:after="0"/>
      <w:outlineLvl w:val="5"/>
    </w:pPr>
    <w:rPr>
      <w:rFonts w:ascii="Century Gothic" w:hAnsi="Century Gothic" w:eastAsia="宋体" w:cs="Times New Roman"/>
      <w:b/>
      <w:bCs/>
      <w:i/>
      <w:iCs/>
    </w:rPr>
  </w:style>
  <w:style w:type="paragraph" w:styleId="8">
    <w:name w:val="heading 7"/>
    <w:basedOn w:val="1"/>
    <w:next w:val="1"/>
    <w:link w:val="39"/>
    <w:unhideWhenUsed/>
    <w:qFormat/>
    <w:uiPriority w:val="9"/>
    <w:pPr>
      <w:keepNext/>
      <w:keepLines/>
      <w:spacing w:before="120" w:after="0"/>
      <w:outlineLvl w:val="6"/>
    </w:pPr>
    <w:rPr>
      <w:i/>
      <w:iCs/>
    </w:rPr>
  </w:style>
  <w:style w:type="paragraph" w:styleId="9">
    <w:name w:val="heading 8"/>
    <w:basedOn w:val="1"/>
    <w:next w:val="1"/>
    <w:link w:val="40"/>
    <w:unhideWhenUsed/>
    <w:qFormat/>
    <w:uiPriority w:val="9"/>
    <w:pPr>
      <w:keepNext/>
      <w:keepLines/>
      <w:spacing w:before="120" w:after="0"/>
      <w:outlineLvl w:val="7"/>
    </w:pPr>
    <w:rPr>
      <w:b/>
      <w:bCs/>
    </w:rPr>
  </w:style>
  <w:style w:type="paragraph" w:styleId="10">
    <w:name w:val="heading 9"/>
    <w:basedOn w:val="1"/>
    <w:next w:val="1"/>
    <w:link w:val="41"/>
    <w:unhideWhenUsed/>
    <w:qFormat/>
    <w:uiPriority w:val="9"/>
    <w:pPr>
      <w:keepNext/>
      <w:keepLines/>
      <w:spacing w:before="120" w:after="0"/>
      <w:outlineLvl w:val="8"/>
    </w:pPr>
    <w:rPr>
      <w:i/>
      <w:iCs/>
    </w:rPr>
  </w:style>
  <w:style w:type="character" w:default="1" w:styleId="28">
    <w:name w:val="Default Paragraph Font"/>
    <w:unhideWhenUsed/>
    <w:qFormat/>
    <w:uiPriority w:val="1"/>
  </w:style>
  <w:style w:type="table" w:default="1" w:styleId="26">
    <w:name w:val="Normal Table"/>
    <w:unhideWhenUsed/>
    <w:qFormat/>
    <w:uiPriority w:val="99"/>
    <w:tblPr>
      <w:tblStyle w:val="26"/>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42"/>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ascii="宋体" w:hAnsi="Courier New" w:cs="Courier New"/>
    </w:rPr>
  </w:style>
  <w:style w:type="paragraph" w:styleId="17">
    <w:name w:val="Balloon Text"/>
    <w:basedOn w:val="1"/>
    <w:link w:val="44"/>
    <w:unhideWhenUsed/>
    <w:qFormat/>
    <w:uiPriority w:val="99"/>
    <w:pPr>
      <w:spacing w:after="0" w:line="240" w:lineRule="auto"/>
    </w:pPr>
    <w:rPr>
      <w:sz w:val="18"/>
      <w:szCs w:val="18"/>
    </w:rPr>
  </w:style>
  <w:style w:type="paragraph" w:styleId="18">
    <w:name w:val="footer"/>
    <w:basedOn w:val="1"/>
    <w:link w:val="4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7"/>
    <w:qFormat/>
    <w:uiPriority w:val="11"/>
    <w:pPr>
      <w:spacing w:after="240"/>
      <w:jc w:val="center"/>
    </w:pPr>
    <w:rPr>
      <w:rFonts w:ascii="Century Gothic" w:hAnsi="Century Gothic" w:eastAsia="宋体" w:cs="Times New Roman"/>
      <w:sz w:val="24"/>
      <w:szCs w:val="24"/>
    </w:rPr>
  </w:style>
  <w:style w:type="paragraph" w:styleId="22">
    <w:name w:val="Body Text Indent 3"/>
    <w:basedOn w:val="1"/>
    <w:link w:val="4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Normal (Web)"/>
    <w:basedOn w:val="1"/>
    <w:unhideWhenUsed/>
    <w:qFormat/>
    <w:uiPriority w:val="99"/>
    <w:pPr>
      <w:spacing w:beforeAutospacing="1" w:after="100" w:afterAutospacing="1"/>
      <w:jc w:val="left"/>
    </w:pPr>
    <w:rPr>
      <w:rFonts w:cs="Times New Roman"/>
      <w:sz w:val="24"/>
    </w:rPr>
  </w:style>
  <w:style w:type="paragraph" w:styleId="25">
    <w:name w:val="Title"/>
    <w:basedOn w:val="1"/>
    <w:next w:val="1"/>
    <w:link w:val="49"/>
    <w:qFormat/>
    <w:uiPriority w:val="10"/>
    <w:pPr>
      <w:spacing w:after="0" w:line="240" w:lineRule="auto"/>
      <w:contextualSpacing/>
      <w:jc w:val="center"/>
    </w:pPr>
    <w:rPr>
      <w:rFonts w:ascii="Century Gothic" w:hAnsi="Century Gothic" w:eastAsia="宋体" w:cs="Times New Roman"/>
      <w:b/>
      <w:bCs/>
      <w:spacing w:val="-7"/>
      <w:sz w:val="48"/>
      <w:szCs w:val="48"/>
    </w:rPr>
  </w:style>
  <w:style w:type="table" w:styleId="27">
    <w:name w:val="Table Grid"/>
    <w:basedOn w:val="26"/>
    <w:qFormat/>
    <w:uiPriority w:val="0"/>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page number"/>
    <w:basedOn w:val="28"/>
    <w:qFormat/>
    <w:uiPriority w:val="99"/>
    <w:rPr>
      <w:rFonts w:cs="Times New Roman"/>
    </w:rPr>
  </w:style>
  <w:style w:type="character" w:styleId="31">
    <w:name w:val="Emphasis"/>
    <w:basedOn w:val="28"/>
    <w:qFormat/>
    <w:uiPriority w:val="20"/>
    <w:rPr>
      <w:i/>
      <w:iCs/>
      <w:color w:val="auto"/>
    </w:rPr>
  </w:style>
  <w:style w:type="character" w:styleId="32">
    <w:name w:val="Hyperlink"/>
    <w:basedOn w:val="28"/>
    <w:unhideWhenUsed/>
    <w:qFormat/>
    <w:uiPriority w:val="99"/>
    <w:rPr>
      <w:color w:val="F49100"/>
      <w:u w:val="single"/>
    </w:rPr>
  </w:style>
  <w:style w:type="character" w:customStyle="1" w:styleId="33">
    <w:name w:val="标题 1 字符"/>
    <w:basedOn w:val="28"/>
    <w:link w:val="2"/>
    <w:qFormat/>
    <w:uiPriority w:val="9"/>
    <w:rPr>
      <w:rFonts w:ascii="Century Gothic" w:hAnsi="Century Gothic" w:eastAsia="宋体" w:cs="Times New Roman"/>
      <w:b/>
      <w:bCs/>
      <w:caps/>
      <w:spacing w:val="4"/>
      <w:sz w:val="28"/>
      <w:szCs w:val="28"/>
    </w:rPr>
  </w:style>
  <w:style w:type="character" w:customStyle="1" w:styleId="34">
    <w:name w:val="标题 2 字符"/>
    <w:basedOn w:val="28"/>
    <w:link w:val="3"/>
    <w:semiHidden/>
    <w:qFormat/>
    <w:uiPriority w:val="9"/>
    <w:rPr>
      <w:rFonts w:ascii="Century Gothic" w:hAnsi="Century Gothic" w:eastAsia="宋体" w:cs="Times New Roman"/>
      <w:b/>
      <w:bCs/>
      <w:sz w:val="28"/>
      <w:szCs w:val="28"/>
    </w:rPr>
  </w:style>
  <w:style w:type="character" w:customStyle="1" w:styleId="35">
    <w:name w:val="标题 3 字符"/>
    <w:basedOn w:val="28"/>
    <w:link w:val="4"/>
    <w:semiHidden/>
    <w:qFormat/>
    <w:uiPriority w:val="9"/>
    <w:rPr>
      <w:rFonts w:ascii="Century Gothic" w:hAnsi="Century Gothic" w:eastAsia="宋体" w:cs="Times New Roman"/>
      <w:spacing w:val="4"/>
      <w:sz w:val="24"/>
      <w:szCs w:val="24"/>
    </w:rPr>
  </w:style>
  <w:style w:type="character" w:customStyle="1" w:styleId="36">
    <w:name w:val="标题 4 字符"/>
    <w:basedOn w:val="28"/>
    <w:link w:val="5"/>
    <w:semiHidden/>
    <w:qFormat/>
    <w:uiPriority w:val="9"/>
    <w:rPr>
      <w:rFonts w:ascii="Century Gothic" w:hAnsi="Century Gothic" w:eastAsia="宋体" w:cs="Times New Roman"/>
      <w:i/>
      <w:iCs/>
      <w:sz w:val="24"/>
      <w:szCs w:val="24"/>
    </w:rPr>
  </w:style>
  <w:style w:type="character" w:customStyle="1" w:styleId="37">
    <w:name w:val="标题 5 字符"/>
    <w:basedOn w:val="28"/>
    <w:link w:val="6"/>
    <w:semiHidden/>
    <w:qFormat/>
    <w:uiPriority w:val="9"/>
    <w:rPr>
      <w:rFonts w:ascii="Century Gothic" w:hAnsi="Century Gothic" w:eastAsia="宋体" w:cs="Times New Roman"/>
      <w:b/>
      <w:bCs/>
    </w:rPr>
  </w:style>
  <w:style w:type="character" w:customStyle="1" w:styleId="38">
    <w:name w:val="标题 6 字符"/>
    <w:basedOn w:val="28"/>
    <w:link w:val="7"/>
    <w:semiHidden/>
    <w:qFormat/>
    <w:uiPriority w:val="9"/>
    <w:rPr>
      <w:rFonts w:ascii="Century Gothic" w:hAnsi="Century Gothic" w:eastAsia="宋体" w:cs="Times New Roman"/>
      <w:b/>
      <w:bCs/>
      <w:i/>
      <w:iCs/>
    </w:rPr>
  </w:style>
  <w:style w:type="character" w:customStyle="1" w:styleId="39">
    <w:name w:val="标题 7 字符"/>
    <w:basedOn w:val="28"/>
    <w:link w:val="8"/>
    <w:semiHidden/>
    <w:qFormat/>
    <w:uiPriority w:val="9"/>
    <w:rPr>
      <w:i/>
      <w:iCs/>
    </w:rPr>
  </w:style>
  <w:style w:type="character" w:customStyle="1" w:styleId="40">
    <w:name w:val="标题 8 字符"/>
    <w:basedOn w:val="28"/>
    <w:link w:val="9"/>
    <w:semiHidden/>
    <w:qFormat/>
    <w:uiPriority w:val="9"/>
    <w:rPr>
      <w:b/>
      <w:bCs/>
    </w:rPr>
  </w:style>
  <w:style w:type="character" w:customStyle="1" w:styleId="41">
    <w:name w:val="标题 9 字符"/>
    <w:basedOn w:val="28"/>
    <w:link w:val="10"/>
    <w:semiHidden/>
    <w:qFormat/>
    <w:uiPriority w:val="9"/>
    <w:rPr>
      <w:i/>
      <w:iCs/>
    </w:rPr>
  </w:style>
  <w:style w:type="character" w:customStyle="1" w:styleId="42">
    <w:name w:val="正文文本 字符"/>
    <w:basedOn w:val="28"/>
    <w:link w:val="14"/>
    <w:semiHidden/>
    <w:qFormat/>
    <w:uiPriority w:val="99"/>
  </w:style>
  <w:style w:type="character" w:customStyle="1" w:styleId="43">
    <w:name w:val="纯文本 字符"/>
    <w:basedOn w:val="28"/>
    <w:link w:val="16"/>
    <w:semiHidden/>
    <w:qFormat/>
    <w:uiPriority w:val="99"/>
    <w:rPr>
      <w:rFonts w:ascii="宋体" w:hAnsi="Courier New" w:cs="Courier New"/>
    </w:rPr>
  </w:style>
  <w:style w:type="character" w:customStyle="1" w:styleId="44">
    <w:name w:val="批注框文本 字符"/>
    <w:basedOn w:val="28"/>
    <w:link w:val="17"/>
    <w:semiHidden/>
    <w:qFormat/>
    <w:uiPriority w:val="99"/>
    <w:rPr>
      <w:sz w:val="18"/>
      <w:szCs w:val="18"/>
    </w:rPr>
  </w:style>
  <w:style w:type="character" w:customStyle="1" w:styleId="45">
    <w:name w:val="页脚 字符"/>
    <w:basedOn w:val="28"/>
    <w:link w:val="18"/>
    <w:qFormat/>
    <w:uiPriority w:val="99"/>
    <w:rPr>
      <w:sz w:val="18"/>
      <w:szCs w:val="18"/>
    </w:rPr>
  </w:style>
  <w:style w:type="character" w:customStyle="1" w:styleId="46">
    <w:name w:val="页眉 字符"/>
    <w:basedOn w:val="28"/>
    <w:link w:val="19"/>
    <w:qFormat/>
    <w:uiPriority w:val="99"/>
    <w:rPr>
      <w:sz w:val="18"/>
      <w:szCs w:val="18"/>
    </w:rPr>
  </w:style>
  <w:style w:type="character" w:customStyle="1" w:styleId="47">
    <w:name w:val="副标题 字符"/>
    <w:basedOn w:val="28"/>
    <w:link w:val="21"/>
    <w:qFormat/>
    <w:uiPriority w:val="11"/>
    <w:rPr>
      <w:rFonts w:ascii="Century Gothic" w:hAnsi="Century Gothic" w:eastAsia="宋体" w:cs="Times New Roman"/>
      <w:sz w:val="24"/>
      <w:szCs w:val="24"/>
    </w:rPr>
  </w:style>
  <w:style w:type="character" w:customStyle="1" w:styleId="48">
    <w:name w:val="正文文本缩进 3 字符"/>
    <w:basedOn w:val="28"/>
    <w:link w:val="22"/>
    <w:qFormat/>
    <w:uiPriority w:val="0"/>
    <w:rPr>
      <w:rFonts w:ascii="Times New Roman" w:hAnsi="Times New Roman" w:eastAsia="宋体" w:cs="Times New Roman"/>
      <w:kern w:val="2"/>
      <w:sz w:val="16"/>
      <w:szCs w:val="16"/>
    </w:rPr>
  </w:style>
  <w:style w:type="character" w:customStyle="1" w:styleId="49">
    <w:name w:val="标题 字符"/>
    <w:basedOn w:val="28"/>
    <w:link w:val="25"/>
    <w:qFormat/>
    <w:uiPriority w:val="10"/>
    <w:rPr>
      <w:rFonts w:ascii="Century Gothic" w:hAnsi="Century Gothic" w:eastAsia="宋体" w:cs="Times New Roman"/>
      <w:b/>
      <w:bCs/>
      <w:spacing w:val="-7"/>
      <w:sz w:val="48"/>
      <w:szCs w:val="48"/>
    </w:rPr>
  </w:style>
  <w:style w:type="paragraph" w:styleId="50">
    <w:name w:val="No Spacing"/>
    <w:link w:val="51"/>
    <w:qFormat/>
    <w:uiPriority w:val="1"/>
    <w:pPr>
      <w:jc w:val="both"/>
    </w:pPr>
    <w:rPr>
      <w:rFonts w:ascii="Century Gothic" w:hAnsi="Century Gothic" w:eastAsia="宋体" w:cs="Times New Roman"/>
      <w:sz w:val="22"/>
      <w:szCs w:val="22"/>
      <w:lang w:val="en-US" w:eastAsia="zh-CN" w:bidi="ar-SA"/>
    </w:rPr>
  </w:style>
  <w:style w:type="character" w:customStyle="1" w:styleId="51">
    <w:name w:val="无间隔 字符"/>
    <w:basedOn w:val="28"/>
    <w:link w:val="50"/>
    <w:qFormat/>
    <w:uiPriority w:val="1"/>
  </w:style>
  <w:style w:type="paragraph" w:styleId="52">
    <w:name w:val="Quote"/>
    <w:basedOn w:val="1"/>
    <w:next w:val="1"/>
    <w:link w:val="53"/>
    <w:qFormat/>
    <w:uiPriority w:val="29"/>
    <w:pPr>
      <w:spacing w:before="200" w:line="264" w:lineRule="auto"/>
      <w:ind w:left="864" w:right="864"/>
      <w:jc w:val="center"/>
    </w:pPr>
    <w:rPr>
      <w:rFonts w:ascii="Century Gothic" w:hAnsi="Century Gothic" w:eastAsia="宋体" w:cs="Times New Roman"/>
      <w:i/>
      <w:iCs/>
      <w:sz w:val="24"/>
      <w:szCs w:val="24"/>
    </w:rPr>
  </w:style>
  <w:style w:type="character" w:customStyle="1" w:styleId="53">
    <w:name w:val="引用 字符"/>
    <w:basedOn w:val="28"/>
    <w:link w:val="52"/>
    <w:qFormat/>
    <w:uiPriority w:val="29"/>
    <w:rPr>
      <w:rFonts w:ascii="Century Gothic" w:hAnsi="Century Gothic" w:eastAsia="宋体" w:cs="Times New Roman"/>
      <w:i/>
      <w:iCs/>
      <w:sz w:val="24"/>
      <w:szCs w:val="24"/>
    </w:rPr>
  </w:style>
  <w:style w:type="paragraph" w:styleId="54">
    <w:name w:val="Intense Quote"/>
    <w:basedOn w:val="1"/>
    <w:next w:val="1"/>
    <w:link w:val="55"/>
    <w:qFormat/>
    <w:uiPriority w:val="30"/>
    <w:pPr>
      <w:spacing w:before="100" w:beforeAutospacing="1" w:after="240"/>
      <w:ind w:left="936" w:right="936"/>
      <w:jc w:val="center"/>
    </w:pPr>
    <w:rPr>
      <w:rFonts w:ascii="Century Gothic" w:hAnsi="Century Gothic" w:eastAsia="宋体" w:cs="Times New Roman"/>
      <w:sz w:val="26"/>
      <w:szCs w:val="26"/>
    </w:rPr>
  </w:style>
  <w:style w:type="character" w:customStyle="1" w:styleId="55">
    <w:name w:val="明显引用 字符"/>
    <w:basedOn w:val="28"/>
    <w:link w:val="54"/>
    <w:qFormat/>
    <w:uiPriority w:val="30"/>
    <w:rPr>
      <w:rFonts w:ascii="Century Gothic" w:hAnsi="Century Gothic" w:eastAsia="宋体" w:cs="Times New Roman"/>
      <w:sz w:val="26"/>
      <w:szCs w:val="26"/>
    </w:rPr>
  </w:style>
  <w:style w:type="character" w:customStyle="1" w:styleId="56">
    <w:name w:val="不明显强调1"/>
    <w:basedOn w:val="28"/>
    <w:qFormat/>
    <w:uiPriority w:val="19"/>
    <w:rPr>
      <w:i/>
      <w:iCs/>
      <w:color w:val="auto"/>
    </w:rPr>
  </w:style>
  <w:style w:type="character" w:customStyle="1" w:styleId="57">
    <w:name w:val="明显强调1"/>
    <w:basedOn w:val="28"/>
    <w:qFormat/>
    <w:uiPriority w:val="21"/>
    <w:rPr>
      <w:b/>
      <w:bCs/>
      <w:i/>
      <w:iCs/>
      <w:color w:val="auto"/>
    </w:rPr>
  </w:style>
  <w:style w:type="character" w:customStyle="1" w:styleId="58">
    <w:name w:val="不明显参考1"/>
    <w:basedOn w:val="28"/>
    <w:qFormat/>
    <w:uiPriority w:val="31"/>
    <w:rPr>
      <w:smallCaps/>
      <w:color w:val="auto"/>
      <w:u w:val="single" w:color="7E7E7E"/>
    </w:rPr>
  </w:style>
  <w:style w:type="character" w:customStyle="1" w:styleId="59">
    <w:name w:val="明显参考1"/>
    <w:basedOn w:val="28"/>
    <w:qFormat/>
    <w:uiPriority w:val="32"/>
    <w:rPr>
      <w:b/>
      <w:bCs/>
      <w:smallCaps/>
      <w:color w:val="auto"/>
      <w:u w:val="single"/>
    </w:rPr>
  </w:style>
  <w:style w:type="character" w:customStyle="1" w:styleId="60">
    <w:name w:val="书籍标题1"/>
    <w:basedOn w:val="28"/>
    <w:qFormat/>
    <w:uiPriority w:val="33"/>
    <w:rPr>
      <w:b/>
      <w:bCs/>
      <w:smallCaps/>
      <w:color w:val="auto"/>
    </w:rPr>
  </w:style>
  <w:style w:type="paragraph" w:customStyle="1" w:styleId="61">
    <w:name w:val="TOC 标题1"/>
    <w:basedOn w:val="2"/>
    <w:next w:val="1"/>
    <w:unhideWhenUsed/>
    <w:qFormat/>
    <w:uiPriority w:val="39"/>
    <w:pPr>
      <w:outlineLvl w:val="9"/>
    </w:p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3">
    <w:name w:val="List Paragraph"/>
    <w:basedOn w:val="1"/>
    <w:qFormat/>
    <w:uiPriority w:val="34"/>
    <w:pPr>
      <w:ind w:firstLine="420" w:firstLineChars="200"/>
    </w:pPr>
  </w:style>
  <w:style w:type="paragraph" w:customStyle="1" w:styleId="64">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5">
    <w:name w:val="纯文本 Char"/>
    <w:qFormat/>
    <w:uiPriority w:val="0"/>
    <w:rPr>
      <w:rFonts w:ascii="宋体" w:hAnsi="Courier New" w:eastAsia="宋体"/>
      <w:kern w:val="2"/>
      <w:sz w:val="21"/>
      <w:lang w:val="en-US" w:eastAsia="zh-CN" w:bidi="ar-SA"/>
    </w:rPr>
  </w:style>
  <w:style w:type="character" w:customStyle="1" w:styleId="66">
    <w:name w:val="font11"/>
    <w:basedOn w:val="28"/>
    <w:qFormat/>
    <w:uiPriority w:val="0"/>
    <w:rPr>
      <w:rFonts w:hint="eastAsia" w:ascii="微软雅黑" w:hAnsi="微软雅黑" w:eastAsia="微软雅黑" w:cs="微软雅黑"/>
      <w:color w:val="000000"/>
      <w:sz w:val="16"/>
      <w:szCs w:val="16"/>
      <w:u w:val="none"/>
    </w:rPr>
  </w:style>
  <w:style w:type="character" w:customStyle="1" w:styleId="67">
    <w:name w:val="font01"/>
    <w:basedOn w:val="28"/>
    <w:qFormat/>
    <w:uiPriority w:val="0"/>
    <w:rPr>
      <w:rFonts w:hint="eastAsia" w:ascii="微软雅黑" w:hAnsi="微软雅黑" w:eastAsia="微软雅黑" w:cs="微软雅黑"/>
      <w:color w:val="FF0000"/>
      <w:sz w:val="16"/>
      <w:szCs w:val="16"/>
      <w:u w:val="none"/>
    </w:rPr>
  </w:style>
  <w:style w:type="paragraph" w:customStyle="1" w:styleId="68">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 w:type="character" w:customStyle="1" w:styleId="69">
    <w:name w:val="font91"/>
    <w:basedOn w:val="28"/>
    <w:qFormat/>
    <w:uiPriority w:val="0"/>
    <w:rPr>
      <w:rFonts w:hint="eastAsia" w:ascii="宋体" w:hAnsi="宋体" w:eastAsia="宋体" w:cs="宋体"/>
      <w:color w:val="000000"/>
      <w:sz w:val="20"/>
      <w:szCs w:val="20"/>
      <w:u w:val="none"/>
    </w:rPr>
  </w:style>
  <w:style w:type="character" w:customStyle="1" w:styleId="70">
    <w:name w:val="font101"/>
    <w:basedOn w:val="28"/>
    <w:qFormat/>
    <w:uiPriority w:val="0"/>
    <w:rPr>
      <w:rFonts w:hint="eastAsia" w:ascii="宋体" w:hAnsi="宋体" w:eastAsia="宋体" w:cs="宋体"/>
      <w:color w:val="000000"/>
      <w:sz w:val="20"/>
      <w:szCs w:val="20"/>
      <w:u w:val="none"/>
    </w:rPr>
  </w:style>
  <w:style w:type="paragraph" w:customStyle="1" w:styleId="71">
    <w:name w:val="cn"/>
    <w:basedOn w:val="1"/>
    <w:qFormat/>
    <w:uiPriority w:val="0"/>
    <w:pPr>
      <w:widowControl/>
      <w:spacing w:before="100" w:beforeAutospacing="1" w:after="100" w:afterAutospacing="1"/>
      <w:jc w:val="left"/>
    </w:pPr>
    <w:rPr>
      <w:sz w:val="18"/>
      <w:szCs w:val="18"/>
    </w:rPr>
  </w:style>
  <w:style w:type="character" w:customStyle="1" w:styleId="72">
    <w:name w:val="font61"/>
    <w:basedOn w:val="28"/>
    <w:qFormat/>
    <w:uiPriority w:val="0"/>
    <w:rPr>
      <w:rFonts w:hint="eastAsia" w:ascii="宋体" w:hAnsi="宋体" w:eastAsia="宋体" w:cs="宋体"/>
      <w:color w:val="000000"/>
      <w:sz w:val="20"/>
      <w:szCs w:val="20"/>
      <w:u w:val="none"/>
    </w:rPr>
  </w:style>
  <w:style w:type="character" w:customStyle="1" w:styleId="73">
    <w:name w:val="font71"/>
    <w:basedOn w:val="28"/>
    <w:qFormat/>
    <w:uiPriority w:val="0"/>
    <w:rPr>
      <w:rFonts w:hint="default" w:ascii="Times New Roman" w:hAnsi="Times New Roman" w:cs="Times New Roman"/>
      <w:color w:val="000000"/>
      <w:sz w:val="18"/>
      <w:szCs w:val="18"/>
      <w:u w:val="none"/>
    </w:rPr>
  </w:style>
  <w:style w:type="character" w:customStyle="1" w:styleId="74">
    <w:name w:val="font141"/>
    <w:basedOn w:val="28"/>
    <w:qFormat/>
    <w:uiPriority w:val="0"/>
    <w:rPr>
      <w:rFonts w:hint="eastAsia" w:ascii="宋体" w:hAnsi="宋体" w:eastAsia="宋体" w:cs="宋体"/>
      <w:color w:val="FF0000"/>
      <w:sz w:val="20"/>
      <w:szCs w:val="20"/>
      <w:u w:val="none"/>
    </w:rPr>
  </w:style>
  <w:style w:type="character" w:customStyle="1" w:styleId="75">
    <w:name w:val="font41"/>
    <w:basedOn w:val="28"/>
    <w:qFormat/>
    <w:uiPriority w:val="0"/>
    <w:rPr>
      <w:rFonts w:hint="eastAsia" w:ascii="宋体" w:hAnsi="宋体" w:eastAsia="宋体" w:cs="宋体"/>
      <w:color w:val="000000"/>
      <w:sz w:val="18"/>
      <w:szCs w:val="18"/>
      <w:u w:val="none"/>
    </w:rPr>
  </w:style>
  <w:style w:type="character" w:customStyle="1" w:styleId="76">
    <w:name w:val="font21"/>
    <w:basedOn w:val="28"/>
    <w:qFormat/>
    <w:uiPriority w:val="0"/>
    <w:rPr>
      <w:rFonts w:hint="eastAsia" w:ascii="仿宋" w:hAnsi="仿宋" w:eastAsia="仿宋" w:cs="仿宋"/>
      <w:b/>
      <w:bCs/>
      <w:color w:val="000000"/>
      <w:sz w:val="20"/>
      <w:szCs w:val="20"/>
      <w:u w:val="none"/>
    </w:rPr>
  </w:style>
  <w:style w:type="character" w:customStyle="1" w:styleId="77">
    <w:name w:val="font31"/>
    <w:basedOn w:val="28"/>
    <w:qFormat/>
    <w:uiPriority w:val="0"/>
    <w:rPr>
      <w:rFonts w:hint="eastAsia" w:ascii="宋体" w:hAnsi="宋体" w:eastAsia="宋体" w:cs="宋体"/>
      <w:b/>
      <w:bCs/>
      <w:color w:val="000000"/>
      <w:sz w:val="20"/>
      <w:szCs w:val="20"/>
      <w:u w:val="none"/>
    </w:rPr>
  </w:style>
  <w:style w:type="paragraph" w:customStyle="1" w:styleId="78">
    <w:name w:val="普通(网站)1"/>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kern w:val="0"/>
      <w:sz w:val="24"/>
      <w:szCs w:val="24"/>
      <w:lang w:val="en-US" w:eastAsia="zh-CN" w:bidi="ar"/>
    </w:rPr>
  </w:style>
  <w:style w:type="paragraph" w:customStyle="1" w:styleId="79">
    <w:name w:val="页脚1"/>
    <w:basedOn w:val="1"/>
    <w:qFormat/>
    <w:uiPriority w:val="0"/>
    <w:pPr>
      <w:tabs>
        <w:tab w:val="center" w:pos="4153"/>
        <w:tab w:val="right" w:pos="8306"/>
      </w:tabs>
      <w:snapToGrid w:val="0"/>
      <w:jc w:val="left"/>
    </w:pPr>
    <w:rPr>
      <w:rFonts w:ascii="Calibri" w:hAnsi="Calibri"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3260</Words>
  <Characters>3511</Characters>
  <Lines>26</Lines>
  <Paragraphs>7</Paragraphs>
  <TotalTime>31</TotalTime>
  <ScaleCrop>false</ScaleCrop>
  <LinksUpToDate>false</LinksUpToDate>
  <CharactersWithSpaces>3716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Deity雅</cp:lastModifiedBy>
  <dcterms:modified xsi:type="dcterms:W3CDTF">2023-10-09T10:13:27Z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9BB57BAEB7E54D8CA1479C59CDD1FADD_13</vt:lpwstr>
  </property>
</Properties>
</file>