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仿宋" w:hAnsi="仿宋" w:eastAsia="仿宋"/>
          <w:b/>
          <w:color w:val="000000" w:themeColor="text1"/>
          <w14:textFill>
            <w14:solidFill>
              <w14:schemeClr w14:val="tx1"/>
            </w14:solidFill>
          </w14:textFill>
        </w:rPr>
      </w:pPr>
    </w:p>
    <w:p>
      <w:pPr>
        <w:spacing w:line="240" w:lineRule="auto"/>
        <w:jc w:val="center"/>
        <w:rPr>
          <w:rFonts w:ascii="仿宋" w:hAnsi="仿宋" w:eastAsia="仿宋"/>
          <w:b/>
          <w:color w:val="000000" w:themeColor="text1"/>
          <w:sz w:val="40"/>
          <w:szCs w:val="40"/>
          <w14:textFill>
            <w14:solidFill>
              <w14:schemeClr w14:val="tx1"/>
            </w14:solidFill>
          </w14:textFill>
        </w:rPr>
      </w:pPr>
      <w:r>
        <w:rPr>
          <w:rFonts w:hint="eastAsia" w:ascii="仿宋" w:hAnsi="仿宋" w:eastAsia="仿宋"/>
          <w:b/>
          <w:color w:val="000000" w:themeColor="text1"/>
          <w:sz w:val="40"/>
          <w:szCs w:val="40"/>
          <w14:textFill>
            <w14:solidFill>
              <w14:schemeClr w14:val="tx1"/>
            </w14:solidFill>
          </w14:textFill>
        </w:rPr>
        <w:t>重庆外语外事学院</w:t>
      </w:r>
      <w:r>
        <w:rPr>
          <w:rFonts w:ascii="仿宋" w:hAnsi="仿宋" w:eastAsia="仿宋"/>
          <w:b/>
          <w:color w:val="000000" w:themeColor="text1"/>
          <w:sz w:val="40"/>
          <w:szCs w:val="40"/>
          <w14:textFill>
            <w14:solidFill>
              <w14:schemeClr w14:val="tx1"/>
            </w14:solidFill>
          </w14:textFill>
        </w:rPr>
        <w:drawing>
          <wp:anchor distT="0" distB="0" distL="114300" distR="114300" simplePos="0" relativeHeight="251659264" behindDoc="0" locked="0" layoutInCell="1" allowOverlap="1">
            <wp:simplePos x="0" y="0"/>
            <wp:positionH relativeFrom="column">
              <wp:posOffset>2540</wp:posOffset>
            </wp:positionH>
            <wp:positionV relativeFrom="paragraph">
              <wp:posOffset>-194310</wp:posOffset>
            </wp:positionV>
            <wp:extent cx="5939790" cy="1324610"/>
            <wp:effectExtent l="0" t="0" r="381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0" w:name="_Hlk38472698"/>
      <w:r>
        <w:rPr>
          <w:rFonts w:hint="eastAsia" w:ascii="仿宋" w:hAnsi="仿宋" w:eastAsia="仿宋"/>
          <w:b/>
          <w:color w:val="000000" w:themeColor="text1"/>
          <w:sz w:val="40"/>
          <w:szCs w:val="40"/>
          <w14:textFill>
            <w14:solidFill>
              <w14:schemeClr w14:val="tx1"/>
            </w14:solidFill>
          </w14:textFill>
        </w:rPr>
        <w:t>智能琴房管理系统采购项目</w:t>
      </w:r>
    </w:p>
    <w:p/>
    <w:bookmarkEnd w:id="0"/>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公</w:t>
      </w:r>
    </w:p>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开</w:t>
      </w:r>
    </w:p>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询</w:t>
      </w:r>
    </w:p>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价</w:t>
      </w:r>
    </w:p>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邀</w:t>
      </w:r>
    </w:p>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请</w:t>
      </w:r>
    </w:p>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函</w:t>
      </w:r>
    </w:p>
    <w:p>
      <w:bookmarkStart w:id="1" w:name="_Toc225669277"/>
      <w:bookmarkStart w:id="2" w:name="_Toc212454753"/>
      <w:bookmarkStart w:id="3" w:name="_Toc236021402"/>
      <w:bookmarkStart w:id="4" w:name="_Toc273178686"/>
      <w:bookmarkStart w:id="5" w:name="_Toc160880487"/>
      <w:bookmarkStart w:id="6" w:name="_Toc267060162"/>
      <w:bookmarkStart w:id="7" w:name="_Toc235437942"/>
      <w:bookmarkStart w:id="8" w:name="_Toc235438227"/>
      <w:bookmarkStart w:id="9" w:name="_Toc267060407"/>
      <w:bookmarkStart w:id="10" w:name="_Toc219800200"/>
      <w:bookmarkStart w:id="11" w:name="_Toc217891359"/>
      <w:bookmarkStart w:id="12" w:name="_Toc169332794"/>
      <w:bookmarkStart w:id="13" w:name="_Toc253066567"/>
      <w:bookmarkStart w:id="14" w:name="_Toc267059010"/>
      <w:bookmarkStart w:id="15" w:name="_Toc267059161"/>
      <w:bookmarkStart w:id="16" w:name="_Toc259692600"/>
      <w:bookmarkStart w:id="17" w:name="_Toc169332904"/>
      <w:bookmarkStart w:id="18" w:name="_Toc170798743"/>
      <w:bookmarkStart w:id="19" w:name="_Toc267060022"/>
      <w:bookmarkStart w:id="20" w:name="_Toc216241307"/>
      <w:bookmarkStart w:id="21" w:name="_Toc227058483"/>
      <w:bookmarkStart w:id="22" w:name="_Toc258401210"/>
      <w:bookmarkStart w:id="23" w:name="_Toc266870861"/>
      <w:bookmarkStart w:id="24" w:name="_Toc254790852"/>
      <w:bookmarkStart w:id="25" w:name="_Toc259520819"/>
      <w:bookmarkStart w:id="26" w:name="_Toc211937196"/>
      <w:bookmarkStart w:id="27" w:name="_Toc251613780"/>
      <w:bookmarkStart w:id="28" w:name="_Toc266870386"/>
      <w:bookmarkStart w:id="29" w:name="_Toc251586187"/>
      <w:bookmarkStart w:id="30" w:name="_Toc267059633"/>
      <w:bookmarkStart w:id="31" w:name="_Toc266868924"/>
      <w:bookmarkStart w:id="32" w:name="_Toc235438297"/>
      <w:bookmarkStart w:id="33" w:name="_Toc223146565"/>
      <w:bookmarkStart w:id="34" w:name="_Toc267059899"/>
      <w:bookmarkStart w:id="35" w:name="_Toc177985424"/>
      <w:bookmarkStart w:id="36" w:name="_Toc267059786"/>
      <w:bookmarkStart w:id="37" w:name="_Toc255974963"/>
      <w:bookmarkStart w:id="38" w:name="_Toc212526081"/>
      <w:bookmarkStart w:id="39" w:name="_Toc259692693"/>
      <w:bookmarkStart w:id="40" w:name="_Toc249325665"/>
      <w:bookmarkStart w:id="41" w:name="_Toc212456146"/>
      <w:bookmarkStart w:id="42" w:name="_Toc207014580"/>
      <w:bookmarkStart w:id="43" w:name="_Toc212530253"/>
      <w:bookmarkStart w:id="44" w:name="_Toc267059519"/>
      <w:bookmarkStart w:id="45" w:name="_Toc266868624"/>
    </w:p>
    <w:p>
      <w:pPr>
        <w:spacing w:after="0" w:line="500" w:lineRule="exact"/>
        <w:ind w:firstLine="1405" w:firstLineChars="500"/>
        <w:rPr>
          <w:rFonts w:ascii="Times New Roman" w:hAnsi="Times New Roman" w:eastAsia="仿宋" w:cs="Times New Roman"/>
          <w:b/>
          <w:color w:val="000000" w:themeColor="text1"/>
          <w:sz w:val="28"/>
          <w:szCs w:val="32"/>
          <w:shd w:val="clear" w:color="auto" w:fill="FFFFFF" w:themeFill="background1"/>
          <w14:textFill>
            <w14:solidFill>
              <w14:schemeClr w14:val="tx1"/>
            </w14:solidFill>
          </w14:textFill>
        </w:rPr>
      </w:pPr>
      <w:r>
        <w:rPr>
          <w:rFonts w:hint="eastAsia" w:ascii="Times New Roman" w:hAnsi="Times New Roman" w:eastAsia="仿宋" w:cs="Times New Roman"/>
          <w:b/>
          <w:color w:val="000000" w:themeColor="text1"/>
          <w:sz w:val="28"/>
          <w:szCs w:val="32"/>
          <w:shd w:val="clear" w:color="auto" w:fill="FFFFFF" w:themeFill="background1"/>
          <w14:textFill>
            <w14:solidFill>
              <w14:schemeClr w14:val="tx1"/>
            </w14:solidFill>
          </w14:textFill>
        </w:rPr>
        <w:t>项目编号：</w:t>
      </w:r>
      <w:bookmarkStart w:id="46" w:name="_Toc169332792"/>
      <w:bookmarkStart w:id="47" w:name="_Toc160880118"/>
      <w:bookmarkStart w:id="48" w:name="_Toc160880485"/>
      <w:r>
        <w:rPr>
          <w:rFonts w:hint="eastAsia" w:ascii="Times New Roman" w:hAnsi="Times New Roman" w:eastAsia="仿宋" w:cs="Times New Roman"/>
          <w:color w:val="000000" w:themeColor="text1"/>
          <w:sz w:val="28"/>
          <w:szCs w:val="32"/>
          <w:shd w:val="clear" w:color="auto" w:fill="FFFFFF" w:themeFill="background1"/>
          <w14:textFill>
            <w14:solidFill>
              <w14:schemeClr w14:val="tx1"/>
            </w14:solidFill>
          </w14:textFill>
        </w:rPr>
        <w:t>IFS-2023068</w:t>
      </w:r>
    </w:p>
    <w:p>
      <w:pPr>
        <w:pStyle w:val="55"/>
        <w:spacing w:line="360" w:lineRule="auto"/>
        <w:ind w:firstLine="1405" w:firstLineChars="500"/>
        <w:outlineLvl w:val="0"/>
        <w:rPr>
          <w:rFonts w:ascii="Times New Roman" w:eastAsia="仿宋"/>
          <w:b/>
          <w:color w:val="000000" w:themeColor="text1"/>
          <w:sz w:val="28"/>
          <w:szCs w:val="32"/>
          <w:shd w:val="clear" w:color="auto" w:fill="FFFFFF" w:themeFill="background1"/>
          <w14:textFill>
            <w14:solidFill>
              <w14:schemeClr w14:val="tx1"/>
            </w14:solidFill>
          </w14:textFill>
        </w:rPr>
      </w:pPr>
      <w:r>
        <w:rPr>
          <w:rFonts w:hint="eastAsia" w:ascii="Times New Roman" w:eastAsia="仿宋"/>
          <w:b/>
          <w:color w:val="000000" w:themeColor="text1"/>
          <w:sz w:val="28"/>
          <w:szCs w:val="32"/>
          <w:shd w:val="clear" w:color="auto" w:fill="FFFFFF" w:themeFill="background1"/>
          <w14:textFill>
            <w14:solidFill>
              <w14:schemeClr w14:val="tx1"/>
            </w14:solidFill>
          </w14:textFill>
        </w:rPr>
        <w:t>项目名称</w:t>
      </w:r>
      <w:bookmarkEnd w:id="46"/>
      <w:bookmarkEnd w:id="47"/>
      <w:bookmarkEnd w:id="48"/>
      <w:r>
        <w:rPr>
          <w:rFonts w:hint="eastAsia" w:ascii="Times New Roman" w:eastAsia="仿宋"/>
          <w:b/>
          <w:color w:val="000000" w:themeColor="text1"/>
          <w:sz w:val="28"/>
          <w:szCs w:val="32"/>
          <w:shd w:val="clear" w:color="auto" w:fill="FFFFFF" w:themeFill="background1"/>
          <w14:textFill>
            <w14:solidFill>
              <w14:schemeClr w14:val="tx1"/>
            </w14:solidFill>
          </w14:textFill>
        </w:rPr>
        <w:t>：重庆外语外事学院智能琴房管理系统采购项目</w:t>
      </w:r>
    </w:p>
    <w:p>
      <w:pPr>
        <w:pStyle w:val="55"/>
        <w:spacing w:line="360" w:lineRule="auto"/>
        <w:ind w:firstLine="1285" w:firstLineChars="400"/>
        <w:outlineLvl w:val="0"/>
        <w:rPr>
          <w:rFonts w:ascii="Times New Roman" w:eastAsia="仿宋"/>
          <w:b/>
          <w:color w:val="000000" w:themeColor="text1"/>
          <w:sz w:val="32"/>
          <w:szCs w:val="36"/>
          <w:shd w:val="clear" w:color="auto" w:fill="FFFFFF" w:themeFill="background1"/>
          <w14:textFill>
            <w14:solidFill>
              <w14:schemeClr w14:val="tx1"/>
            </w14:solidFill>
          </w14:textFill>
        </w:rPr>
      </w:pPr>
    </w:p>
    <w:p>
      <w:pPr>
        <w:pStyle w:val="55"/>
        <w:spacing w:line="360" w:lineRule="auto"/>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一、公开询价邀请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hint="eastAsia" w:ascii="仿宋" w:hAnsi="仿宋" w:eastAsia="仿宋"/>
          <w:b/>
          <w:color w:val="000000" w:themeColor="text1"/>
          <w:sz w:val="44"/>
          <w:szCs w:val="44"/>
          <w14:textFill>
            <w14:solidFill>
              <w14:schemeClr w14:val="tx1"/>
            </w14:solidFill>
          </w14:textFill>
        </w:rPr>
        <w:t>函</w:t>
      </w:r>
    </w:p>
    <w:p>
      <w:pPr>
        <w:spacing w:after="0" w:line="440" w:lineRule="exact"/>
        <w:ind w:firstLine="364" w:firstLineChars="152"/>
        <w:jc w:val="left"/>
        <w:rPr>
          <w:rFonts w:ascii="仿宋" w:hAnsi="仿宋" w:eastAsia="仿宋"/>
          <w:color w:val="000000" w:themeColor="text1"/>
          <w:sz w:val="24"/>
          <w:szCs w:val="24"/>
          <w14:textFill>
            <w14:solidFill>
              <w14:schemeClr w14:val="tx1"/>
            </w14:solidFill>
          </w14:textFill>
        </w:rPr>
      </w:pPr>
      <w:bookmarkStart w:id="49" w:name="_Hlk10840310"/>
      <w:r>
        <w:rPr>
          <w:rFonts w:hint="eastAsia" w:ascii="仿宋" w:hAnsi="仿宋" w:eastAsia="仿宋"/>
          <w:color w:val="000000" w:themeColor="text1"/>
          <w:sz w:val="24"/>
          <w:szCs w:val="24"/>
          <w14:textFill>
            <w14:solidFill>
              <w14:schemeClr w14:val="tx1"/>
            </w14:solidFill>
          </w14:textFill>
        </w:rPr>
        <w:t>重庆外语外事学院始建于2001年，是纳入国家普通高等教育招生计划、具有学士学位授予权的全日制普通本科高等学校。学校占地面积</w:t>
      </w:r>
      <w:r>
        <w:rPr>
          <w:rFonts w:ascii="仿宋" w:hAnsi="仿宋" w:eastAsia="仿宋"/>
          <w:color w:val="000000" w:themeColor="text1"/>
          <w:sz w:val="24"/>
          <w:szCs w:val="24"/>
          <w14:textFill>
            <w14:solidFill>
              <w14:schemeClr w14:val="tx1"/>
            </w14:solidFill>
          </w14:textFill>
        </w:rPr>
        <w:t>1572</w:t>
      </w:r>
      <w:r>
        <w:rPr>
          <w:rFonts w:hint="eastAsia" w:ascii="仿宋" w:hAnsi="仿宋" w:eastAsia="仿宋"/>
          <w:color w:val="000000" w:themeColor="text1"/>
          <w:sz w:val="24"/>
          <w:szCs w:val="24"/>
          <w14:textFill>
            <w14:solidFill>
              <w14:schemeClr w14:val="tx1"/>
            </w14:solidFill>
          </w14:textFill>
        </w:rPr>
        <w:t>亩，学生规模</w:t>
      </w:r>
      <w:r>
        <w:rPr>
          <w:rFonts w:ascii="仿宋" w:hAnsi="仿宋" w:eastAsia="仿宋"/>
          <w:color w:val="000000" w:themeColor="text1"/>
          <w:sz w:val="24"/>
          <w:szCs w:val="24"/>
          <w14:textFill>
            <w14:solidFill>
              <w14:schemeClr w14:val="tx1"/>
            </w14:solidFill>
          </w14:textFill>
        </w:rPr>
        <w:t>2.3</w:t>
      </w:r>
      <w:r>
        <w:rPr>
          <w:rFonts w:hint="eastAsia" w:ascii="仿宋" w:hAnsi="仿宋" w:eastAsia="仿宋"/>
          <w:color w:val="000000" w:themeColor="text1"/>
          <w:sz w:val="24"/>
          <w:szCs w:val="24"/>
          <w14:textFill>
            <w14:solidFill>
              <w14:schemeClr w14:val="tx1"/>
            </w14:solidFill>
          </w14:textFill>
        </w:rPr>
        <w:t>万余人。根据需要，对智能琴房管理系统采购项目进行公开询价，欢迎国内合格参与人参与。</w:t>
      </w:r>
    </w:p>
    <w:p>
      <w:pPr>
        <w:spacing w:after="0" w:line="440" w:lineRule="exact"/>
        <w:ind w:firstLine="366" w:firstLineChars="152"/>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一、项目说明</w:t>
      </w:r>
    </w:p>
    <w:p>
      <w:pPr>
        <w:widowControl w:val="0"/>
        <w:numPr>
          <w:ilvl w:val="1"/>
          <w:numId w:val="1"/>
        </w:numPr>
        <w:spacing w:after="0" w:line="4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项目编号：IFS-2023068</w:t>
      </w:r>
    </w:p>
    <w:p>
      <w:pPr>
        <w:widowControl w:val="0"/>
        <w:numPr>
          <w:ilvl w:val="255"/>
          <w:numId w:val="0"/>
        </w:numPr>
        <w:spacing w:after="0" w:line="440" w:lineRule="exact"/>
        <w:ind w:firstLine="42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项目名称：智能琴房管理系统采购项目</w:t>
      </w:r>
    </w:p>
    <w:p>
      <w:pPr>
        <w:numPr>
          <w:ilvl w:val="255"/>
          <w:numId w:val="0"/>
        </w:numPr>
        <w:spacing w:after="0" w:line="440" w:lineRule="exact"/>
        <w:ind w:firstLine="42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数量及主要技术要求:详见《公开询价项目介绍》</w:t>
      </w:r>
    </w:p>
    <w:p>
      <w:pPr>
        <w:widowControl w:val="0"/>
        <w:numPr>
          <w:ilvl w:val="255"/>
          <w:numId w:val="0"/>
        </w:numPr>
        <w:spacing w:after="0" w:line="440" w:lineRule="exact"/>
        <w:ind w:left="42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参与人资格标准：</w:t>
      </w:r>
    </w:p>
    <w:p>
      <w:pPr>
        <w:pStyle w:val="58"/>
        <w:numPr>
          <w:ilvl w:val="0"/>
          <w:numId w:val="2"/>
        </w:numPr>
        <w:spacing w:after="0" w:line="44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参与人应具有独立法人资格的生产厂商或授权经销商。</w:t>
      </w:r>
    </w:p>
    <w:p>
      <w:pPr>
        <w:pStyle w:val="58"/>
        <w:numPr>
          <w:ilvl w:val="0"/>
          <w:numId w:val="2"/>
        </w:numPr>
        <w:spacing w:after="0" w:line="44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参与人应具有合法有效的营业执照，应具有提供智能管理系统的资格与能力。</w:t>
      </w:r>
    </w:p>
    <w:p>
      <w:pPr>
        <w:pStyle w:val="58"/>
        <w:numPr>
          <w:ilvl w:val="0"/>
          <w:numId w:val="2"/>
        </w:numPr>
        <w:spacing w:after="0" w:line="44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参与单位应成立3年以上，自2</w:t>
      </w:r>
      <w:r>
        <w:rPr>
          <w:rFonts w:ascii="仿宋" w:hAnsi="仿宋" w:eastAsia="仿宋"/>
          <w:color w:val="000000" w:themeColor="text1"/>
          <w:sz w:val="24"/>
          <w:szCs w:val="24"/>
          <w14:textFill>
            <w14:solidFill>
              <w14:schemeClr w14:val="tx1"/>
            </w14:solidFill>
          </w14:textFill>
        </w:rPr>
        <w:t>020</w:t>
      </w:r>
      <w:r>
        <w:rPr>
          <w:rFonts w:hint="eastAsia" w:ascii="仿宋" w:hAnsi="仿宋" w:eastAsia="仿宋"/>
          <w:color w:val="000000" w:themeColor="text1"/>
          <w:sz w:val="24"/>
          <w:szCs w:val="24"/>
          <w14:textFill>
            <w14:solidFill>
              <w14:schemeClr w14:val="tx1"/>
            </w14:solidFill>
          </w14:textFill>
        </w:rPr>
        <w:t>年起具有3个及以上（含3个）同类项目和良好的售后服务应用成功案例（提供合同、发票复印件)，近三年未发生重大安全或质量事故，近五年内无被拉黑名单记录、无行政处罚记录，无被执行人、历史被执行人和失信被执行人记录。</w:t>
      </w:r>
    </w:p>
    <w:p>
      <w:pPr>
        <w:widowControl w:val="0"/>
        <w:tabs>
          <w:tab w:val="left" w:pos="839"/>
        </w:tabs>
        <w:spacing w:after="0" w:line="440" w:lineRule="exact"/>
        <w:ind w:left="83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参与人有依法缴纳税金的良好记录。</w:t>
      </w:r>
    </w:p>
    <w:p>
      <w:pPr>
        <w:pStyle w:val="58"/>
        <w:widowControl w:val="0"/>
        <w:numPr>
          <w:ilvl w:val="0"/>
          <w:numId w:val="3"/>
        </w:numPr>
        <w:tabs>
          <w:tab w:val="left" w:pos="839"/>
        </w:tabs>
        <w:spacing w:after="0" w:line="44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参与人应提供下列资格证明文件，否则其响应文件将被拒绝：</w:t>
      </w:r>
    </w:p>
    <w:p>
      <w:pPr>
        <w:widowControl w:val="0"/>
        <w:tabs>
          <w:tab w:val="left" w:pos="839"/>
        </w:tabs>
        <w:spacing w:after="0" w:line="440" w:lineRule="exact"/>
        <w:ind w:left="839"/>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营业执照副本、税务登记证副本、组织机构代码证副本（三证合一的只需要提供带有社会信用代码的营业执照）</w:t>
      </w:r>
    </w:p>
    <w:p>
      <w:pPr>
        <w:widowControl w:val="0"/>
        <w:tabs>
          <w:tab w:val="left" w:pos="839"/>
        </w:tabs>
        <w:spacing w:after="0" w:line="440" w:lineRule="exact"/>
        <w:ind w:left="839"/>
        <w:rPr>
          <w:rFonts w:ascii="仿宋" w:hAnsi="仿宋"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注：参与人提交的以上要求的文件或证明的复印件应是最新（有效）、清晰，注明“与原件一致”并加盖参与人公章。</w:t>
      </w:r>
    </w:p>
    <w:p>
      <w:pPr>
        <w:spacing w:after="0" w:line="440" w:lineRule="exact"/>
        <w:ind w:left="1070" w:leftChars="322" w:hanging="362" w:hangingChars="151"/>
        <w:jc w:val="left"/>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报价响应文件递交方式：</w:t>
      </w:r>
      <w:r>
        <w:rPr>
          <w:rFonts w:hint="eastAsia" w:ascii="仿宋" w:hAnsi="仿宋" w:eastAsia="仿宋"/>
          <w:b/>
          <w:color w:val="000000" w:themeColor="text1"/>
          <w:sz w:val="24"/>
          <w:szCs w:val="24"/>
          <w14:textFill>
            <w14:solidFill>
              <w14:schemeClr w14:val="tx1"/>
            </w14:solidFill>
          </w14:textFill>
        </w:rPr>
        <w:t>密封报价，按规定时间送达或邮寄</w:t>
      </w:r>
      <w:r>
        <w:rPr>
          <w:rFonts w:hint="eastAsia" w:ascii="仿宋" w:hAnsi="仿宋" w:eastAsia="仿宋"/>
          <w:color w:val="000000" w:themeColor="text1"/>
          <w:sz w:val="24"/>
          <w:szCs w:val="24"/>
          <w14:textFill>
            <w14:solidFill>
              <w14:schemeClr w14:val="tx1"/>
            </w14:solidFill>
          </w14:textFill>
        </w:rPr>
        <w:t>（封面备注联系人和电话）</w:t>
      </w:r>
      <w:r>
        <w:rPr>
          <w:rFonts w:hint="eastAsia" w:ascii="仿宋" w:hAnsi="仿宋" w:eastAsia="仿宋"/>
          <w:b/>
          <w:color w:val="000000" w:themeColor="text1"/>
          <w:sz w:val="24"/>
          <w:szCs w:val="24"/>
          <w14:textFill>
            <w14:solidFill>
              <w14:schemeClr w14:val="tx1"/>
            </w14:solidFill>
          </w14:textFill>
        </w:rPr>
        <w:t>。</w:t>
      </w:r>
    </w:p>
    <w:p>
      <w:pPr>
        <w:spacing w:after="0" w:line="440" w:lineRule="exact"/>
        <w:ind w:left="1070" w:leftChars="322" w:hanging="362" w:hangingChars="151"/>
        <w:jc w:val="left"/>
        <w:rPr>
          <w:rFonts w:ascii="仿宋" w:hAnsi="仿宋" w:eastAsia="仿宋"/>
          <w:color w:val="000000" w:themeColor="text1"/>
          <w:sz w:val="24"/>
          <w:szCs w:val="24"/>
          <w:shd w:val="clear" w:color="auto" w:fill="FFFFFF"/>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 xml:space="preserve">6. </w:t>
      </w:r>
      <w:r>
        <w:rPr>
          <w:rFonts w:hint="eastAsia" w:ascii="仿宋" w:hAnsi="仿宋" w:eastAsia="仿宋"/>
          <w:color w:val="000000" w:themeColor="text1"/>
          <w:sz w:val="24"/>
          <w:szCs w:val="24"/>
          <w14:textFill>
            <w14:solidFill>
              <w14:schemeClr w14:val="tx1"/>
            </w14:solidFill>
          </w14:textFill>
        </w:rPr>
        <w:t>报价响应文件递交截止时间</w:t>
      </w:r>
      <w:r>
        <w:rPr>
          <w:rFonts w:hint="eastAsia" w:ascii="仿宋" w:hAnsi="仿宋" w:eastAsia="仿宋"/>
          <w:color w:val="000000" w:themeColor="text1"/>
          <w:sz w:val="24"/>
          <w:szCs w:val="24"/>
          <w:shd w:val="clear" w:color="auto" w:fill="FFFFFF"/>
          <w14:textFill>
            <w14:solidFill>
              <w14:schemeClr w14:val="tx1"/>
            </w14:solidFill>
          </w14:textFill>
        </w:rPr>
        <w:t>：202</w:t>
      </w:r>
      <w:r>
        <w:rPr>
          <w:rFonts w:ascii="仿宋" w:hAnsi="仿宋" w:eastAsia="仿宋"/>
          <w:color w:val="000000" w:themeColor="text1"/>
          <w:sz w:val="24"/>
          <w:szCs w:val="24"/>
          <w:shd w:val="clear" w:color="auto" w:fill="FFFFFF"/>
          <w14:textFill>
            <w14:solidFill>
              <w14:schemeClr w14:val="tx1"/>
            </w14:solidFill>
          </w14:textFill>
        </w:rPr>
        <w:t>3</w:t>
      </w:r>
      <w:r>
        <w:rPr>
          <w:rFonts w:hint="eastAsia" w:ascii="仿宋" w:hAnsi="仿宋" w:eastAsia="仿宋"/>
          <w:color w:val="000000" w:themeColor="text1"/>
          <w:sz w:val="24"/>
          <w:szCs w:val="24"/>
          <w:shd w:val="clear" w:color="auto" w:fill="FFFFFF"/>
          <w14:textFill>
            <w14:solidFill>
              <w14:schemeClr w14:val="tx1"/>
            </w14:solidFill>
          </w14:textFill>
        </w:rPr>
        <w:t>年10</w:t>
      </w:r>
      <w:r>
        <w:rPr>
          <w:rFonts w:ascii="仿宋" w:hAnsi="仿宋" w:eastAsia="仿宋"/>
          <w:color w:val="000000" w:themeColor="text1"/>
          <w:sz w:val="24"/>
          <w:szCs w:val="24"/>
          <w:shd w:val="clear" w:color="auto" w:fill="FFFFFF"/>
          <w14:textFill>
            <w14:solidFill>
              <w14:schemeClr w14:val="tx1"/>
            </w14:solidFill>
          </w14:textFill>
        </w:rPr>
        <w:t>月</w:t>
      </w:r>
      <w:r>
        <w:rPr>
          <w:rFonts w:hint="eastAsia" w:ascii="仿宋" w:hAnsi="仿宋" w:eastAsia="仿宋"/>
          <w:color w:val="000000" w:themeColor="text1"/>
          <w:sz w:val="24"/>
          <w:szCs w:val="24"/>
          <w:shd w:val="clear" w:color="auto" w:fill="FFFFFF"/>
          <w14:textFill>
            <w14:solidFill>
              <w14:schemeClr w14:val="tx1"/>
            </w14:solidFill>
          </w14:textFill>
        </w:rPr>
        <w:t>1</w:t>
      </w:r>
      <w:r>
        <w:rPr>
          <w:rFonts w:hint="eastAsia" w:ascii="仿宋" w:hAnsi="仿宋" w:eastAsia="仿宋"/>
          <w:color w:val="000000" w:themeColor="text1"/>
          <w:sz w:val="24"/>
          <w:szCs w:val="24"/>
          <w:shd w:val="clear" w:color="auto" w:fill="FFFFFF"/>
          <w:lang w:val="en-US" w:eastAsia="zh-CN"/>
          <w14:textFill>
            <w14:solidFill>
              <w14:schemeClr w14:val="tx1"/>
            </w14:solidFill>
          </w14:textFill>
        </w:rPr>
        <w:t>3</w:t>
      </w:r>
      <w:r>
        <w:rPr>
          <w:rFonts w:ascii="仿宋" w:hAnsi="仿宋" w:eastAsia="仿宋"/>
          <w:color w:val="000000" w:themeColor="text1"/>
          <w:sz w:val="24"/>
          <w:szCs w:val="24"/>
          <w:shd w:val="clear" w:color="auto" w:fill="FFFFFF"/>
          <w14:textFill>
            <w14:solidFill>
              <w14:schemeClr w14:val="tx1"/>
            </w14:solidFill>
          </w14:textFill>
        </w:rPr>
        <w:t>日</w:t>
      </w:r>
      <w:r>
        <w:rPr>
          <w:rFonts w:hint="eastAsia" w:ascii="仿宋" w:hAnsi="仿宋" w:eastAsia="仿宋"/>
          <w:color w:val="000000" w:themeColor="text1"/>
          <w:sz w:val="24"/>
          <w:szCs w:val="24"/>
          <w:shd w:val="clear" w:color="auto" w:fill="FFFFFF"/>
          <w14:textFill>
            <w14:solidFill>
              <w14:schemeClr w14:val="tx1"/>
            </w14:solidFill>
          </w14:textFill>
        </w:rPr>
        <w:t>下午</w:t>
      </w:r>
      <w:r>
        <w:rPr>
          <w:rFonts w:ascii="仿宋" w:hAnsi="仿宋" w:eastAsia="仿宋"/>
          <w:color w:val="000000" w:themeColor="text1"/>
          <w:sz w:val="24"/>
          <w:szCs w:val="24"/>
          <w:shd w:val="clear" w:color="auto" w:fill="FFFFFF"/>
          <w14:textFill>
            <w14:solidFill>
              <w14:schemeClr w14:val="tx1"/>
            </w14:solidFill>
          </w14:textFill>
        </w:rPr>
        <w:t>4</w:t>
      </w:r>
      <w:r>
        <w:rPr>
          <w:rFonts w:hint="eastAsia" w:ascii="仿宋" w:hAnsi="仿宋" w:eastAsia="仿宋"/>
          <w:color w:val="000000" w:themeColor="text1"/>
          <w:sz w:val="24"/>
          <w:szCs w:val="24"/>
          <w:shd w:val="clear" w:color="auto" w:fill="FFFFFF"/>
          <w14:textFill>
            <w14:solidFill>
              <w14:schemeClr w14:val="tx1"/>
            </w14:solidFill>
          </w14:textFill>
        </w:rPr>
        <w:t>:</w:t>
      </w:r>
      <w:r>
        <w:rPr>
          <w:rFonts w:ascii="仿宋" w:hAnsi="仿宋" w:eastAsia="仿宋"/>
          <w:color w:val="000000" w:themeColor="text1"/>
          <w:sz w:val="24"/>
          <w:szCs w:val="24"/>
          <w:shd w:val="clear" w:color="auto" w:fill="FFFFFF"/>
          <w14:textFill>
            <w14:solidFill>
              <w14:schemeClr w14:val="tx1"/>
            </w14:solidFill>
          </w14:textFill>
        </w:rPr>
        <w:t>00</w:t>
      </w:r>
      <w:r>
        <w:rPr>
          <w:rFonts w:hint="eastAsia" w:ascii="仿宋" w:hAnsi="仿宋" w:eastAsia="仿宋"/>
          <w:color w:val="000000" w:themeColor="text1"/>
          <w:sz w:val="24"/>
          <w:szCs w:val="24"/>
          <w:shd w:val="clear" w:color="auto" w:fill="FFFFFF"/>
          <w14:textFill>
            <w14:solidFill>
              <w14:schemeClr w14:val="tx1"/>
            </w14:solidFill>
          </w14:textFill>
        </w:rPr>
        <w:t>前。</w:t>
      </w:r>
    </w:p>
    <w:p>
      <w:pPr>
        <w:spacing w:after="0" w:line="440" w:lineRule="exact"/>
        <w:ind w:left="1070" w:leftChars="322" w:hanging="362" w:hangingChars="151"/>
        <w:jc w:val="lef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 xml:space="preserve">7. </w:t>
      </w:r>
      <w:r>
        <w:rPr>
          <w:rFonts w:hint="eastAsia" w:ascii="仿宋" w:hAnsi="仿宋" w:eastAsia="仿宋"/>
          <w:color w:val="000000" w:themeColor="text1"/>
          <w:sz w:val="24"/>
          <w:szCs w:val="24"/>
          <w14:textFill>
            <w14:solidFill>
              <w14:schemeClr w14:val="tx1"/>
            </w14:solidFill>
          </w14:textFill>
        </w:rPr>
        <w:t>报价响应文件递交地点：重庆市渝北区龙石路18号办公楼203室</w:t>
      </w:r>
    </w:p>
    <w:p>
      <w:pPr>
        <w:spacing w:after="0" w:line="440" w:lineRule="exact"/>
        <w:ind w:firstLine="1200" w:firstLineChars="500"/>
        <w:jc w:val="left"/>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联系人：蒲涛     联系电话：</w:t>
      </w:r>
      <w:r>
        <w:rPr>
          <w:rFonts w:ascii="仿宋" w:hAnsi="仿宋" w:eastAsia="仿宋"/>
          <w:color w:val="000000" w:themeColor="text1"/>
          <w:sz w:val="24"/>
          <w:szCs w:val="24"/>
          <w14:textFill>
            <w14:solidFill>
              <w14:schemeClr w14:val="tx1"/>
            </w14:solidFill>
          </w14:textFill>
        </w:rPr>
        <w:t>18311716936</w:t>
      </w:r>
    </w:p>
    <w:p>
      <w:pPr>
        <w:spacing w:after="0" w:line="440" w:lineRule="exact"/>
        <w:ind w:left="1070" w:leftChars="322" w:hanging="362" w:hangingChars="151"/>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8</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参加本项目的参与人如对公开询价邀请函列示内容存有疑问的，请在报价响应文件递交截止之日前，将问题以书面形式（有效签署的原件并加盖公章）提交至学校业务对接人，联系人：蒲涛，电话：</w:t>
      </w:r>
      <w:r>
        <w:rPr>
          <w:rFonts w:ascii="仿宋" w:hAnsi="仿宋" w:eastAsia="仿宋"/>
          <w:color w:val="000000" w:themeColor="text1"/>
          <w:sz w:val="24"/>
          <w:szCs w:val="24"/>
          <w14:textFill>
            <w14:solidFill>
              <w14:schemeClr w14:val="tx1"/>
            </w14:solidFill>
          </w14:textFill>
        </w:rPr>
        <w:t>18311716936</w:t>
      </w:r>
      <w:r>
        <w:rPr>
          <w:rFonts w:hint="eastAsia" w:ascii="仿宋" w:hAnsi="仿宋" w:eastAsia="仿宋"/>
          <w:color w:val="000000" w:themeColor="text1"/>
          <w:sz w:val="24"/>
          <w:szCs w:val="24"/>
          <w14:textFill>
            <w14:solidFill>
              <w14:schemeClr w14:val="tx1"/>
            </w14:solidFill>
          </w14:textFill>
        </w:rPr>
        <w:t>。采购人不对超时提交及未加盖公章的质疑文件进行回复。</w:t>
      </w:r>
    </w:p>
    <w:p>
      <w:pPr>
        <w:spacing w:after="0" w:line="440" w:lineRule="exact"/>
        <w:ind w:left="1070" w:leftChars="322" w:hanging="362" w:hangingChars="151"/>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9</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本项目最终成交结果会在中教集团后勤贤知平台“中标信息公示”板块公示，网址：</w:t>
      </w:r>
      <w:r>
        <w:fldChar w:fldCharType="begin"/>
      </w:r>
      <w:r>
        <w:instrText xml:space="preserve"> HYPERLINK "http://www.ceghqxz.com" </w:instrText>
      </w:r>
      <w:r>
        <w:fldChar w:fldCharType="separate"/>
      </w:r>
      <w:r>
        <w:rPr>
          <w:rStyle w:val="31"/>
          <w:rFonts w:hint="eastAsia" w:ascii="仿宋" w:hAnsi="仿宋" w:eastAsia="仿宋"/>
          <w:color w:val="000000" w:themeColor="text1"/>
          <w14:textFill>
            <w14:solidFill>
              <w14:schemeClr w14:val="tx1"/>
            </w14:solidFill>
          </w14:textFill>
        </w:rPr>
        <w:t>www.ceghqxz.com</w:t>
      </w:r>
      <w:r>
        <w:rPr>
          <w:rStyle w:val="31"/>
          <w:rFonts w:hint="eastAsia" w:ascii="仿宋" w:hAnsi="仿宋" w:eastAsia="仿宋"/>
          <w:color w:val="000000" w:themeColor="text1"/>
          <w14:textFill>
            <w14:solidFill>
              <w14:schemeClr w14:val="tx1"/>
            </w14:solidFill>
          </w14:textFill>
        </w:rPr>
        <w:fldChar w:fldCharType="end"/>
      </w:r>
      <w:r>
        <w:rPr>
          <w:rFonts w:hint="eastAsia" w:ascii="仿宋" w:hAnsi="仿宋" w:eastAsia="仿宋"/>
          <w:color w:val="000000" w:themeColor="text1"/>
          <w:sz w:val="24"/>
          <w:szCs w:val="24"/>
          <w14:textFill>
            <w14:solidFill>
              <w14:schemeClr w14:val="tx1"/>
            </w14:solidFill>
          </w14:textFill>
        </w:rPr>
        <w:t>。参加本项目的参与人如对</w:t>
      </w:r>
      <w:r>
        <w:rPr>
          <w:rFonts w:hint="eastAsia" w:ascii="仿宋" w:hAnsi="仿宋" w:eastAsia="仿宋"/>
          <w:b/>
          <w:bCs/>
          <w:color w:val="000000" w:themeColor="text1"/>
          <w:sz w:val="24"/>
          <w:szCs w:val="24"/>
          <w14:textFill>
            <w14:solidFill>
              <w14:schemeClr w14:val="tx1"/>
            </w14:solidFill>
          </w14:textFill>
        </w:rPr>
        <w:t>采购过程和成交结果有异议的，</w:t>
      </w:r>
      <w:r>
        <w:rPr>
          <w:rFonts w:hint="eastAsia" w:ascii="仿宋" w:hAnsi="仿宋" w:eastAsia="仿宋"/>
          <w:color w:val="000000" w:themeColor="text1"/>
          <w:sz w:val="24"/>
          <w:szCs w:val="24"/>
          <w14:textFill>
            <w14:solidFill>
              <w14:schemeClr w14:val="tx1"/>
            </w14:solidFill>
          </w14:textFill>
        </w:rPr>
        <w:t>请以书面形式（有效签署的原件并加盖公章），并附有相关的证据材料，提交至集团监审部。投诉受理部门：中教集团监审部，投诉电话：0791-88106510/0791-88102608</w:t>
      </w:r>
    </w:p>
    <w:p>
      <w:pPr>
        <w:widowControl w:val="0"/>
        <w:tabs>
          <w:tab w:val="left" w:pos="839"/>
        </w:tabs>
        <w:spacing w:after="0" w:line="440" w:lineRule="exact"/>
        <w:ind w:left="42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二、参与人须知</w:t>
      </w:r>
    </w:p>
    <w:p>
      <w:pPr>
        <w:widowControl w:val="0"/>
        <w:numPr>
          <w:ilvl w:val="1"/>
          <w:numId w:val="4"/>
        </w:numPr>
        <w:spacing w:after="0" w:line="4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所有项目均以人民币报价；</w:t>
      </w:r>
    </w:p>
    <w:p>
      <w:pPr>
        <w:widowControl w:val="0"/>
        <w:numPr>
          <w:ilvl w:val="1"/>
          <w:numId w:val="4"/>
        </w:numPr>
        <w:spacing w:after="0" w:line="4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themeFill="background1"/>
          <w14:textFill>
            <w14:solidFill>
              <w14:schemeClr w14:val="tx1"/>
            </w14:solidFill>
          </w14:textFill>
        </w:rPr>
        <w:t>报价响应文件3份，报价响应文件必须用A4幅面纸张打印，须由参与人填写并加盖公章（正本1份、副本2份）</w:t>
      </w:r>
      <w:r>
        <w:rPr>
          <w:rFonts w:hint="eastAsia" w:ascii="仿宋" w:hAnsi="仿宋" w:eastAsia="仿宋"/>
          <w:color w:val="000000" w:themeColor="text1"/>
          <w:sz w:val="24"/>
          <w:szCs w:val="24"/>
          <w14:textFill>
            <w14:solidFill>
              <w14:schemeClr w14:val="tx1"/>
            </w14:solidFill>
          </w14:textFill>
        </w:rPr>
        <w:t>，须由参与人填写并加盖公章；</w:t>
      </w:r>
    </w:p>
    <w:p>
      <w:pPr>
        <w:widowControl w:val="0"/>
        <w:numPr>
          <w:ilvl w:val="1"/>
          <w:numId w:val="4"/>
        </w:numPr>
        <w:spacing w:after="0" w:line="4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报价响应文件用不退色墨水书写或打印，因字迹潦草或表达不清所引起的后果由参与人自负；</w:t>
      </w:r>
    </w:p>
    <w:p>
      <w:pPr>
        <w:widowControl w:val="0"/>
        <w:numPr>
          <w:ilvl w:val="1"/>
          <w:numId w:val="4"/>
        </w:numPr>
        <w:spacing w:after="0" w:line="4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报价响应文件及所有相关资料需同时进行密封处理，并在密封处加盖公章，未做密封处理及未加盖公章的视为无效报价；</w:t>
      </w:r>
    </w:p>
    <w:p>
      <w:pPr>
        <w:widowControl w:val="0"/>
        <w:numPr>
          <w:ilvl w:val="1"/>
          <w:numId w:val="4"/>
        </w:numPr>
        <w:spacing w:after="0" w:line="4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一个参与人只能提交一个报价响应文件，本项目不接受联合体报价。</w:t>
      </w:r>
    </w:p>
    <w:p>
      <w:pPr>
        <w:spacing w:after="0" w:line="440" w:lineRule="exact"/>
        <w:ind w:firstLine="366" w:firstLineChars="152"/>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三、售后服务要求</w:t>
      </w:r>
    </w:p>
    <w:p>
      <w:pPr>
        <w:widowControl w:val="0"/>
        <w:spacing w:after="0" w:line="440" w:lineRule="exact"/>
        <w:ind w:left="426"/>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免费保修期；36个月（质保金5</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，质保期满后支付）；</w:t>
      </w:r>
    </w:p>
    <w:p>
      <w:pPr>
        <w:widowControl w:val="0"/>
        <w:spacing w:after="0" w:line="440" w:lineRule="exact"/>
        <w:ind w:left="426"/>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交货时间：2</w:t>
      </w:r>
      <w:r>
        <w:rPr>
          <w:rFonts w:ascii="仿宋" w:hAnsi="仿宋" w:eastAsia="仿宋"/>
          <w:color w:val="000000" w:themeColor="text1"/>
          <w:sz w:val="24"/>
          <w:szCs w:val="24"/>
          <w14:textFill>
            <w14:solidFill>
              <w14:schemeClr w14:val="tx1"/>
            </w14:solidFill>
          </w14:textFill>
        </w:rPr>
        <w:t>023</w:t>
      </w:r>
      <w:r>
        <w:rPr>
          <w:rFonts w:hint="eastAsia" w:ascii="仿宋" w:hAnsi="仿宋" w:eastAsia="仿宋"/>
          <w:color w:val="000000" w:themeColor="text1"/>
          <w:sz w:val="24"/>
          <w:szCs w:val="24"/>
          <w14:textFill>
            <w14:solidFill>
              <w14:schemeClr w14:val="tx1"/>
            </w14:solidFill>
          </w14:textFill>
        </w:rPr>
        <w:t>年</w:t>
      </w:r>
      <w:r>
        <w:rPr>
          <w:rFonts w:hint="eastAsia" w:ascii="仿宋" w:hAnsi="仿宋" w:eastAsia="仿宋"/>
          <w:color w:val="000000" w:themeColor="text1"/>
          <w:sz w:val="24"/>
          <w:szCs w:val="24"/>
          <w:lang w:val="en-US" w:eastAsia="zh-CN"/>
          <w14:textFill>
            <w14:solidFill>
              <w14:schemeClr w14:val="tx1"/>
            </w14:solidFill>
          </w14:textFill>
        </w:rPr>
        <w:t>12</w:t>
      </w:r>
      <w:r>
        <w:rPr>
          <w:rFonts w:hint="eastAsia"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lang w:val="en-US" w:eastAsia="zh-CN"/>
          <w14:textFill>
            <w14:solidFill>
              <w14:schemeClr w14:val="tx1"/>
            </w14:solidFill>
          </w14:textFill>
        </w:rPr>
        <w:t>10</w:t>
      </w:r>
      <w:r>
        <w:rPr>
          <w:rFonts w:hint="eastAsia" w:ascii="仿宋" w:hAnsi="仿宋" w:eastAsia="仿宋"/>
          <w:color w:val="000000" w:themeColor="text1"/>
          <w:sz w:val="24"/>
          <w:szCs w:val="24"/>
          <w14:textFill>
            <w14:solidFill>
              <w14:schemeClr w14:val="tx1"/>
            </w14:solidFill>
          </w14:textFill>
        </w:rPr>
        <w:t>日前，</w:t>
      </w:r>
      <w:r>
        <w:rPr>
          <w:rFonts w:hint="eastAsia" w:ascii="仿宋" w:hAnsi="仿宋" w:eastAsia="仿宋"/>
          <w:color w:val="000000" w:themeColor="text1"/>
          <w:sz w:val="24"/>
          <w:szCs w:val="24"/>
          <w:lang w:val="en-US" w:eastAsia="zh-CN"/>
          <w14:textFill>
            <w14:solidFill>
              <w14:schemeClr w14:val="tx1"/>
            </w14:solidFill>
          </w14:textFill>
        </w:rPr>
        <w:t>12</w:t>
      </w:r>
      <w:r>
        <w:rPr>
          <w:rFonts w:hint="eastAsia" w:ascii="仿宋" w:hAnsi="仿宋" w:eastAsia="仿宋"/>
          <w:color w:val="000000" w:themeColor="text1"/>
          <w:sz w:val="24"/>
          <w:szCs w:val="24"/>
          <w14:textFill>
            <w14:solidFill>
              <w14:schemeClr w14:val="tx1"/>
            </w14:solidFill>
          </w14:textFill>
        </w:rPr>
        <w:t>月15日前完成安装。</w:t>
      </w:r>
    </w:p>
    <w:p>
      <w:pPr>
        <w:widowControl w:val="0"/>
        <w:spacing w:after="0" w:line="440" w:lineRule="exact"/>
        <w:ind w:left="426"/>
        <w:jc w:val="left"/>
        <w:rPr>
          <w:rFonts w:ascii="Times New Roman" w:hAnsi="Times New Roman"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应急维修时间安排：</w:t>
      </w:r>
      <w:r>
        <w:rPr>
          <w:rFonts w:hint="eastAsia" w:ascii="Times New Roman" w:hAnsi="Times New Roman" w:eastAsia="仿宋"/>
          <w:color w:val="000000" w:themeColor="text1"/>
          <w:sz w:val="24"/>
          <w:szCs w:val="24"/>
          <w14:textFill>
            <w14:solidFill>
              <w14:schemeClr w14:val="tx1"/>
            </w14:solidFill>
          </w14:textFill>
        </w:rPr>
        <w:t>2小时内给予回复，并在2</w:t>
      </w:r>
      <w:r>
        <w:rPr>
          <w:rFonts w:ascii="Times New Roman" w:hAnsi="Times New Roman" w:eastAsia="仿宋"/>
          <w:color w:val="000000" w:themeColor="text1"/>
          <w:sz w:val="24"/>
          <w:szCs w:val="24"/>
          <w14:textFill>
            <w14:solidFill>
              <w14:schemeClr w14:val="tx1"/>
            </w14:solidFill>
          </w14:textFill>
        </w:rPr>
        <w:t>4</w:t>
      </w:r>
      <w:r>
        <w:rPr>
          <w:rFonts w:hint="eastAsia" w:ascii="Times New Roman" w:hAnsi="Times New Roman" w:eastAsia="仿宋"/>
          <w:color w:val="000000" w:themeColor="text1"/>
          <w:sz w:val="24"/>
          <w:szCs w:val="24"/>
          <w14:textFill>
            <w14:solidFill>
              <w14:schemeClr w14:val="tx1"/>
            </w14:solidFill>
          </w14:textFill>
        </w:rPr>
        <w:t>小时内完成维修。</w:t>
      </w:r>
    </w:p>
    <w:p>
      <w:pPr>
        <w:spacing w:after="0" w:line="440" w:lineRule="exact"/>
        <w:ind w:firstLine="366" w:firstLineChars="152"/>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四、确定成交参与人标准及原则：</w:t>
      </w:r>
    </w:p>
    <w:p>
      <w:pPr>
        <w:pStyle w:val="58"/>
        <w:numPr>
          <w:ilvl w:val="0"/>
          <w:numId w:val="5"/>
        </w:numPr>
        <w:spacing w:after="0" w:line="44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本项目为自有资金而非财政性资金采购，采购人按企业内部规定的标准进行评定。</w:t>
      </w:r>
    </w:p>
    <w:p>
      <w:pPr>
        <w:pStyle w:val="58"/>
        <w:numPr>
          <w:ilvl w:val="0"/>
          <w:numId w:val="5"/>
        </w:numPr>
        <w:spacing w:after="0" w:line="44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参与人所投项目符合需求、质量和服务等的要求,经过磋商所报价格为合理价格的参与人为成交参与人。</w:t>
      </w:r>
    </w:p>
    <w:p>
      <w:pPr>
        <w:pStyle w:val="58"/>
        <w:numPr>
          <w:ilvl w:val="0"/>
          <w:numId w:val="5"/>
        </w:numPr>
        <w:spacing w:after="0" w:line="44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最低报价不作为成交的保证。</w:t>
      </w:r>
    </w:p>
    <w:p>
      <w:pPr>
        <w:spacing w:after="0" w:line="500" w:lineRule="exact"/>
        <w:rPr>
          <w:rFonts w:ascii="仿宋" w:hAnsi="仿宋" w:eastAsia="仿宋"/>
          <w:color w:val="000000" w:themeColor="text1"/>
          <w:sz w:val="24"/>
          <w:szCs w:val="24"/>
          <w14:textFill>
            <w14:solidFill>
              <w14:schemeClr w14:val="tx1"/>
            </w14:solidFill>
          </w14:textFill>
        </w:rPr>
      </w:pPr>
    </w:p>
    <w:p>
      <w:pPr>
        <w:spacing w:after="0" w:line="500" w:lineRule="exact"/>
        <w:rPr>
          <w:rFonts w:ascii="仿宋" w:hAnsi="仿宋" w:eastAsia="仿宋"/>
          <w:color w:val="000000" w:themeColor="text1"/>
          <w:sz w:val="24"/>
          <w:szCs w:val="24"/>
          <w14:textFill>
            <w14:solidFill>
              <w14:schemeClr w14:val="tx1"/>
            </w14:solidFill>
          </w14:textFill>
        </w:rPr>
      </w:pPr>
    </w:p>
    <w:p>
      <w:pPr>
        <w:spacing w:after="0" w:line="500" w:lineRule="exact"/>
        <w:rPr>
          <w:rFonts w:ascii="仿宋" w:hAnsi="仿宋" w:eastAsia="仿宋"/>
          <w:color w:val="000000" w:themeColor="text1"/>
          <w:sz w:val="24"/>
          <w:szCs w:val="24"/>
          <w14:textFill>
            <w14:solidFill>
              <w14:schemeClr w14:val="tx1"/>
            </w14:solidFill>
          </w14:textFill>
        </w:rPr>
      </w:pPr>
    </w:p>
    <w:p>
      <w:pPr>
        <w:spacing w:after="0" w:line="500" w:lineRule="exact"/>
        <w:jc w:val="righ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重庆外语外事学院</w:t>
      </w:r>
    </w:p>
    <w:p>
      <w:pPr>
        <w:spacing w:after="0" w:line="500" w:lineRule="exact"/>
        <w:jc w:val="righ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202</w:t>
      </w:r>
      <w:r>
        <w:rPr>
          <w:rFonts w:ascii="仿宋" w:hAnsi="仿宋" w:eastAsia="仿宋"/>
          <w:color w:val="000000" w:themeColor="text1"/>
          <w:sz w:val="24"/>
          <w:szCs w:val="24"/>
          <w14:textFill>
            <w14:solidFill>
              <w14:schemeClr w14:val="tx1"/>
            </w14:solidFill>
          </w14:textFill>
        </w:rPr>
        <w:t>3</w:t>
      </w:r>
      <w:r>
        <w:rPr>
          <w:rFonts w:hint="eastAsia" w:ascii="仿宋" w:hAnsi="仿宋" w:eastAsia="仿宋"/>
          <w:color w:val="000000" w:themeColor="text1"/>
          <w:sz w:val="24"/>
          <w:szCs w:val="24"/>
          <w14:textFill>
            <w14:solidFill>
              <w14:schemeClr w14:val="tx1"/>
            </w14:solidFill>
          </w14:textFill>
        </w:rPr>
        <w:t>年10月0</w:t>
      </w:r>
      <w:r>
        <w:rPr>
          <w:rFonts w:hint="eastAsia" w:ascii="仿宋" w:hAnsi="仿宋" w:eastAsia="仿宋"/>
          <w:color w:val="000000" w:themeColor="text1"/>
          <w:sz w:val="24"/>
          <w:szCs w:val="24"/>
          <w:lang w:val="en-US" w:eastAsia="zh-CN"/>
          <w14:textFill>
            <w14:solidFill>
              <w14:schemeClr w14:val="tx1"/>
            </w14:solidFill>
          </w14:textFill>
        </w:rPr>
        <w:t>9</w:t>
      </w:r>
      <w:r>
        <w:rPr>
          <w:rFonts w:hint="eastAsia" w:ascii="仿宋" w:hAnsi="仿宋" w:eastAsia="仿宋"/>
          <w:color w:val="000000" w:themeColor="text1"/>
          <w:sz w:val="24"/>
          <w:szCs w:val="24"/>
          <w14:textFill>
            <w14:solidFill>
              <w14:schemeClr w14:val="tx1"/>
            </w14:solidFill>
          </w14:textFill>
        </w:rPr>
        <w:t>日</w:t>
      </w:r>
      <w:bookmarkEnd w:id="49"/>
    </w:p>
    <w:p>
      <w:pPr>
        <w:spacing w:line="420" w:lineRule="exact"/>
        <w:jc w:val="center"/>
        <w:rPr>
          <w:rFonts w:ascii="仿宋" w:hAnsi="仿宋" w:eastAsia="仿宋"/>
          <w:b/>
          <w:color w:val="000000" w:themeColor="text1"/>
          <w:sz w:val="36"/>
          <w:szCs w:val="36"/>
          <w14:textFill>
            <w14:solidFill>
              <w14:schemeClr w14:val="tx1"/>
            </w14:solidFill>
          </w14:textFill>
        </w:rPr>
      </w:pPr>
    </w:p>
    <w:p>
      <w:pPr>
        <w:spacing w:line="420" w:lineRule="exact"/>
        <w:jc w:val="center"/>
        <w:rPr>
          <w:rFonts w:hint="eastAsia" w:ascii="仿宋" w:hAnsi="仿宋" w:eastAsia="仿宋"/>
          <w:b/>
          <w:color w:val="000000" w:themeColor="text1"/>
          <w:sz w:val="36"/>
          <w:szCs w:val="36"/>
          <w14:textFill>
            <w14:solidFill>
              <w14:schemeClr w14:val="tx1"/>
            </w14:solidFill>
          </w14:textFill>
        </w:rPr>
      </w:pPr>
    </w:p>
    <w:p>
      <w:pPr>
        <w:spacing w:line="420" w:lineRule="exact"/>
        <w:jc w:val="center"/>
        <w:rPr>
          <w:rFonts w:ascii="仿宋" w:hAnsi="仿宋" w:eastAsia="仿宋"/>
          <w:bCs/>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公开询价货物一览表</w:t>
      </w:r>
    </w:p>
    <w:tbl>
      <w:tblPr>
        <w:tblStyle w:val="27"/>
        <w:tblpPr w:leftFromText="180" w:rightFromText="180" w:vertAnchor="text" w:horzAnchor="page" w:tblpX="1142" w:tblpY="579"/>
        <w:tblOverlap w:val="never"/>
        <w:tblW w:w="9877" w:type="dxa"/>
        <w:tblInd w:w="0" w:type="dxa"/>
        <w:tblLayout w:type="fixed"/>
        <w:tblCellMar>
          <w:top w:w="0" w:type="dxa"/>
          <w:left w:w="108" w:type="dxa"/>
          <w:bottom w:w="0" w:type="dxa"/>
          <w:right w:w="108" w:type="dxa"/>
        </w:tblCellMar>
      </w:tblPr>
      <w:tblGrid>
        <w:gridCol w:w="618"/>
        <w:gridCol w:w="1532"/>
        <w:gridCol w:w="4213"/>
        <w:gridCol w:w="618"/>
        <w:gridCol w:w="618"/>
        <w:gridCol w:w="618"/>
        <w:gridCol w:w="618"/>
        <w:gridCol w:w="1042"/>
      </w:tblGrid>
      <w:tr>
        <w:tblPrEx>
          <w:tblCellMar>
            <w:top w:w="0" w:type="dxa"/>
            <w:left w:w="108" w:type="dxa"/>
            <w:bottom w:w="0" w:type="dxa"/>
            <w:right w:w="108" w:type="dxa"/>
          </w:tblCellMar>
        </w:tblPrEx>
        <w:trPr>
          <w:trHeight w:val="23" w:hRule="atLeast"/>
        </w:trPr>
        <w:tc>
          <w:tcPr>
            <w:tcW w:w="618"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rPr>
              <w:t>序号</w:t>
            </w:r>
          </w:p>
        </w:tc>
        <w:tc>
          <w:tcPr>
            <w:tcW w:w="1532" w:type="dxa"/>
            <w:tcBorders>
              <w:top w:val="single" w:color="auto" w:sz="4" w:space="0"/>
              <w:left w:val="nil"/>
              <w:bottom w:val="single" w:color="auto" w:sz="4" w:space="0"/>
              <w:right w:val="single" w:color="auto" w:sz="4" w:space="0"/>
            </w:tcBorders>
            <w:shd w:val="clear" w:color="auto" w:fill="auto"/>
            <w:noWrap/>
            <w:vAlign w:val="bottom"/>
          </w:tcPr>
          <w:p>
            <w:pPr>
              <w:jc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rPr>
              <w:t>设备名称</w:t>
            </w:r>
          </w:p>
        </w:tc>
        <w:tc>
          <w:tcPr>
            <w:tcW w:w="4213" w:type="dxa"/>
            <w:tcBorders>
              <w:top w:val="single" w:color="auto" w:sz="4" w:space="0"/>
              <w:left w:val="nil"/>
              <w:bottom w:val="single" w:color="auto" w:sz="4" w:space="0"/>
              <w:right w:val="single" w:color="auto" w:sz="4" w:space="0"/>
            </w:tcBorders>
            <w:shd w:val="clear" w:color="auto" w:fill="auto"/>
            <w:noWrap/>
            <w:vAlign w:val="bottom"/>
          </w:tcPr>
          <w:p>
            <w:pPr>
              <w:jc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rPr>
              <w:t>规格型号（技术参数）</w:t>
            </w:r>
          </w:p>
        </w:tc>
        <w:tc>
          <w:tcPr>
            <w:tcW w:w="618" w:type="dxa"/>
            <w:tcBorders>
              <w:top w:val="single" w:color="auto" w:sz="4" w:space="0"/>
              <w:left w:val="nil"/>
              <w:bottom w:val="single" w:color="auto" w:sz="4" w:space="0"/>
              <w:right w:val="single" w:color="auto" w:sz="4" w:space="0"/>
            </w:tcBorders>
            <w:shd w:val="clear" w:color="auto" w:fill="auto"/>
            <w:noWrap/>
            <w:vAlign w:val="bottom"/>
          </w:tcPr>
          <w:p>
            <w:pPr>
              <w:jc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rPr>
              <w:t>数量</w:t>
            </w:r>
          </w:p>
        </w:tc>
        <w:tc>
          <w:tcPr>
            <w:tcW w:w="618" w:type="dxa"/>
            <w:tcBorders>
              <w:top w:val="single" w:color="auto" w:sz="4" w:space="0"/>
              <w:left w:val="nil"/>
              <w:bottom w:val="single" w:color="auto" w:sz="4" w:space="0"/>
              <w:right w:val="single" w:color="auto" w:sz="4" w:space="0"/>
            </w:tcBorders>
            <w:shd w:val="clear" w:color="auto" w:fill="auto"/>
            <w:noWrap/>
            <w:vAlign w:val="bottom"/>
          </w:tcPr>
          <w:p>
            <w:pPr>
              <w:jc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rPr>
              <w:t>单位</w:t>
            </w:r>
          </w:p>
        </w:tc>
        <w:tc>
          <w:tcPr>
            <w:tcW w:w="618" w:type="dxa"/>
            <w:tcBorders>
              <w:top w:val="single" w:color="auto" w:sz="4" w:space="0"/>
              <w:left w:val="nil"/>
              <w:bottom w:val="single" w:color="auto" w:sz="4" w:space="0"/>
              <w:right w:val="single" w:color="auto" w:sz="4" w:space="0"/>
            </w:tcBorders>
            <w:shd w:val="clear" w:color="auto" w:fill="auto"/>
            <w:noWrap/>
            <w:vAlign w:val="bottom"/>
          </w:tcPr>
          <w:p>
            <w:pPr>
              <w:jc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rPr>
              <w:t>单价</w:t>
            </w:r>
          </w:p>
        </w:tc>
        <w:tc>
          <w:tcPr>
            <w:tcW w:w="618" w:type="dxa"/>
            <w:tcBorders>
              <w:top w:val="single" w:color="auto" w:sz="4" w:space="0"/>
              <w:left w:val="nil"/>
              <w:bottom w:val="single" w:color="auto" w:sz="4" w:space="0"/>
              <w:right w:val="single" w:color="auto" w:sz="4" w:space="0"/>
            </w:tcBorders>
            <w:shd w:val="clear" w:color="auto" w:fill="auto"/>
            <w:noWrap/>
            <w:vAlign w:val="bottom"/>
          </w:tcPr>
          <w:p>
            <w:pPr>
              <w:jc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rPr>
              <w:t>金额</w:t>
            </w:r>
          </w:p>
        </w:tc>
        <w:tc>
          <w:tcPr>
            <w:tcW w:w="1042" w:type="dxa"/>
            <w:tcBorders>
              <w:top w:val="single" w:color="auto" w:sz="4" w:space="0"/>
              <w:left w:val="nil"/>
              <w:bottom w:val="single" w:color="auto" w:sz="4" w:space="0"/>
              <w:right w:val="single" w:color="auto" w:sz="4" w:space="0"/>
            </w:tcBorders>
            <w:shd w:val="clear" w:color="auto" w:fill="auto"/>
            <w:noWrap/>
            <w:vAlign w:val="bottom"/>
          </w:tcPr>
          <w:p>
            <w:pPr>
              <w:jc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rPr>
              <w:t>备注</w:t>
            </w:r>
          </w:p>
        </w:tc>
      </w:tr>
      <w:tr>
        <w:tblPrEx>
          <w:tblCellMar>
            <w:top w:w="0" w:type="dxa"/>
            <w:left w:w="108" w:type="dxa"/>
            <w:bottom w:w="0" w:type="dxa"/>
            <w:right w:w="108" w:type="dxa"/>
          </w:tblCellMar>
        </w:tblPrEx>
        <w:trPr>
          <w:trHeight w:val="23" w:hRule="atLeast"/>
        </w:trPr>
        <w:tc>
          <w:tcPr>
            <w:tcW w:w="6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rPr>
              <w:t>1</w:t>
            </w:r>
          </w:p>
        </w:tc>
        <w:tc>
          <w:tcPr>
            <w:tcW w:w="153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rPr>
              <w:t>智能琴房管理系统</w:t>
            </w:r>
          </w:p>
        </w:tc>
        <w:tc>
          <w:tcPr>
            <w:tcW w:w="4213" w:type="dxa"/>
            <w:tcBorders>
              <w:top w:val="single" w:color="auto" w:sz="4" w:space="0"/>
              <w:left w:val="nil"/>
              <w:bottom w:val="single" w:color="auto" w:sz="4" w:space="0"/>
              <w:right w:val="single" w:color="auto" w:sz="4" w:space="0"/>
            </w:tcBorders>
            <w:shd w:val="clear" w:color="auto" w:fill="auto"/>
            <w:vAlign w:val="center"/>
          </w:tcPr>
          <w:p>
            <w:pPr>
              <w:numPr>
                <w:ilvl w:val="0"/>
                <w:numId w:val="6"/>
              </w:numPr>
              <w:spacing w:after="0" w:line="360" w:lineRule="auto"/>
              <w:jc w:val="left"/>
              <w:outlineLvl w:val="1"/>
              <w:rPr>
                <w:rFonts w:hint="eastAsia" w:ascii="仿宋" w:hAnsi="仿宋" w:eastAsia="仿宋" w:cs="仿宋"/>
                <w:b w:val="0"/>
                <w:bCs w:val="0"/>
                <w:sz w:val="20"/>
                <w:szCs w:val="20"/>
              </w:rPr>
            </w:pPr>
            <w:bookmarkStart w:id="50" w:name="_Toc26543"/>
            <w:r>
              <w:rPr>
                <w:rFonts w:hint="eastAsia" w:ascii="仿宋" w:hAnsi="仿宋" w:eastAsia="仿宋" w:cs="仿宋"/>
                <w:b w:val="0"/>
                <w:bCs w:val="0"/>
                <w:sz w:val="20"/>
                <w:szCs w:val="20"/>
              </w:rPr>
              <w:t>Web端功能</w:t>
            </w:r>
            <w:bookmarkEnd w:id="50"/>
          </w:p>
          <w:p>
            <w:pPr>
              <w:spacing w:after="0" w:line="360" w:lineRule="auto"/>
              <w:jc w:val="left"/>
              <w:outlineLvl w:val="2"/>
              <w:rPr>
                <w:rFonts w:hint="eastAsia" w:ascii="仿宋" w:hAnsi="仿宋" w:eastAsia="仿宋" w:cs="仿宋"/>
                <w:b w:val="0"/>
                <w:bCs w:val="0"/>
                <w:sz w:val="20"/>
                <w:szCs w:val="20"/>
              </w:rPr>
            </w:pPr>
            <w:r>
              <w:rPr>
                <w:rFonts w:hint="eastAsia" w:ascii="仿宋" w:hAnsi="仿宋" w:eastAsia="仿宋" w:cs="仿宋"/>
                <w:b w:val="0"/>
                <w:bCs w:val="0"/>
                <w:sz w:val="20"/>
                <w:szCs w:val="20"/>
              </w:rPr>
              <w:t>1、琴房管理</w:t>
            </w:r>
          </w:p>
          <w:p>
            <w:pPr>
              <w:spacing w:after="0" w:line="360" w:lineRule="auto"/>
              <w:jc w:val="left"/>
              <w:rPr>
                <w:rFonts w:hint="eastAsia" w:ascii="仿宋" w:hAnsi="仿宋" w:eastAsia="仿宋" w:cs="仿宋"/>
                <w:b w:val="0"/>
                <w:bCs w:val="0"/>
                <w:sz w:val="20"/>
                <w:szCs w:val="20"/>
              </w:rPr>
            </w:pPr>
            <w:r>
              <w:rPr>
                <w:rFonts w:hint="eastAsia" w:ascii="仿宋" w:hAnsi="仿宋" w:eastAsia="仿宋" w:cs="仿宋"/>
                <w:b w:val="0"/>
                <w:bCs w:val="0"/>
                <w:sz w:val="20"/>
                <w:szCs w:val="20"/>
              </w:rPr>
              <w:t>可以对琴房的基本信息进行管理。可以查看、修改和删除，选择已导入成功的课程，以便明确琴房与课程的关联关系。如琴房名称、所在楼栋、楼层、房间号，课程信息、备注内容等。</w:t>
            </w:r>
          </w:p>
          <w:p>
            <w:pPr>
              <w:spacing w:after="0" w:line="360" w:lineRule="auto"/>
              <w:jc w:val="left"/>
              <w:outlineLvl w:val="2"/>
              <w:rPr>
                <w:rFonts w:hint="eastAsia" w:ascii="仿宋" w:hAnsi="仿宋" w:eastAsia="仿宋" w:cs="仿宋"/>
                <w:b w:val="0"/>
                <w:bCs w:val="0"/>
                <w:sz w:val="20"/>
                <w:szCs w:val="20"/>
              </w:rPr>
            </w:pPr>
            <w:r>
              <w:rPr>
                <w:rFonts w:hint="eastAsia" w:ascii="仿宋" w:hAnsi="仿宋" w:eastAsia="仿宋" w:cs="仿宋"/>
                <w:b w:val="0"/>
                <w:bCs w:val="0"/>
                <w:sz w:val="20"/>
                <w:szCs w:val="20"/>
              </w:rPr>
              <w:t>2、课程管理</w:t>
            </w:r>
          </w:p>
          <w:p>
            <w:pPr>
              <w:spacing w:after="0" w:line="360" w:lineRule="auto"/>
              <w:jc w:val="left"/>
              <w:rPr>
                <w:rFonts w:hint="eastAsia" w:ascii="仿宋" w:hAnsi="仿宋" w:eastAsia="仿宋" w:cs="仿宋"/>
                <w:b w:val="0"/>
                <w:bCs w:val="0"/>
                <w:sz w:val="20"/>
                <w:szCs w:val="20"/>
              </w:rPr>
            </w:pPr>
            <w:r>
              <w:rPr>
                <w:rFonts w:hint="eastAsia" w:ascii="仿宋" w:hAnsi="仿宋" w:eastAsia="仿宋" w:cs="仿宋"/>
                <w:b w:val="0"/>
                <w:bCs w:val="0"/>
                <w:sz w:val="20"/>
                <w:szCs w:val="20"/>
              </w:rPr>
              <w:t>课程列表：可以下载课程导入模板，上传表格导入学生的专业课程表到系统。导入成功后展示课程的课程名称、课程时间段等相关信息。</w:t>
            </w:r>
          </w:p>
          <w:p>
            <w:pPr>
              <w:spacing w:after="0" w:line="360" w:lineRule="auto"/>
              <w:jc w:val="left"/>
              <w:outlineLvl w:val="2"/>
              <w:rPr>
                <w:rFonts w:hint="eastAsia" w:ascii="仿宋" w:hAnsi="仿宋" w:eastAsia="仿宋" w:cs="仿宋"/>
                <w:b w:val="0"/>
                <w:bCs w:val="0"/>
                <w:sz w:val="20"/>
                <w:szCs w:val="20"/>
              </w:rPr>
            </w:pPr>
            <w:r>
              <w:rPr>
                <w:rFonts w:hint="eastAsia" w:ascii="仿宋" w:hAnsi="仿宋" w:eastAsia="仿宋" w:cs="仿宋"/>
                <w:b w:val="0"/>
                <w:bCs w:val="0"/>
                <w:sz w:val="20"/>
                <w:szCs w:val="20"/>
              </w:rPr>
              <w:t>3、预约规则设置</w:t>
            </w:r>
          </w:p>
          <w:p>
            <w:pPr>
              <w:spacing w:after="0" w:line="360" w:lineRule="auto"/>
              <w:jc w:val="left"/>
              <w:rPr>
                <w:rFonts w:hint="eastAsia" w:ascii="仿宋" w:hAnsi="仿宋" w:eastAsia="仿宋" w:cs="仿宋"/>
                <w:b w:val="0"/>
                <w:bCs w:val="0"/>
                <w:sz w:val="20"/>
                <w:szCs w:val="20"/>
              </w:rPr>
            </w:pPr>
            <w:r>
              <w:rPr>
                <w:rFonts w:hint="eastAsia" w:ascii="仿宋" w:hAnsi="仿宋" w:eastAsia="仿宋" w:cs="仿宋"/>
                <w:b w:val="0"/>
                <w:bCs w:val="0"/>
                <w:sz w:val="20"/>
                <w:szCs w:val="20"/>
              </w:rPr>
              <w:t>对琴房的通用预约规则进行管理。如预约时段为上午8:00-12:00，中午12:00-14:00，下午14:00-18:00，晚上18:00-21:00使用时长为2小时、每天可预约次数为1次等。</w:t>
            </w:r>
          </w:p>
          <w:p>
            <w:pPr>
              <w:spacing w:after="0" w:line="360" w:lineRule="auto"/>
              <w:jc w:val="left"/>
              <w:outlineLvl w:val="2"/>
              <w:rPr>
                <w:rFonts w:hint="eastAsia" w:ascii="仿宋" w:hAnsi="仿宋" w:eastAsia="仿宋" w:cs="仿宋"/>
                <w:b w:val="0"/>
                <w:bCs w:val="0"/>
                <w:sz w:val="20"/>
                <w:szCs w:val="20"/>
              </w:rPr>
            </w:pPr>
            <w:r>
              <w:rPr>
                <w:rFonts w:hint="eastAsia" w:ascii="仿宋" w:hAnsi="仿宋" w:eastAsia="仿宋" w:cs="仿宋"/>
                <w:b w:val="0"/>
                <w:bCs w:val="0"/>
                <w:sz w:val="20"/>
                <w:szCs w:val="20"/>
              </w:rPr>
              <w:t>4、预约订单查询</w:t>
            </w:r>
          </w:p>
          <w:p>
            <w:pPr>
              <w:spacing w:after="0" w:line="360" w:lineRule="auto"/>
              <w:jc w:val="left"/>
              <w:rPr>
                <w:rFonts w:hint="eastAsia" w:ascii="仿宋" w:hAnsi="仿宋" w:eastAsia="仿宋" w:cs="仿宋"/>
                <w:b w:val="0"/>
                <w:bCs w:val="0"/>
                <w:sz w:val="20"/>
                <w:szCs w:val="20"/>
              </w:rPr>
            </w:pPr>
            <w:r>
              <w:rPr>
                <w:rFonts w:hint="eastAsia" w:ascii="仿宋" w:hAnsi="仿宋" w:eastAsia="仿宋" w:cs="仿宋"/>
                <w:b w:val="0"/>
                <w:bCs w:val="0"/>
                <w:sz w:val="20"/>
                <w:szCs w:val="20"/>
              </w:rPr>
              <w:t>可以查看所有学生的预约订单信息。可通过学生姓名、琴房名称、订单状态等条件进行筛选，订单内容包括：琴房信息（琴房名称、所在楼栋、楼层、房间号，钢琴信息、备注内容）、琴房使用状态、预约人信息（账户名称、微信号等、专业名称、年级、课程名称）、预约时间、剩余使用时间、使用信息（使用开始时间、使用结束时间）等。</w:t>
            </w:r>
          </w:p>
          <w:p>
            <w:pPr>
              <w:spacing w:after="0" w:line="360" w:lineRule="auto"/>
              <w:jc w:val="left"/>
              <w:outlineLvl w:val="2"/>
              <w:rPr>
                <w:rFonts w:hint="eastAsia" w:ascii="仿宋" w:hAnsi="仿宋" w:eastAsia="仿宋" w:cs="仿宋"/>
                <w:b w:val="0"/>
                <w:bCs w:val="0"/>
                <w:sz w:val="20"/>
                <w:szCs w:val="20"/>
              </w:rPr>
            </w:pPr>
            <w:r>
              <w:rPr>
                <w:rFonts w:hint="eastAsia" w:ascii="仿宋" w:hAnsi="仿宋" w:eastAsia="仿宋" w:cs="仿宋"/>
                <w:b w:val="0"/>
                <w:bCs w:val="0"/>
                <w:sz w:val="20"/>
                <w:szCs w:val="20"/>
              </w:rPr>
              <w:t>5、账号管理</w:t>
            </w:r>
          </w:p>
          <w:p>
            <w:pPr>
              <w:spacing w:after="0" w:line="360" w:lineRule="auto"/>
              <w:jc w:val="left"/>
              <w:rPr>
                <w:rFonts w:hint="eastAsia" w:ascii="仿宋" w:hAnsi="仿宋" w:eastAsia="仿宋" w:cs="仿宋"/>
                <w:b w:val="0"/>
                <w:bCs w:val="0"/>
                <w:sz w:val="20"/>
                <w:szCs w:val="20"/>
              </w:rPr>
            </w:pPr>
            <w:r>
              <w:rPr>
                <w:rFonts w:hint="eastAsia" w:ascii="仿宋" w:hAnsi="仿宋" w:eastAsia="仿宋" w:cs="仿宋"/>
                <w:b w:val="0"/>
                <w:bCs w:val="0"/>
                <w:sz w:val="20"/>
                <w:szCs w:val="20"/>
              </w:rPr>
              <w:t>可以对系统里面的账号进行增行改查、重置密码等操作。可以添加使用预约系统的用户基本信息，通过账户名称进行查询，可以设置登录账户、登录名称、选择账户类型（教职工、学生），选择年级、选择专业，明确学生与年级、专业的关联关系。学生可以通过账户+密码，登录系统小程序进行琴房查询、琴房预约等操作。</w:t>
            </w:r>
          </w:p>
          <w:p>
            <w:pPr>
              <w:spacing w:after="0" w:line="360" w:lineRule="auto"/>
              <w:jc w:val="left"/>
              <w:outlineLvl w:val="2"/>
              <w:rPr>
                <w:rFonts w:hint="eastAsia" w:ascii="仿宋" w:hAnsi="仿宋" w:eastAsia="仿宋" w:cs="仿宋"/>
                <w:b w:val="0"/>
                <w:bCs w:val="0"/>
                <w:sz w:val="20"/>
                <w:szCs w:val="20"/>
              </w:rPr>
            </w:pPr>
            <w:r>
              <w:rPr>
                <w:rFonts w:hint="eastAsia" w:ascii="仿宋" w:hAnsi="仿宋" w:eastAsia="仿宋" w:cs="仿宋"/>
                <w:b w:val="0"/>
                <w:bCs w:val="0"/>
                <w:sz w:val="20"/>
                <w:szCs w:val="20"/>
              </w:rPr>
              <w:t>6、琴房使用分析</w:t>
            </w:r>
          </w:p>
          <w:p>
            <w:pPr>
              <w:spacing w:after="0" w:line="360" w:lineRule="auto"/>
              <w:jc w:val="left"/>
              <w:rPr>
                <w:rFonts w:hint="eastAsia" w:ascii="仿宋" w:hAnsi="仿宋" w:eastAsia="仿宋" w:cs="仿宋"/>
                <w:b w:val="0"/>
                <w:bCs w:val="0"/>
                <w:sz w:val="20"/>
                <w:szCs w:val="20"/>
              </w:rPr>
            </w:pPr>
            <w:r>
              <w:rPr>
                <w:rFonts w:hint="eastAsia" w:ascii="仿宋" w:hAnsi="仿宋" w:eastAsia="仿宋" w:cs="仿宋"/>
                <w:b w:val="0"/>
                <w:bCs w:val="0"/>
                <w:sz w:val="20"/>
                <w:szCs w:val="20"/>
              </w:rPr>
              <w:t>通过AI大数据进行统计分析和特征分布，可以分析出琴房的使用时段分布、琴房的使用率占比、学生的琴房使用时长等数据，有利于高校调节学生用琴矛盾，提高琴房的有效调度。</w:t>
            </w:r>
          </w:p>
          <w:p>
            <w:pPr>
              <w:spacing w:after="0" w:line="360" w:lineRule="auto"/>
              <w:jc w:val="left"/>
              <w:outlineLvl w:val="2"/>
              <w:rPr>
                <w:rFonts w:hint="eastAsia" w:ascii="仿宋" w:hAnsi="仿宋" w:eastAsia="仿宋" w:cs="仿宋"/>
                <w:b w:val="0"/>
                <w:bCs w:val="0"/>
                <w:sz w:val="20"/>
                <w:szCs w:val="20"/>
              </w:rPr>
            </w:pPr>
            <w:r>
              <w:rPr>
                <w:rFonts w:hint="eastAsia" w:ascii="仿宋" w:hAnsi="仿宋" w:eastAsia="仿宋" w:cs="仿宋"/>
                <w:b w:val="0"/>
                <w:bCs w:val="0"/>
                <w:sz w:val="20"/>
                <w:szCs w:val="20"/>
              </w:rPr>
              <w:t>7、系统设置</w:t>
            </w:r>
          </w:p>
          <w:p>
            <w:pPr>
              <w:spacing w:after="0" w:line="360" w:lineRule="auto"/>
              <w:jc w:val="left"/>
              <w:rPr>
                <w:rFonts w:hint="eastAsia" w:ascii="仿宋" w:hAnsi="仿宋" w:eastAsia="仿宋" w:cs="仿宋"/>
                <w:b w:val="0"/>
                <w:bCs w:val="0"/>
                <w:sz w:val="20"/>
                <w:szCs w:val="20"/>
              </w:rPr>
            </w:pPr>
            <w:r>
              <w:rPr>
                <w:rFonts w:hint="eastAsia" w:ascii="仿宋" w:hAnsi="仿宋" w:eastAsia="仿宋" w:cs="仿宋"/>
                <w:b w:val="0"/>
                <w:bCs w:val="0"/>
                <w:sz w:val="20"/>
                <w:szCs w:val="20"/>
              </w:rPr>
              <w:t>数据字典：可以自定义配置年级、专业等数据，为管理功能的关联做数据支撑</w:t>
            </w:r>
          </w:p>
          <w:p>
            <w:pPr>
              <w:spacing w:after="0" w:line="360" w:lineRule="auto"/>
              <w:jc w:val="left"/>
              <w:rPr>
                <w:rFonts w:hint="eastAsia" w:ascii="仿宋" w:hAnsi="仿宋" w:eastAsia="仿宋" w:cs="仿宋"/>
                <w:b w:val="0"/>
                <w:bCs w:val="0"/>
                <w:sz w:val="20"/>
                <w:szCs w:val="20"/>
              </w:rPr>
            </w:pPr>
            <w:r>
              <w:rPr>
                <w:rFonts w:hint="eastAsia" w:ascii="仿宋" w:hAnsi="仿宋" w:eastAsia="仿宋" w:cs="仿宋"/>
                <w:b w:val="0"/>
                <w:bCs w:val="0"/>
                <w:sz w:val="20"/>
                <w:szCs w:val="20"/>
              </w:rPr>
              <w:t>系统日志：对使用系统的用户操作日志进行统计，可以进行查询。</w:t>
            </w:r>
          </w:p>
          <w:p>
            <w:pPr>
              <w:numPr>
                <w:ilvl w:val="0"/>
                <w:numId w:val="6"/>
              </w:numPr>
              <w:spacing w:after="0" w:line="360" w:lineRule="auto"/>
              <w:jc w:val="left"/>
              <w:outlineLvl w:val="1"/>
              <w:rPr>
                <w:rFonts w:hint="eastAsia" w:ascii="仿宋" w:hAnsi="仿宋" w:eastAsia="仿宋" w:cs="仿宋"/>
                <w:b w:val="0"/>
                <w:bCs w:val="0"/>
                <w:sz w:val="20"/>
                <w:szCs w:val="20"/>
              </w:rPr>
            </w:pPr>
            <w:bookmarkStart w:id="51" w:name="_Toc7170"/>
            <w:r>
              <w:rPr>
                <w:rFonts w:hint="eastAsia" w:ascii="仿宋" w:hAnsi="仿宋" w:eastAsia="仿宋" w:cs="仿宋"/>
                <w:b w:val="0"/>
                <w:bCs w:val="0"/>
                <w:sz w:val="20"/>
                <w:szCs w:val="20"/>
              </w:rPr>
              <w:t>移动端功能</w:t>
            </w:r>
            <w:bookmarkEnd w:id="51"/>
          </w:p>
          <w:p>
            <w:pPr>
              <w:spacing w:after="0" w:line="360" w:lineRule="auto"/>
              <w:jc w:val="left"/>
              <w:outlineLvl w:val="2"/>
              <w:rPr>
                <w:rFonts w:hint="eastAsia" w:ascii="仿宋" w:hAnsi="仿宋" w:eastAsia="仿宋" w:cs="仿宋"/>
                <w:b w:val="0"/>
                <w:bCs w:val="0"/>
                <w:sz w:val="20"/>
                <w:szCs w:val="20"/>
              </w:rPr>
            </w:pPr>
            <w:r>
              <w:rPr>
                <w:rFonts w:hint="eastAsia" w:ascii="仿宋" w:hAnsi="仿宋" w:eastAsia="仿宋" w:cs="仿宋"/>
                <w:b w:val="0"/>
                <w:bCs w:val="0"/>
                <w:sz w:val="20"/>
                <w:szCs w:val="20"/>
              </w:rPr>
              <w:t>8、登录授权</w:t>
            </w:r>
          </w:p>
          <w:p>
            <w:pPr>
              <w:spacing w:after="0" w:line="360" w:lineRule="auto"/>
              <w:jc w:val="left"/>
              <w:rPr>
                <w:rFonts w:hint="eastAsia" w:ascii="仿宋" w:hAnsi="仿宋" w:eastAsia="仿宋" w:cs="仿宋"/>
                <w:b w:val="0"/>
                <w:bCs w:val="0"/>
                <w:sz w:val="20"/>
                <w:szCs w:val="20"/>
              </w:rPr>
            </w:pPr>
            <w:r>
              <w:rPr>
                <w:rFonts w:hint="eastAsia" w:ascii="仿宋" w:hAnsi="仿宋" w:eastAsia="仿宋" w:cs="仿宋"/>
                <w:b w:val="0"/>
                <w:bCs w:val="0"/>
                <w:sz w:val="20"/>
                <w:szCs w:val="20"/>
              </w:rPr>
              <w:t>使用登录账户、密码，登录小程序，使用预约系统进行琴房预约。</w:t>
            </w:r>
          </w:p>
          <w:p>
            <w:pPr>
              <w:spacing w:after="0" w:line="360" w:lineRule="auto"/>
              <w:jc w:val="left"/>
              <w:outlineLvl w:val="2"/>
              <w:rPr>
                <w:rFonts w:hint="eastAsia" w:ascii="仿宋" w:hAnsi="仿宋" w:eastAsia="仿宋" w:cs="仿宋"/>
                <w:b w:val="0"/>
                <w:bCs w:val="0"/>
                <w:sz w:val="20"/>
                <w:szCs w:val="20"/>
              </w:rPr>
            </w:pPr>
            <w:r>
              <w:rPr>
                <w:rFonts w:hint="eastAsia" w:ascii="仿宋" w:hAnsi="仿宋" w:eastAsia="仿宋" w:cs="仿宋"/>
                <w:b w:val="0"/>
                <w:bCs w:val="0"/>
                <w:sz w:val="20"/>
                <w:szCs w:val="20"/>
              </w:rPr>
              <w:t>9、琴房查询</w:t>
            </w:r>
          </w:p>
          <w:p>
            <w:pPr>
              <w:spacing w:after="0" w:line="360" w:lineRule="auto"/>
              <w:jc w:val="left"/>
              <w:rPr>
                <w:rFonts w:hint="eastAsia" w:ascii="仿宋" w:hAnsi="仿宋" w:eastAsia="仿宋" w:cs="仿宋"/>
                <w:b w:val="0"/>
                <w:bCs w:val="0"/>
                <w:sz w:val="20"/>
                <w:szCs w:val="20"/>
              </w:rPr>
            </w:pPr>
            <w:r>
              <w:rPr>
                <w:rFonts w:hint="eastAsia" w:ascii="仿宋" w:hAnsi="仿宋" w:eastAsia="仿宋" w:cs="仿宋"/>
                <w:b w:val="0"/>
                <w:bCs w:val="0"/>
                <w:sz w:val="20"/>
                <w:szCs w:val="20"/>
              </w:rPr>
              <w:t>学生登录到系统后，可以通过查询列表看到当前琴房的数量和状态，是否有空闲，然后通过琴房使用状态的展示，选中可预约的琴房，下单预约。</w:t>
            </w:r>
          </w:p>
          <w:p>
            <w:pPr>
              <w:spacing w:after="0" w:line="360" w:lineRule="auto"/>
              <w:jc w:val="left"/>
              <w:outlineLvl w:val="2"/>
              <w:rPr>
                <w:rFonts w:hint="eastAsia" w:ascii="仿宋" w:hAnsi="仿宋" w:eastAsia="仿宋" w:cs="仿宋"/>
                <w:b w:val="0"/>
                <w:bCs w:val="0"/>
                <w:sz w:val="20"/>
                <w:szCs w:val="20"/>
              </w:rPr>
            </w:pPr>
            <w:r>
              <w:rPr>
                <w:rFonts w:hint="eastAsia" w:ascii="仿宋" w:hAnsi="仿宋" w:eastAsia="仿宋" w:cs="仿宋"/>
                <w:b w:val="0"/>
                <w:bCs w:val="0"/>
                <w:sz w:val="20"/>
                <w:szCs w:val="20"/>
              </w:rPr>
              <w:t>10、预约琴房</w:t>
            </w:r>
          </w:p>
          <w:p>
            <w:pPr>
              <w:spacing w:after="0" w:line="360" w:lineRule="auto"/>
              <w:jc w:val="left"/>
              <w:rPr>
                <w:rFonts w:hint="eastAsia" w:ascii="仿宋" w:hAnsi="仿宋" w:eastAsia="仿宋" w:cs="仿宋"/>
                <w:b w:val="0"/>
                <w:bCs w:val="0"/>
                <w:sz w:val="20"/>
                <w:szCs w:val="20"/>
              </w:rPr>
            </w:pPr>
            <w:r>
              <w:rPr>
                <w:rFonts w:hint="eastAsia" w:ascii="仿宋" w:hAnsi="仿宋" w:eastAsia="仿宋" w:cs="仿宋"/>
                <w:b w:val="0"/>
                <w:bCs w:val="0"/>
                <w:sz w:val="20"/>
                <w:szCs w:val="20"/>
              </w:rPr>
              <w:t>在琴房列表界面里，学生只能查看自己专业、课程的尚无人使用的琴房，点击预约按钮，可以把琴房加入预约订单里面进行琴房的预约，预约信息上传至服务器，成功后系统自动下发预约成功的订单信息。</w:t>
            </w:r>
          </w:p>
          <w:p>
            <w:pPr>
              <w:spacing w:after="0" w:line="360" w:lineRule="auto"/>
              <w:jc w:val="left"/>
              <w:outlineLvl w:val="2"/>
              <w:rPr>
                <w:rFonts w:hint="eastAsia" w:ascii="仿宋" w:hAnsi="仿宋" w:eastAsia="仿宋" w:cs="仿宋"/>
                <w:b w:val="0"/>
                <w:bCs w:val="0"/>
                <w:sz w:val="20"/>
                <w:szCs w:val="20"/>
              </w:rPr>
            </w:pPr>
            <w:r>
              <w:rPr>
                <w:rFonts w:hint="eastAsia" w:ascii="仿宋" w:hAnsi="仿宋" w:eastAsia="仿宋" w:cs="仿宋"/>
                <w:b w:val="0"/>
                <w:bCs w:val="0"/>
                <w:sz w:val="20"/>
                <w:szCs w:val="20"/>
              </w:rPr>
              <w:t>11、上琴登记</w:t>
            </w:r>
          </w:p>
          <w:p>
            <w:pPr>
              <w:spacing w:after="0" w:line="360" w:lineRule="auto"/>
              <w:jc w:val="left"/>
              <w:rPr>
                <w:rFonts w:hint="eastAsia" w:ascii="仿宋" w:hAnsi="仿宋" w:eastAsia="仿宋" w:cs="仿宋"/>
                <w:b w:val="0"/>
                <w:bCs w:val="0"/>
                <w:sz w:val="20"/>
                <w:szCs w:val="20"/>
              </w:rPr>
            </w:pPr>
            <w:r>
              <w:rPr>
                <w:rFonts w:hint="eastAsia" w:ascii="仿宋" w:hAnsi="仿宋" w:eastAsia="仿宋" w:cs="仿宋"/>
                <w:b w:val="0"/>
                <w:bCs w:val="0"/>
                <w:sz w:val="20"/>
                <w:szCs w:val="20"/>
              </w:rPr>
              <w:t>预约用户在预约的时间到达已预约的琴房，并点击小程序上进行上琴登记，系统自动连接服务器，验证成功后，同时系统开始记录琴房已经有人使用，并且开始计时。上琴时，若未手动登记上琴，根据预约开始时间判断，超过当前时间，则自动开始计时。</w:t>
            </w:r>
          </w:p>
          <w:p>
            <w:pPr>
              <w:spacing w:after="0" w:line="360" w:lineRule="auto"/>
              <w:jc w:val="left"/>
              <w:outlineLvl w:val="2"/>
              <w:rPr>
                <w:rFonts w:hint="eastAsia" w:ascii="仿宋" w:hAnsi="仿宋" w:eastAsia="仿宋" w:cs="仿宋"/>
                <w:b w:val="0"/>
                <w:bCs w:val="0"/>
                <w:sz w:val="20"/>
                <w:szCs w:val="20"/>
              </w:rPr>
            </w:pPr>
            <w:r>
              <w:rPr>
                <w:rFonts w:hint="eastAsia" w:ascii="仿宋" w:hAnsi="仿宋" w:eastAsia="仿宋" w:cs="仿宋"/>
                <w:b w:val="0"/>
                <w:bCs w:val="0"/>
                <w:sz w:val="20"/>
                <w:szCs w:val="20"/>
              </w:rPr>
              <w:t>12、下琴签退</w:t>
            </w:r>
          </w:p>
          <w:p>
            <w:pPr>
              <w:spacing w:after="0" w:line="360" w:lineRule="auto"/>
              <w:jc w:val="left"/>
              <w:rPr>
                <w:rFonts w:hint="eastAsia" w:ascii="仿宋" w:hAnsi="仿宋" w:eastAsia="仿宋" w:cs="仿宋"/>
                <w:b w:val="0"/>
                <w:bCs w:val="0"/>
                <w:sz w:val="20"/>
                <w:szCs w:val="20"/>
              </w:rPr>
            </w:pPr>
            <w:r>
              <w:rPr>
                <w:rFonts w:hint="eastAsia" w:ascii="仿宋" w:hAnsi="仿宋" w:eastAsia="仿宋" w:cs="仿宋"/>
                <w:b w:val="0"/>
                <w:bCs w:val="0"/>
                <w:sz w:val="20"/>
                <w:szCs w:val="20"/>
              </w:rPr>
              <w:t>预约用户在预约时间内，使用完琴房以后，可以点击下琴签退离开琴房，系统会记录琴房处于空闲状态，方便其他人预约。系统也会根据使用结束时间判断是否超时，超时后琴房会自动更新为下琴签退，使琴房处于空闲状态，减少琴房长时间被占用。</w:t>
            </w:r>
          </w:p>
          <w:p>
            <w:pPr>
              <w:spacing w:after="0" w:line="360" w:lineRule="auto"/>
              <w:jc w:val="left"/>
              <w:outlineLvl w:val="2"/>
              <w:rPr>
                <w:rFonts w:hint="eastAsia" w:ascii="仿宋" w:hAnsi="仿宋" w:eastAsia="仿宋" w:cs="仿宋"/>
                <w:b w:val="0"/>
                <w:bCs w:val="0"/>
                <w:sz w:val="20"/>
                <w:szCs w:val="20"/>
              </w:rPr>
            </w:pPr>
            <w:r>
              <w:rPr>
                <w:rFonts w:hint="eastAsia" w:ascii="仿宋" w:hAnsi="仿宋" w:eastAsia="仿宋" w:cs="仿宋"/>
                <w:b w:val="0"/>
                <w:bCs w:val="0"/>
                <w:sz w:val="20"/>
                <w:szCs w:val="20"/>
              </w:rPr>
              <w:t>13、预约订单查询</w:t>
            </w:r>
          </w:p>
          <w:p>
            <w:pPr>
              <w:spacing w:after="0"/>
              <w:jc w:val="left"/>
              <w:rPr>
                <w:rFonts w:hint="eastAsia" w:ascii="仿宋" w:hAnsi="仿宋" w:eastAsia="仿宋" w:cs="仿宋"/>
                <w:b w:val="0"/>
                <w:bCs w:val="0"/>
                <w:color w:val="000000"/>
                <w:sz w:val="20"/>
                <w:szCs w:val="20"/>
              </w:rPr>
            </w:pPr>
            <w:r>
              <w:rPr>
                <w:rFonts w:hint="eastAsia" w:ascii="仿宋" w:hAnsi="仿宋" w:eastAsia="仿宋" w:cs="仿宋"/>
                <w:b w:val="0"/>
                <w:bCs w:val="0"/>
                <w:sz w:val="20"/>
                <w:szCs w:val="20"/>
              </w:rPr>
              <w:t>可以查看个人账户下的所有预约订单信息。可通过琴房名称、订单状态等条件进行筛选，订单内容包括：琴房信息（琴房名称、所在楼栋、楼层、房间号，钢琴信息、备注内容）、琴房使用状态、预约人信息（账户名称、微信号等、专业名称、年级、课程名称）、预约时间、剩余使用时间、使用信息（使用开始时间、使用结束时间）等。</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rPr>
              <w:t>1</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rPr>
              <w:t>套</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000000"/>
                <w:sz w:val="20"/>
                <w:szCs w:val="20"/>
              </w:rPr>
            </w:pPr>
          </w:p>
        </w:tc>
        <w:tc>
          <w:tcPr>
            <w:tcW w:w="61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000000"/>
                <w:sz w:val="20"/>
                <w:szCs w:val="20"/>
              </w:rPr>
            </w:pPr>
          </w:p>
        </w:tc>
        <w:tc>
          <w:tcPr>
            <w:tcW w:w="104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 w:hAnsi="仿宋" w:eastAsia="仿宋" w:cs="仿宋"/>
                <w:b w:val="0"/>
                <w:bCs w:val="0"/>
                <w:color w:val="000000"/>
                <w:sz w:val="20"/>
                <w:szCs w:val="20"/>
                <w:lang w:val="en-US" w:eastAsia="zh-CN"/>
              </w:rPr>
            </w:pPr>
          </w:p>
        </w:tc>
      </w:tr>
      <w:tr>
        <w:tblPrEx>
          <w:tblCellMar>
            <w:top w:w="0" w:type="dxa"/>
            <w:left w:w="108" w:type="dxa"/>
            <w:bottom w:w="0" w:type="dxa"/>
            <w:right w:w="108" w:type="dxa"/>
          </w:tblCellMar>
        </w:tblPrEx>
        <w:trPr>
          <w:trHeight w:val="23" w:hRule="atLeast"/>
        </w:trPr>
        <w:tc>
          <w:tcPr>
            <w:tcW w:w="21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000000"/>
                <w:sz w:val="20"/>
                <w:szCs w:val="20"/>
                <w:lang w:val="en-US" w:eastAsia="zh-CN"/>
              </w:rPr>
            </w:pPr>
            <w:r>
              <w:rPr>
                <w:rFonts w:hint="eastAsia" w:ascii="仿宋" w:hAnsi="仿宋" w:eastAsia="仿宋" w:cs="仿宋"/>
                <w:b w:val="0"/>
                <w:bCs w:val="0"/>
                <w:color w:val="000000"/>
                <w:sz w:val="20"/>
                <w:szCs w:val="20"/>
                <w:lang w:val="en-US" w:eastAsia="zh-CN"/>
              </w:rPr>
              <w:t>合计</w:t>
            </w:r>
          </w:p>
        </w:tc>
        <w:tc>
          <w:tcPr>
            <w:tcW w:w="7727" w:type="dxa"/>
            <w:gridSpan w:val="6"/>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 w:hAnsi="仿宋" w:eastAsia="仿宋" w:cs="仿宋"/>
                <w:b w:val="0"/>
                <w:bCs w:val="0"/>
                <w:color w:val="000000"/>
                <w:sz w:val="20"/>
                <w:szCs w:val="20"/>
                <w:lang w:val="en-US" w:eastAsia="zh-CN"/>
              </w:rPr>
            </w:pPr>
            <w:r>
              <w:rPr>
                <w:rFonts w:hint="eastAsia" w:ascii="仿宋" w:hAnsi="仿宋" w:eastAsia="仿宋" w:cs="仿宋"/>
                <w:b w:val="0"/>
                <w:bCs w:val="0"/>
                <w:color w:val="000000"/>
                <w:sz w:val="20"/>
                <w:szCs w:val="20"/>
                <w:lang w:val="en-US" w:eastAsia="zh-CN"/>
              </w:rPr>
              <w:t>小写：</w:t>
            </w:r>
          </w:p>
          <w:p>
            <w:pPr>
              <w:pStyle w:val="2"/>
              <w:ind w:left="0" w:leftChars="0" w:firstLine="0" w:firstLineChars="0"/>
              <w:rPr>
                <w:rFonts w:hint="default"/>
                <w:lang w:val="en-US" w:eastAsia="zh-CN"/>
              </w:rPr>
            </w:pPr>
            <w:r>
              <w:rPr>
                <w:rFonts w:hint="eastAsia" w:ascii="仿宋" w:hAnsi="仿宋" w:eastAsia="仿宋" w:cs="仿宋"/>
                <w:b w:val="0"/>
                <w:bCs w:val="0"/>
                <w:color w:val="000000"/>
                <w:sz w:val="20"/>
                <w:szCs w:val="20"/>
                <w:lang w:val="en-US" w:eastAsia="zh-CN"/>
              </w:rPr>
              <w:t>大写：</w:t>
            </w:r>
          </w:p>
        </w:tc>
      </w:tr>
    </w:tbl>
    <w:p>
      <w:pPr>
        <w:spacing w:line="400" w:lineRule="exact"/>
        <w:rPr>
          <w:rFonts w:ascii="仿宋" w:hAnsi="仿宋" w:eastAsia="仿宋"/>
          <w:color w:val="000000" w:themeColor="text1"/>
          <w:sz w:val="24"/>
          <w:szCs w:val="24"/>
          <w14:textFill>
            <w14:solidFill>
              <w14:schemeClr w14:val="tx1"/>
            </w14:solidFill>
          </w14:textFill>
        </w:rPr>
      </w:pPr>
      <w:bookmarkStart w:id="184" w:name="_GoBack"/>
      <w:bookmarkEnd w:id="184"/>
      <w:r>
        <w:rPr>
          <w:rFonts w:hint="eastAsia" w:ascii="仿宋" w:hAnsi="仿宋" w:eastAsia="仿宋"/>
          <w:color w:val="000000" w:themeColor="text1"/>
          <w:sz w:val="24"/>
          <w:szCs w:val="24"/>
          <w14:textFill>
            <w14:solidFill>
              <w14:schemeClr w14:val="tx1"/>
            </w14:solidFill>
          </w14:textFill>
        </w:rPr>
        <w:t>注：</w:t>
      </w:r>
    </w:p>
    <w:p>
      <w:pPr>
        <w:numPr>
          <w:ilvl w:val="0"/>
          <w:numId w:val="7"/>
        </w:numPr>
        <w:spacing w:after="0" w:line="44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本项目采用“公开询价”方式进行，《公开询价项目一览表》中所描述的“分部分项工程”、“项目特征”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7"/>
        </w:numPr>
        <w:spacing w:after="0" w:line="44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参与人所投内容需要提供品牌等真实详细信息，禁止复制采购人所提供的参考参数。</w:t>
      </w:r>
    </w:p>
    <w:p>
      <w:pPr>
        <w:numPr>
          <w:ilvl w:val="0"/>
          <w:numId w:val="7"/>
        </w:numPr>
        <w:spacing w:after="0" w:line="440" w:lineRule="exact"/>
      </w:pPr>
      <w:r>
        <w:rPr>
          <w:rFonts w:hint="eastAsia" w:ascii="仿宋" w:hAnsi="仿宋" w:eastAsia="仿宋"/>
          <w:bCs/>
          <w:color w:val="000000" w:themeColor="text1"/>
          <w:sz w:val="24"/>
          <w:szCs w:val="24"/>
          <w14:textFill>
            <w14:solidFill>
              <w14:schemeClr w14:val="tx1"/>
            </w14:solidFill>
          </w14:textFill>
        </w:rPr>
        <w:t>参与人所投内容报价应包含税费、运输费、搬运费、整体实施、安装调试费、售后服务等一切费用</w:t>
      </w:r>
    </w:p>
    <w:p>
      <w:pPr>
        <w:spacing w:after="0" w:line="440" w:lineRule="exact"/>
        <w:rPr>
          <w:rFonts w:ascii="仿宋" w:hAnsi="仿宋" w:eastAsia="仿宋"/>
          <w:bCs/>
          <w:color w:val="000000" w:themeColor="text1"/>
          <w:sz w:val="24"/>
          <w:szCs w:val="24"/>
          <w14:textFill>
            <w14:solidFill>
              <w14:schemeClr w14:val="tx1"/>
            </w14:solidFill>
          </w14:textFill>
        </w:rPr>
      </w:pPr>
    </w:p>
    <w:p>
      <w:pPr>
        <w:spacing w:after="0" w:line="440" w:lineRule="exact"/>
        <w:rPr>
          <w:rFonts w:ascii="仿宋" w:hAnsi="仿宋" w:eastAsia="仿宋"/>
          <w:bCs/>
          <w:color w:val="000000" w:themeColor="text1"/>
          <w:sz w:val="24"/>
          <w:szCs w:val="24"/>
          <w14:textFill>
            <w14:solidFill>
              <w14:schemeClr w14:val="tx1"/>
            </w14:solidFill>
          </w14:textFill>
        </w:rPr>
      </w:pPr>
    </w:p>
    <w:p>
      <w:pPr>
        <w:spacing w:after="0" w:line="440" w:lineRule="exact"/>
        <w:rPr>
          <w:rFonts w:ascii="仿宋" w:hAnsi="仿宋" w:eastAsia="仿宋"/>
          <w:bCs/>
          <w:color w:val="000000" w:themeColor="text1"/>
          <w:sz w:val="24"/>
          <w:szCs w:val="24"/>
          <w14:textFill>
            <w14:solidFill>
              <w14:schemeClr w14:val="tx1"/>
            </w14:solidFill>
          </w14:textFill>
        </w:rPr>
      </w:pPr>
    </w:p>
    <w:p>
      <w:pPr>
        <w:spacing w:after="0" w:line="440" w:lineRule="exact"/>
        <w:rPr>
          <w:rFonts w:ascii="仿宋" w:hAnsi="仿宋" w:eastAsia="仿宋"/>
          <w:bCs/>
          <w:color w:val="000000" w:themeColor="text1"/>
          <w:sz w:val="24"/>
          <w:szCs w:val="24"/>
          <w14:textFill>
            <w14:solidFill>
              <w14:schemeClr w14:val="tx1"/>
            </w14:solidFill>
          </w14:textFill>
        </w:rPr>
      </w:pPr>
    </w:p>
    <w:p>
      <w:pPr>
        <w:spacing w:after="0" w:line="440" w:lineRule="exact"/>
        <w:rPr>
          <w:rFonts w:ascii="仿宋" w:hAnsi="仿宋" w:eastAsia="仿宋"/>
          <w:bCs/>
          <w:color w:val="000000" w:themeColor="text1"/>
          <w:sz w:val="24"/>
          <w:szCs w:val="24"/>
          <w14:textFill>
            <w14:solidFill>
              <w14:schemeClr w14:val="tx1"/>
            </w14:solidFill>
          </w14:textFill>
        </w:rPr>
      </w:pPr>
    </w:p>
    <w:p>
      <w:pPr>
        <w:spacing w:after="0" w:line="440" w:lineRule="exact"/>
        <w:rPr>
          <w:rFonts w:ascii="仿宋" w:hAnsi="仿宋" w:eastAsia="仿宋"/>
          <w:bCs/>
          <w:color w:val="000000" w:themeColor="text1"/>
          <w:sz w:val="24"/>
          <w:szCs w:val="24"/>
          <w14:textFill>
            <w14:solidFill>
              <w14:schemeClr w14:val="tx1"/>
            </w14:solidFill>
          </w14:textFill>
        </w:rPr>
      </w:pPr>
    </w:p>
    <w:p>
      <w:pPr>
        <w:spacing w:after="0" w:line="440" w:lineRule="exact"/>
        <w:rPr>
          <w:rFonts w:ascii="仿宋" w:hAnsi="仿宋" w:eastAsia="仿宋"/>
          <w:bCs/>
          <w:color w:val="000000" w:themeColor="text1"/>
          <w:sz w:val="24"/>
          <w:szCs w:val="24"/>
          <w14:textFill>
            <w14:solidFill>
              <w14:schemeClr w14:val="tx1"/>
            </w14:solidFill>
          </w14:textFill>
        </w:rPr>
      </w:pPr>
    </w:p>
    <w:p>
      <w:pPr>
        <w:spacing w:after="0" w:line="440" w:lineRule="exact"/>
        <w:rPr>
          <w:rFonts w:ascii="仿宋" w:hAnsi="仿宋" w:eastAsia="仿宋"/>
          <w:bCs/>
          <w:color w:val="000000" w:themeColor="text1"/>
          <w:sz w:val="24"/>
          <w:szCs w:val="24"/>
          <w14:textFill>
            <w14:solidFill>
              <w14:schemeClr w14:val="tx1"/>
            </w14:solidFill>
          </w14:textFill>
        </w:rPr>
      </w:pPr>
    </w:p>
    <w:p>
      <w:pPr>
        <w:spacing w:after="0" w:line="440" w:lineRule="exact"/>
        <w:rPr>
          <w:rFonts w:ascii="仿宋" w:hAnsi="仿宋" w:eastAsia="仿宋"/>
          <w:bCs/>
          <w:color w:val="000000" w:themeColor="text1"/>
          <w:sz w:val="24"/>
          <w:szCs w:val="24"/>
          <w14:textFill>
            <w14:solidFill>
              <w14:schemeClr w14:val="tx1"/>
            </w14:solidFill>
          </w14:textFill>
        </w:rPr>
      </w:pPr>
    </w:p>
    <w:p>
      <w:pPr>
        <w:pStyle w:val="2"/>
        <w:rPr>
          <w:rFonts w:ascii="仿宋" w:hAnsi="仿宋" w:eastAsia="仿宋"/>
          <w:bCs/>
          <w:color w:val="000000" w:themeColor="text1"/>
          <w:sz w:val="24"/>
          <w:szCs w:val="24"/>
          <w14:textFill>
            <w14:solidFill>
              <w14:schemeClr w14:val="tx1"/>
            </w14:solidFill>
          </w14:textFill>
        </w:rPr>
      </w:pPr>
    </w:p>
    <w:p>
      <w:pPr>
        <w:pStyle w:val="3"/>
        <w:rPr>
          <w:rFonts w:ascii="仿宋" w:hAnsi="仿宋" w:eastAsia="仿宋"/>
          <w:bCs/>
          <w:color w:val="000000" w:themeColor="text1"/>
          <w:sz w:val="24"/>
          <w:szCs w:val="24"/>
          <w14:textFill>
            <w14:solidFill>
              <w14:schemeClr w14:val="tx1"/>
            </w14:solidFill>
          </w14:textFill>
        </w:rPr>
      </w:pPr>
    </w:p>
    <w:p>
      <w:pPr>
        <w:pStyle w:val="4"/>
        <w:rPr>
          <w:rFonts w:ascii="仿宋" w:hAnsi="仿宋" w:eastAsia="仿宋"/>
          <w:bCs/>
          <w:color w:val="000000" w:themeColor="text1"/>
          <w:sz w:val="24"/>
          <w:szCs w:val="24"/>
          <w14:textFill>
            <w14:solidFill>
              <w14:schemeClr w14:val="tx1"/>
            </w14:solidFill>
          </w14:textFill>
        </w:rPr>
      </w:pPr>
    </w:p>
    <w:p/>
    <w:p>
      <w:pPr>
        <w:spacing w:after="0" w:line="440" w:lineRule="exact"/>
        <w:rPr>
          <w:rFonts w:ascii="仿宋" w:hAnsi="仿宋" w:eastAsia="仿宋"/>
          <w:bCs/>
          <w:color w:val="000000" w:themeColor="text1"/>
          <w:sz w:val="24"/>
          <w:szCs w:val="24"/>
          <w14:textFill>
            <w14:solidFill>
              <w14:schemeClr w14:val="tx1"/>
            </w14:solidFill>
          </w14:textFill>
        </w:rPr>
      </w:pPr>
    </w:p>
    <w:p>
      <w:pPr>
        <w:spacing w:after="0" w:line="440" w:lineRule="exact"/>
        <w:rPr>
          <w:rFonts w:ascii="仿宋" w:hAnsi="仿宋" w:eastAsia="仿宋"/>
          <w:bCs/>
          <w:color w:val="000000" w:themeColor="text1"/>
          <w:sz w:val="24"/>
          <w:szCs w:val="24"/>
          <w14:textFill>
            <w14:solidFill>
              <w14:schemeClr w14:val="tx1"/>
            </w14:solidFill>
          </w14:textFill>
        </w:rPr>
      </w:pPr>
    </w:p>
    <w:p>
      <w:pPr>
        <w:spacing w:after="0" w:line="440" w:lineRule="exact"/>
        <w:rPr>
          <w:rFonts w:ascii="仿宋" w:hAnsi="仿宋" w:eastAsia="仿宋"/>
          <w:bCs/>
          <w:color w:val="000000" w:themeColor="text1"/>
          <w:sz w:val="24"/>
          <w:szCs w:val="24"/>
          <w14:textFill>
            <w14:solidFill>
              <w14:schemeClr w14:val="tx1"/>
            </w14:solidFill>
          </w14:textFill>
        </w:rPr>
      </w:pPr>
    </w:p>
    <w:p>
      <w:pPr>
        <w:spacing w:after="0" w:line="440" w:lineRule="exact"/>
        <w:rPr>
          <w:rFonts w:ascii="仿宋" w:hAnsi="仿宋" w:eastAsia="仿宋"/>
          <w:bCs/>
          <w:color w:val="000000" w:themeColor="text1"/>
          <w:sz w:val="24"/>
          <w:szCs w:val="24"/>
          <w14:textFill>
            <w14:solidFill>
              <w14:schemeClr w14:val="tx1"/>
            </w14:solidFill>
          </w14:textFill>
        </w:rPr>
      </w:pPr>
    </w:p>
    <w:p>
      <w:pPr>
        <w:spacing w:after="0" w:line="440" w:lineRule="exact"/>
        <w:rPr>
          <w:rFonts w:ascii="仿宋" w:hAnsi="仿宋" w:eastAsia="仿宋"/>
          <w:bCs/>
          <w:color w:val="000000" w:themeColor="text1"/>
          <w:sz w:val="24"/>
          <w:szCs w:val="24"/>
          <w14:textFill>
            <w14:solidFill>
              <w14:schemeClr w14:val="tx1"/>
            </w14:solidFill>
          </w14:textFill>
        </w:rPr>
        <w:sectPr>
          <w:headerReference r:id="rId6" w:type="first"/>
          <w:headerReference r:id="rId5" w:type="default"/>
          <w:pgSz w:w="11906" w:h="16838"/>
          <w:pgMar w:top="1610" w:right="1416" w:bottom="1440" w:left="1134" w:header="850" w:footer="227" w:gutter="0"/>
          <w:cols w:space="425" w:num="1"/>
          <w:titlePg/>
          <w:docGrid w:type="lines" w:linePitch="312" w:charSpace="0"/>
        </w:sectPr>
      </w:pPr>
    </w:p>
    <w:p>
      <w:pPr>
        <w:spacing w:line="240" w:lineRule="auto"/>
        <w:rPr>
          <w:rFonts w:ascii="仿宋" w:hAnsi="仿宋" w:eastAsia="仿宋"/>
          <w:b/>
          <w:color w:val="000000" w:themeColor="text1"/>
          <w:sz w:val="40"/>
          <w:szCs w:val="40"/>
          <w14:textFill>
            <w14:solidFill>
              <w14:schemeClr w14:val="tx1"/>
            </w14:solidFill>
          </w14:textFill>
        </w:rPr>
      </w:pPr>
    </w:p>
    <w:p>
      <w:pPr>
        <w:spacing w:line="240" w:lineRule="auto"/>
        <w:rPr>
          <w:rFonts w:ascii="仿宋" w:hAnsi="仿宋" w:eastAsia="仿宋"/>
          <w:b/>
          <w:color w:val="000000" w:themeColor="text1"/>
          <w:sz w:val="40"/>
          <w:szCs w:val="40"/>
          <w14:textFill>
            <w14:solidFill>
              <w14:schemeClr w14:val="tx1"/>
            </w14:solidFill>
          </w14:textFill>
        </w:rPr>
      </w:pPr>
    </w:p>
    <w:p>
      <w:pPr>
        <w:spacing w:line="580" w:lineRule="exact"/>
        <w:jc w:val="center"/>
        <w:rPr>
          <w:rFonts w:ascii="仿宋" w:hAnsi="仿宋" w:eastAsia="仿宋"/>
          <w:b/>
          <w:color w:val="000000" w:themeColor="text1"/>
          <w:sz w:val="40"/>
          <w:szCs w:val="40"/>
          <w14:textFill>
            <w14:solidFill>
              <w14:schemeClr w14:val="tx1"/>
            </w14:solidFill>
          </w14:textFill>
        </w:rPr>
      </w:pPr>
      <w:r>
        <w:rPr>
          <w:rFonts w:hint="eastAsia" w:ascii="仿宋" w:hAnsi="仿宋" w:eastAsia="仿宋"/>
          <w:b/>
          <w:color w:val="000000" w:themeColor="text1"/>
          <w:sz w:val="40"/>
          <w:szCs w:val="40"/>
          <w14:textFill>
            <w14:solidFill>
              <w14:schemeClr w14:val="tx1"/>
            </w14:solidFill>
          </w14:textFill>
        </w:rPr>
        <w:t>重庆外语外事学</w:t>
      </w:r>
      <w:r>
        <w:rPr>
          <w:rFonts w:ascii="仿宋" w:hAnsi="仿宋" w:eastAsia="仿宋"/>
          <w:b/>
          <w:color w:val="000000" w:themeColor="text1"/>
          <w:sz w:val="40"/>
          <w:szCs w:val="40"/>
          <w14:textFill>
            <w14:solidFill>
              <w14:schemeClr w14:val="tx1"/>
            </w14:solidFill>
          </w14:textFill>
        </w:rPr>
        <w:drawing>
          <wp:anchor distT="0" distB="0" distL="114300" distR="114300" simplePos="0" relativeHeight="251660288" behindDoc="0" locked="0" layoutInCell="1" allowOverlap="1">
            <wp:simplePos x="0" y="0"/>
            <wp:positionH relativeFrom="column">
              <wp:posOffset>2540</wp:posOffset>
            </wp:positionH>
            <wp:positionV relativeFrom="paragraph">
              <wp:posOffset>-194310</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13"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Pr>
          <w:rFonts w:hint="eastAsia" w:ascii="仿宋" w:hAnsi="仿宋" w:eastAsia="仿宋"/>
          <w:b/>
          <w:color w:val="000000" w:themeColor="text1"/>
          <w:sz w:val="40"/>
          <w:szCs w:val="40"/>
          <w14:textFill>
            <w14:solidFill>
              <w14:schemeClr w14:val="tx1"/>
            </w14:solidFill>
          </w14:textFill>
        </w:rPr>
        <w:t>智能琴房管理系统采购项目</w:t>
      </w:r>
    </w:p>
    <w:p>
      <w:pPr>
        <w:pStyle w:val="6"/>
      </w:pP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报</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价</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响</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应</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文</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件</w:t>
      </w:r>
    </w:p>
    <w:p>
      <w:pPr>
        <w:spacing w:line="580" w:lineRule="exact"/>
        <w:jc w:val="center"/>
        <w:rPr>
          <w:rFonts w:ascii="仿宋" w:hAnsi="仿宋" w:eastAsia="仿宋"/>
          <w:b/>
          <w:color w:val="000000" w:themeColor="text1"/>
          <w:sz w:val="72"/>
          <w:szCs w:val="72"/>
          <w14:textFill>
            <w14:solidFill>
              <w14:schemeClr w14:val="tx1"/>
            </w14:solidFill>
          </w14:textFill>
        </w:rPr>
      </w:pPr>
    </w:p>
    <w:p>
      <w:pPr>
        <w:spacing w:line="500" w:lineRule="exact"/>
        <w:ind w:firstLine="2656" w:firstLineChars="945"/>
        <w:rPr>
          <w:rFonts w:ascii="仿宋" w:hAnsi="仿宋" w:eastAsia="仿宋"/>
          <w:b/>
          <w:color w:val="FF0000"/>
          <w:sz w:val="28"/>
          <w:szCs w:val="28"/>
        </w:rPr>
      </w:pPr>
      <w:r>
        <w:rPr>
          <w:rFonts w:hint="eastAsia" w:ascii="仿宋" w:hAnsi="仿宋" w:eastAsia="仿宋"/>
          <w:b/>
          <w:sz w:val="28"/>
          <w:szCs w:val="28"/>
        </w:rPr>
        <w:t>参与人名称（公司全称）：</w:t>
      </w:r>
      <w:r>
        <w:rPr>
          <w:rFonts w:hint="eastAsia" w:ascii="仿宋" w:hAnsi="仿宋" w:eastAsia="仿宋"/>
          <w:b/>
          <w:color w:val="FF0000"/>
          <w:sz w:val="28"/>
          <w:szCs w:val="28"/>
        </w:rPr>
        <w:t>XXXX</w:t>
      </w:r>
    </w:p>
    <w:p>
      <w:pPr>
        <w:spacing w:line="500" w:lineRule="exact"/>
        <w:ind w:firstLine="2656" w:firstLineChars="945"/>
        <w:rPr>
          <w:rFonts w:ascii="仿宋" w:hAnsi="仿宋" w:eastAsia="仿宋"/>
          <w:b/>
          <w:color w:val="FF0000"/>
          <w:sz w:val="28"/>
          <w:szCs w:val="28"/>
        </w:rPr>
      </w:pPr>
      <w:r>
        <w:rPr>
          <w:rFonts w:hint="eastAsia" w:ascii="仿宋" w:hAnsi="仿宋" w:eastAsia="仿宋"/>
          <w:b/>
          <w:sz w:val="28"/>
          <w:szCs w:val="28"/>
        </w:rPr>
        <w:t>参与人授权代表：</w:t>
      </w:r>
      <w:r>
        <w:rPr>
          <w:rFonts w:hint="eastAsia" w:ascii="仿宋" w:hAnsi="仿宋" w:eastAsia="仿宋"/>
          <w:b/>
          <w:color w:val="FF0000"/>
          <w:sz w:val="28"/>
          <w:szCs w:val="28"/>
        </w:rPr>
        <w:t>XXXX</w:t>
      </w:r>
    </w:p>
    <w:p>
      <w:pPr>
        <w:rPr>
          <w:rFonts w:ascii="仿宋" w:hAnsi="仿宋" w:eastAsia="仿宋"/>
          <w:b/>
          <w:bCs/>
          <w:sz w:val="30"/>
          <w:szCs w:val="30"/>
        </w:rPr>
      </w:pPr>
    </w:p>
    <w:p>
      <w:pPr>
        <w:pStyle w:val="6"/>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pStyle w:val="6"/>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outlineLvl w:val="1"/>
        <w:rPr>
          <w:rFonts w:ascii="仿宋" w:hAnsi="仿宋" w:eastAsia="仿宋"/>
          <w:b/>
          <w:bCs/>
          <w:color w:val="000000" w:themeColor="text1"/>
          <w:sz w:val="28"/>
          <w:szCs w:val="28"/>
          <w14:textFill>
            <w14:solidFill>
              <w14:schemeClr w14:val="tx1"/>
            </w14:solidFill>
          </w14:textFill>
        </w:rPr>
      </w:pPr>
      <w:bookmarkStart w:id="52" w:name="_Toc230071147"/>
      <w:bookmarkStart w:id="53" w:name="_Toc181436565"/>
      <w:bookmarkStart w:id="54" w:name="_Toc236021449"/>
      <w:bookmarkStart w:id="55" w:name="_Toc213755995"/>
      <w:bookmarkStart w:id="56" w:name="_Toc213755939"/>
      <w:bookmarkStart w:id="57" w:name="_Toc193165734"/>
      <w:bookmarkStart w:id="58" w:name="_Toc170798793"/>
      <w:bookmarkStart w:id="59" w:name="_Toc211917116"/>
      <w:bookmarkStart w:id="60" w:name="_Toc182372782"/>
      <w:bookmarkStart w:id="61" w:name="_Toc266868937"/>
      <w:bookmarkStart w:id="62" w:name="_Toc192996338"/>
      <w:bookmarkStart w:id="63" w:name="_Toc213756051"/>
      <w:bookmarkStart w:id="64" w:name="_Toc251613829"/>
      <w:bookmarkStart w:id="65" w:name="_Toc267059653"/>
      <w:bookmarkStart w:id="66" w:name="_Toc251586231"/>
      <w:bookmarkStart w:id="67" w:name="_Toc267059539"/>
      <w:bookmarkStart w:id="68" w:name="_Toc259520865"/>
      <w:bookmarkStart w:id="69" w:name="_Toc267059030"/>
      <w:bookmarkStart w:id="70" w:name="_Toc213755858"/>
      <w:bookmarkStart w:id="71" w:name="_Toc259692740"/>
      <w:bookmarkStart w:id="72" w:name="_Toc266870907"/>
      <w:bookmarkStart w:id="73" w:name="_Toc267059919"/>
      <w:bookmarkStart w:id="74" w:name="_Toc160880160"/>
      <w:bookmarkStart w:id="75" w:name="_Toc181436461"/>
      <w:bookmarkStart w:id="76" w:name="_Toc191783222"/>
      <w:bookmarkStart w:id="77" w:name="_Toc259692647"/>
      <w:bookmarkStart w:id="78" w:name="_Toc273178698"/>
      <w:bookmarkStart w:id="79" w:name="_Toc255975007"/>
      <w:bookmarkStart w:id="80" w:name="_Toc254790899"/>
      <w:bookmarkStart w:id="81" w:name="_Toc213208766"/>
      <w:bookmarkStart w:id="82" w:name="_Toc267060208"/>
      <w:bookmarkStart w:id="83" w:name="_Toc180302913"/>
      <w:bookmarkStart w:id="84" w:name="_Toc266870432"/>
      <w:bookmarkStart w:id="85" w:name="_Toc192996446"/>
      <w:bookmarkStart w:id="86" w:name="_Toc217891402"/>
      <w:bookmarkStart w:id="87" w:name="_Toc219800243"/>
      <w:bookmarkStart w:id="88" w:name="_Toc267059181"/>
      <w:bookmarkStart w:id="89" w:name="_Toc182805217"/>
      <w:bookmarkStart w:id="90" w:name="_Toc249325711"/>
      <w:bookmarkStart w:id="91" w:name="_Toc225669322"/>
      <w:bookmarkStart w:id="92" w:name="_Toc266868670"/>
      <w:bookmarkStart w:id="93" w:name="_Toc191789329"/>
      <w:bookmarkStart w:id="94" w:name="_Toc267060321"/>
      <w:bookmarkStart w:id="95" w:name="_Toc223146608"/>
      <w:bookmarkStart w:id="96" w:name="_Toc169332949"/>
      <w:bookmarkStart w:id="97" w:name="_Toc227058530"/>
      <w:bookmarkStart w:id="98" w:name="_Toc177985469"/>
      <w:bookmarkStart w:id="99" w:name="_Toc235438344"/>
      <w:bookmarkStart w:id="100" w:name="_Toc191803626"/>
      <w:bookmarkStart w:id="101" w:name="_Toc232302115"/>
      <w:bookmarkStart w:id="102" w:name="_Toc267060068"/>
      <w:bookmarkStart w:id="103" w:name="_Toc169332838"/>
      <w:bookmarkStart w:id="104" w:name="_Toc191802690"/>
      <w:bookmarkStart w:id="105" w:name="_Toc267060453"/>
      <w:bookmarkStart w:id="106" w:name="_Toc266870833"/>
      <w:bookmarkStart w:id="107" w:name="_Toc253066614"/>
      <w:bookmarkStart w:id="108" w:name="_Toc235438274"/>
      <w:bookmarkStart w:id="109" w:name="_Toc203355733"/>
      <w:bookmarkStart w:id="110" w:name="_Toc160880529"/>
      <w:bookmarkStart w:id="111" w:name="_Toc192664153"/>
      <w:bookmarkStart w:id="112" w:name="_Toc258401256"/>
      <w:bookmarkStart w:id="113" w:name="_Toc192663835"/>
      <w:bookmarkStart w:id="114" w:name="_Toc235437991"/>
      <w:bookmarkStart w:id="115" w:name="_Toc193160448"/>
      <w:bookmarkStart w:id="116" w:name="_Toc192663686"/>
      <w:bookmarkStart w:id="117" w:name="_Toc267059806"/>
    </w:p>
    <w:p>
      <w:pPr>
        <w:outlineLvl w:val="1"/>
        <w:rPr>
          <w:rFonts w:ascii="仿宋" w:hAnsi="仿宋" w:eastAsia="仿宋"/>
          <w:b/>
          <w:bCs/>
          <w:color w:val="000000" w:themeColor="text1"/>
          <w:sz w:val="28"/>
          <w:szCs w:val="28"/>
          <w14:textFill>
            <w14:solidFill>
              <w14:schemeClr w14:val="tx1"/>
            </w14:solidFill>
          </w14:textFill>
        </w:rPr>
      </w:pPr>
    </w:p>
    <w:p>
      <w:pPr>
        <w:outlineLvl w:val="1"/>
        <w:rPr>
          <w:rFonts w:ascii="仿宋" w:hAnsi="仿宋" w:eastAsia="仿宋"/>
          <w:b/>
          <w:bCs/>
          <w:color w:val="000000" w:themeColor="text1"/>
          <w:sz w:val="28"/>
          <w:szCs w:val="28"/>
          <w14:textFill>
            <w14:solidFill>
              <w14:schemeClr w14:val="tx1"/>
            </w14:solidFill>
          </w14:textFill>
        </w:rPr>
      </w:pPr>
    </w:p>
    <w:p>
      <w:pPr>
        <w:jc w:val="center"/>
        <w:outlineLvl w:val="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仿宋" w:hAnsi="仿宋" w:eastAsia="仿宋"/>
          <w:b/>
          <w:bCs/>
          <w:color w:val="000000" w:themeColor="text1"/>
          <w:sz w:val="28"/>
          <w:szCs w:val="28"/>
          <w14:textFill>
            <w14:solidFill>
              <w14:schemeClr w14:val="tx1"/>
            </w14:solidFill>
          </w14:textFill>
        </w:rPr>
        <w:t>询价响应函</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致：重庆外语外事学院</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根据贵学校编号为</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项目名称为</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的公开询价邀请，本签字代表</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（全名、职务）正式授权并代表我方</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（参与人公司名称）提交下述文件。</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 报价一览表</w:t>
      </w:r>
    </w:p>
    <w:p>
      <w:pPr>
        <w:spacing w:after="0" w:line="480" w:lineRule="exact"/>
        <w:ind w:firstLine="364" w:firstLineChars="152"/>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 参与人资质证明</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据此函，签字代表宣布同意如下：</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1.所附详细报价表中规定的应提供和交付的货物及服务报价总价（国内现场交货价）为人民币 </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，即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（中文表述），交货期为</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天</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3.保证遵守公开询价文件的全部规定，所提交的材料中所含的信息均为真实、准确、完整，且不具有任何误导性。</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4.同意按公开询价文件的规定履行合同责任和义务。</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.同意提供按照贵方可能要求的与其公开询价有关的一切数据或资料</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w:t>
      </w:r>
      <w:r>
        <w:rPr>
          <w:rFonts w:hint="eastAsia" w:ascii="仿宋" w:hAnsi="仿宋" w:eastAsia="仿宋"/>
          <w:color w:val="000000" w:themeColor="text1"/>
          <w:sz w:val="24"/>
          <w:szCs w:val="24"/>
          <w14:textFill>
            <w14:solidFill>
              <w14:schemeClr w14:val="tx1"/>
            </w14:solidFill>
          </w14:textFill>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p>
    <w:p>
      <w:pPr>
        <w:spacing w:after="0" w:line="480" w:lineRule="exact"/>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p>
    <w:p>
      <w:pPr>
        <w:spacing w:after="0" w:line="480" w:lineRule="exact"/>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p>
    <w:p>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参与人（公司全称并加盖公章）：</w:t>
      </w:r>
      <w:r>
        <w:rPr>
          <w:rFonts w:hint="eastAsia" w:ascii="仿宋" w:hAnsi="仿宋" w:eastAsia="仿宋"/>
          <w:color w:val="000000" w:themeColor="text1"/>
          <w:sz w:val="24"/>
          <w:szCs w:val="24"/>
          <w:u w:val="single"/>
          <w14:textFill>
            <w14:solidFill>
              <w14:schemeClr w14:val="tx1"/>
            </w14:solidFill>
          </w14:textFill>
        </w:rPr>
        <w:t xml:space="preserve">                       </w:t>
      </w:r>
    </w:p>
    <w:p>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参与人授权代表签字： </w:t>
      </w:r>
      <w:r>
        <w:rPr>
          <w:rFonts w:hint="eastAsia" w:ascii="仿宋" w:hAnsi="仿宋" w:eastAsia="仿宋"/>
          <w:color w:val="000000" w:themeColor="text1"/>
          <w:sz w:val="24"/>
          <w:szCs w:val="24"/>
          <w:u w:val="single"/>
          <w14:textFill>
            <w14:solidFill>
              <w14:schemeClr w14:val="tx1"/>
            </w14:solidFill>
          </w14:textFill>
        </w:rPr>
        <w:t xml:space="preserve">                </w:t>
      </w:r>
    </w:p>
    <w:p>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电 </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话：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w:t>
      </w:r>
      <w:r>
        <w:rPr>
          <w:rFonts w:hint="eastAsia" w:ascii="仿宋" w:hAnsi="仿宋" w:eastAsia="仿宋"/>
          <w:b/>
          <w:bCs/>
          <w:color w:val="000000" w:themeColor="text1"/>
          <w:sz w:val="24"/>
          <w:szCs w:val="24"/>
          <w14:textFill>
            <w14:solidFill>
              <w14:schemeClr w14:val="tx1"/>
            </w14:solidFill>
          </w14:textFill>
        </w:rPr>
        <w:t>（手机号码）</w:t>
      </w:r>
    </w:p>
    <w:p>
      <w:pPr>
        <w:pStyle w:val="60"/>
        <w:spacing w:line="480" w:lineRule="exact"/>
        <w:ind w:firstLine="480" w:firstLineChars="200"/>
        <w:jc w:val="left"/>
        <w:outlineLvl w:val="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日  期：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年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月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日</w:t>
      </w:r>
    </w:p>
    <w:p>
      <w:pPr>
        <w:rPr>
          <w:rFonts w:ascii="仿宋" w:hAnsi="仿宋" w:eastAsia="仿宋" w:cs="Times New Roman"/>
          <w:color w:val="000000" w:themeColor="text1"/>
          <w:kern w:val="2"/>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p>
    <w:p>
      <w:pPr>
        <w:jc w:val="center"/>
        <w:outlineLvl w:val="1"/>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、报价一览表</w:t>
      </w:r>
    </w:p>
    <w:p>
      <w:pPr>
        <w:spacing w:line="380" w:lineRule="exact"/>
        <w:ind w:left="147" w:leftChars="67"/>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w:t>
      </w:r>
      <w:r>
        <w:rPr>
          <w:rFonts w:hint="eastAsia" w:ascii="仿宋" w:hAnsi="仿宋" w:eastAsia="仿宋"/>
          <w:color w:val="000000" w:themeColor="text1"/>
          <w:sz w:val="24"/>
          <w:szCs w:val="24"/>
          <w:lang w:val="zh-CN"/>
          <w14:textFill>
            <w14:solidFill>
              <w14:schemeClr w14:val="tx1"/>
            </w14:solidFill>
          </w14:textFill>
        </w:rPr>
        <w:t>（公司全称并加盖公章）</w:t>
      </w:r>
      <w:r>
        <w:rPr>
          <w:rFonts w:hint="eastAsia" w:ascii="仿宋" w:hAnsi="仿宋" w:eastAsia="仿宋"/>
          <w:color w:val="000000" w:themeColor="text1"/>
          <w:sz w:val="24"/>
          <w:szCs w:val="24"/>
          <w14:textFill>
            <w14:solidFill>
              <w14:schemeClr w14:val="tx1"/>
            </w14:solidFill>
          </w14:textFill>
        </w:rPr>
        <w:t xml:space="preserve">                   项目编号：</w:t>
      </w:r>
    </w:p>
    <w:p>
      <w:pPr>
        <w:spacing w:line="380" w:lineRule="exact"/>
        <w:ind w:left="147" w:leftChars="67"/>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货币单位：</w:t>
      </w:r>
    </w:p>
    <w:tbl>
      <w:tblPr>
        <w:tblStyle w:val="27"/>
        <w:tblpPr w:leftFromText="180" w:rightFromText="180" w:vertAnchor="text" w:horzAnchor="page" w:tblpX="1142" w:tblpY="579"/>
        <w:tblOverlap w:val="never"/>
        <w:tblW w:w="0" w:type="auto"/>
        <w:tblInd w:w="0" w:type="dxa"/>
        <w:tblLayout w:type="fixed"/>
        <w:tblCellMar>
          <w:top w:w="0" w:type="dxa"/>
          <w:left w:w="108" w:type="dxa"/>
          <w:bottom w:w="0" w:type="dxa"/>
          <w:right w:w="108" w:type="dxa"/>
        </w:tblCellMar>
      </w:tblPr>
      <w:tblGrid>
        <w:gridCol w:w="618"/>
        <w:gridCol w:w="1532"/>
        <w:gridCol w:w="4213"/>
        <w:gridCol w:w="618"/>
        <w:gridCol w:w="618"/>
        <w:gridCol w:w="618"/>
        <w:gridCol w:w="618"/>
        <w:gridCol w:w="618"/>
        <w:gridCol w:w="1042"/>
      </w:tblGrid>
      <w:tr>
        <w:tblPrEx>
          <w:tblCellMar>
            <w:top w:w="0" w:type="dxa"/>
            <w:left w:w="108" w:type="dxa"/>
            <w:bottom w:w="0" w:type="dxa"/>
            <w:right w:w="108" w:type="dxa"/>
          </w:tblCellMar>
        </w:tblPrEx>
        <w:tc>
          <w:tcPr>
            <w:tcW w:w="618"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rPr>
              <w:t>序号</w:t>
            </w:r>
          </w:p>
        </w:tc>
        <w:tc>
          <w:tcPr>
            <w:tcW w:w="1532" w:type="dxa"/>
            <w:tcBorders>
              <w:top w:val="single" w:color="auto" w:sz="4" w:space="0"/>
              <w:left w:val="nil"/>
              <w:bottom w:val="single" w:color="auto" w:sz="4" w:space="0"/>
              <w:right w:val="single" w:color="auto" w:sz="4" w:space="0"/>
            </w:tcBorders>
            <w:shd w:val="clear" w:color="auto" w:fill="auto"/>
            <w:noWrap/>
            <w:vAlign w:val="bottom"/>
          </w:tcPr>
          <w:p>
            <w:pPr>
              <w:jc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rPr>
              <w:t>设备名称</w:t>
            </w:r>
          </w:p>
        </w:tc>
        <w:tc>
          <w:tcPr>
            <w:tcW w:w="4213" w:type="dxa"/>
            <w:tcBorders>
              <w:top w:val="single" w:color="auto" w:sz="4" w:space="0"/>
              <w:left w:val="nil"/>
              <w:bottom w:val="single" w:color="auto" w:sz="4" w:space="0"/>
              <w:right w:val="single" w:color="auto" w:sz="4" w:space="0"/>
            </w:tcBorders>
            <w:shd w:val="clear" w:color="auto" w:fill="auto"/>
            <w:noWrap/>
            <w:vAlign w:val="bottom"/>
          </w:tcPr>
          <w:p>
            <w:pPr>
              <w:jc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rPr>
              <w:t>规格型号（技术参数）</w:t>
            </w:r>
          </w:p>
        </w:tc>
        <w:tc>
          <w:tcPr>
            <w:tcW w:w="618" w:type="dxa"/>
            <w:tcBorders>
              <w:top w:val="single" w:color="auto" w:sz="4" w:space="0"/>
              <w:left w:val="nil"/>
              <w:bottom w:val="single" w:color="auto" w:sz="4" w:space="0"/>
              <w:right w:val="single" w:color="auto" w:sz="4" w:space="0"/>
            </w:tcBorders>
            <w:shd w:val="clear" w:color="auto" w:fill="auto"/>
            <w:noWrap/>
            <w:vAlign w:val="bottom"/>
          </w:tcPr>
          <w:p>
            <w:pPr>
              <w:jc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rPr>
              <w:t>品牌</w:t>
            </w:r>
          </w:p>
        </w:tc>
        <w:tc>
          <w:tcPr>
            <w:tcW w:w="618" w:type="dxa"/>
            <w:tcBorders>
              <w:top w:val="single" w:color="auto" w:sz="4" w:space="0"/>
              <w:left w:val="nil"/>
              <w:bottom w:val="single" w:color="auto" w:sz="4" w:space="0"/>
              <w:right w:val="single" w:color="auto" w:sz="4" w:space="0"/>
            </w:tcBorders>
            <w:shd w:val="clear" w:color="auto" w:fill="auto"/>
            <w:noWrap/>
            <w:vAlign w:val="bottom"/>
          </w:tcPr>
          <w:p>
            <w:pPr>
              <w:jc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rPr>
              <w:t>数量</w:t>
            </w:r>
          </w:p>
        </w:tc>
        <w:tc>
          <w:tcPr>
            <w:tcW w:w="618" w:type="dxa"/>
            <w:tcBorders>
              <w:top w:val="single" w:color="auto" w:sz="4" w:space="0"/>
              <w:left w:val="nil"/>
              <w:bottom w:val="single" w:color="auto" w:sz="4" w:space="0"/>
              <w:right w:val="single" w:color="auto" w:sz="4" w:space="0"/>
            </w:tcBorders>
            <w:shd w:val="clear" w:color="auto" w:fill="auto"/>
            <w:noWrap/>
            <w:vAlign w:val="bottom"/>
          </w:tcPr>
          <w:p>
            <w:pPr>
              <w:jc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rPr>
              <w:t>单位</w:t>
            </w:r>
          </w:p>
        </w:tc>
        <w:tc>
          <w:tcPr>
            <w:tcW w:w="618" w:type="dxa"/>
            <w:tcBorders>
              <w:top w:val="single" w:color="auto" w:sz="4" w:space="0"/>
              <w:left w:val="nil"/>
              <w:bottom w:val="single" w:color="auto" w:sz="4" w:space="0"/>
              <w:right w:val="single" w:color="auto" w:sz="4" w:space="0"/>
            </w:tcBorders>
            <w:shd w:val="clear" w:color="auto" w:fill="auto"/>
            <w:noWrap/>
            <w:vAlign w:val="bottom"/>
          </w:tcPr>
          <w:p>
            <w:pPr>
              <w:jc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rPr>
              <w:t>单价</w:t>
            </w:r>
          </w:p>
        </w:tc>
        <w:tc>
          <w:tcPr>
            <w:tcW w:w="618" w:type="dxa"/>
            <w:tcBorders>
              <w:top w:val="single" w:color="auto" w:sz="4" w:space="0"/>
              <w:left w:val="nil"/>
              <w:bottom w:val="single" w:color="auto" w:sz="4" w:space="0"/>
              <w:right w:val="single" w:color="auto" w:sz="4" w:space="0"/>
            </w:tcBorders>
            <w:shd w:val="clear" w:color="auto" w:fill="auto"/>
            <w:noWrap/>
            <w:vAlign w:val="bottom"/>
          </w:tcPr>
          <w:p>
            <w:pPr>
              <w:jc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rPr>
              <w:t>金额</w:t>
            </w:r>
          </w:p>
        </w:tc>
        <w:tc>
          <w:tcPr>
            <w:tcW w:w="1042" w:type="dxa"/>
            <w:tcBorders>
              <w:top w:val="single" w:color="auto" w:sz="4" w:space="0"/>
              <w:left w:val="nil"/>
              <w:bottom w:val="single" w:color="auto" w:sz="4" w:space="0"/>
              <w:right w:val="single" w:color="auto" w:sz="4" w:space="0"/>
            </w:tcBorders>
            <w:shd w:val="clear" w:color="auto" w:fill="auto"/>
            <w:noWrap/>
            <w:vAlign w:val="bottom"/>
          </w:tcPr>
          <w:p>
            <w:pPr>
              <w:jc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rPr>
              <w:t>备注</w:t>
            </w:r>
          </w:p>
        </w:tc>
      </w:tr>
      <w:tr>
        <w:tblPrEx>
          <w:tblCellMar>
            <w:top w:w="0" w:type="dxa"/>
            <w:left w:w="108" w:type="dxa"/>
            <w:bottom w:w="0" w:type="dxa"/>
            <w:right w:w="108" w:type="dxa"/>
          </w:tblCellMar>
        </w:tblPrEx>
        <w:tc>
          <w:tcPr>
            <w:tcW w:w="6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rPr>
              <w:t>1</w:t>
            </w:r>
          </w:p>
        </w:tc>
        <w:tc>
          <w:tcPr>
            <w:tcW w:w="153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rPr>
              <w:t>智能琴房管理系统</w:t>
            </w:r>
          </w:p>
        </w:tc>
        <w:tc>
          <w:tcPr>
            <w:tcW w:w="4213" w:type="dxa"/>
            <w:tcBorders>
              <w:top w:val="single" w:color="auto" w:sz="4" w:space="0"/>
              <w:left w:val="nil"/>
              <w:bottom w:val="single" w:color="auto" w:sz="4" w:space="0"/>
              <w:right w:val="single" w:color="auto" w:sz="4" w:space="0"/>
            </w:tcBorders>
            <w:shd w:val="clear" w:color="auto" w:fill="auto"/>
            <w:vAlign w:val="center"/>
          </w:tcPr>
          <w:p>
            <w:pPr>
              <w:numPr>
                <w:ilvl w:val="0"/>
                <w:numId w:val="6"/>
              </w:numPr>
              <w:spacing w:after="0" w:line="360" w:lineRule="auto"/>
              <w:jc w:val="left"/>
              <w:outlineLvl w:val="1"/>
              <w:rPr>
                <w:rFonts w:hint="eastAsia" w:ascii="仿宋" w:hAnsi="仿宋" w:eastAsia="仿宋" w:cs="仿宋"/>
                <w:b w:val="0"/>
                <w:bCs w:val="0"/>
                <w:sz w:val="20"/>
                <w:szCs w:val="20"/>
              </w:rPr>
            </w:pPr>
            <w:r>
              <w:rPr>
                <w:rFonts w:hint="eastAsia" w:ascii="仿宋" w:hAnsi="仿宋" w:eastAsia="仿宋" w:cs="仿宋"/>
                <w:b w:val="0"/>
                <w:bCs w:val="0"/>
                <w:sz w:val="20"/>
                <w:szCs w:val="20"/>
              </w:rPr>
              <w:t>Web端功能</w:t>
            </w:r>
          </w:p>
          <w:p>
            <w:pPr>
              <w:spacing w:after="0" w:line="360" w:lineRule="auto"/>
              <w:jc w:val="left"/>
              <w:outlineLvl w:val="2"/>
              <w:rPr>
                <w:rFonts w:hint="eastAsia" w:ascii="仿宋" w:hAnsi="仿宋" w:eastAsia="仿宋" w:cs="仿宋"/>
                <w:b w:val="0"/>
                <w:bCs w:val="0"/>
                <w:sz w:val="20"/>
                <w:szCs w:val="20"/>
              </w:rPr>
            </w:pPr>
            <w:r>
              <w:rPr>
                <w:rFonts w:hint="eastAsia" w:ascii="仿宋" w:hAnsi="仿宋" w:eastAsia="仿宋" w:cs="仿宋"/>
                <w:b w:val="0"/>
                <w:bCs w:val="0"/>
                <w:sz w:val="20"/>
                <w:szCs w:val="20"/>
              </w:rPr>
              <w:t>1、琴房管理</w:t>
            </w:r>
          </w:p>
          <w:p>
            <w:pPr>
              <w:spacing w:after="0" w:line="360" w:lineRule="auto"/>
              <w:jc w:val="left"/>
              <w:rPr>
                <w:rFonts w:hint="eastAsia" w:ascii="仿宋" w:hAnsi="仿宋" w:eastAsia="仿宋" w:cs="仿宋"/>
                <w:b w:val="0"/>
                <w:bCs w:val="0"/>
                <w:sz w:val="20"/>
                <w:szCs w:val="20"/>
              </w:rPr>
            </w:pPr>
            <w:r>
              <w:rPr>
                <w:rFonts w:hint="eastAsia" w:ascii="仿宋" w:hAnsi="仿宋" w:eastAsia="仿宋" w:cs="仿宋"/>
                <w:b w:val="0"/>
                <w:bCs w:val="0"/>
                <w:sz w:val="20"/>
                <w:szCs w:val="20"/>
              </w:rPr>
              <w:t>可以对琴房的基本信息进行管理。可以查看、修改和删除，选择已导入成功的课程，以便明确琴房与课程的关联关系。如琴房名称、所在楼栋、楼层、房间号，课程信息、备注内容等。</w:t>
            </w:r>
          </w:p>
          <w:p>
            <w:pPr>
              <w:spacing w:after="0" w:line="360" w:lineRule="auto"/>
              <w:jc w:val="left"/>
              <w:outlineLvl w:val="2"/>
              <w:rPr>
                <w:rFonts w:hint="eastAsia" w:ascii="仿宋" w:hAnsi="仿宋" w:eastAsia="仿宋" w:cs="仿宋"/>
                <w:b w:val="0"/>
                <w:bCs w:val="0"/>
                <w:sz w:val="20"/>
                <w:szCs w:val="20"/>
              </w:rPr>
            </w:pPr>
            <w:r>
              <w:rPr>
                <w:rFonts w:hint="eastAsia" w:ascii="仿宋" w:hAnsi="仿宋" w:eastAsia="仿宋" w:cs="仿宋"/>
                <w:b w:val="0"/>
                <w:bCs w:val="0"/>
                <w:sz w:val="20"/>
                <w:szCs w:val="20"/>
              </w:rPr>
              <w:t>2、课程管理</w:t>
            </w:r>
          </w:p>
          <w:p>
            <w:pPr>
              <w:spacing w:after="0" w:line="360" w:lineRule="auto"/>
              <w:jc w:val="left"/>
              <w:rPr>
                <w:rFonts w:hint="eastAsia" w:ascii="仿宋" w:hAnsi="仿宋" w:eastAsia="仿宋" w:cs="仿宋"/>
                <w:b w:val="0"/>
                <w:bCs w:val="0"/>
                <w:sz w:val="20"/>
                <w:szCs w:val="20"/>
              </w:rPr>
            </w:pPr>
            <w:r>
              <w:rPr>
                <w:rFonts w:hint="eastAsia" w:ascii="仿宋" w:hAnsi="仿宋" w:eastAsia="仿宋" w:cs="仿宋"/>
                <w:b w:val="0"/>
                <w:bCs w:val="0"/>
                <w:sz w:val="20"/>
                <w:szCs w:val="20"/>
              </w:rPr>
              <w:t>课程列表：可以下载课程导入模板，上传表格导入学生的专业课程表到系统。导入成功后展示课程的课程名称、课程时间段等相关信息。</w:t>
            </w:r>
          </w:p>
          <w:p>
            <w:pPr>
              <w:pStyle w:val="2"/>
              <w:jc w:val="left"/>
              <w:rPr>
                <w:rFonts w:hint="eastAsia" w:ascii="仿宋" w:hAnsi="仿宋" w:eastAsia="仿宋" w:cs="仿宋"/>
                <w:b w:val="0"/>
                <w:bCs w:val="0"/>
                <w:sz w:val="20"/>
                <w:szCs w:val="20"/>
              </w:rPr>
            </w:pPr>
          </w:p>
          <w:p>
            <w:pPr>
              <w:spacing w:after="0" w:line="360" w:lineRule="auto"/>
              <w:jc w:val="left"/>
              <w:outlineLvl w:val="2"/>
              <w:rPr>
                <w:rFonts w:hint="eastAsia" w:ascii="仿宋" w:hAnsi="仿宋" w:eastAsia="仿宋" w:cs="仿宋"/>
                <w:b w:val="0"/>
                <w:bCs w:val="0"/>
                <w:sz w:val="20"/>
                <w:szCs w:val="20"/>
              </w:rPr>
            </w:pPr>
            <w:r>
              <w:rPr>
                <w:rFonts w:hint="eastAsia" w:ascii="仿宋" w:hAnsi="仿宋" w:eastAsia="仿宋" w:cs="仿宋"/>
                <w:b w:val="0"/>
                <w:bCs w:val="0"/>
                <w:sz w:val="20"/>
                <w:szCs w:val="20"/>
              </w:rPr>
              <w:t>3、预约规则设置</w:t>
            </w:r>
          </w:p>
          <w:p>
            <w:pPr>
              <w:spacing w:after="0" w:line="360" w:lineRule="auto"/>
              <w:jc w:val="left"/>
              <w:rPr>
                <w:rFonts w:hint="eastAsia" w:ascii="仿宋" w:hAnsi="仿宋" w:eastAsia="仿宋" w:cs="仿宋"/>
                <w:b w:val="0"/>
                <w:bCs w:val="0"/>
                <w:sz w:val="20"/>
                <w:szCs w:val="20"/>
              </w:rPr>
            </w:pPr>
            <w:r>
              <w:rPr>
                <w:rFonts w:hint="eastAsia" w:ascii="仿宋" w:hAnsi="仿宋" w:eastAsia="仿宋" w:cs="仿宋"/>
                <w:b w:val="0"/>
                <w:bCs w:val="0"/>
                <w:sz w:val="20"/>
                <w:szCs w:val="20"/>
              </w:rPr>
              <w:t>对琴房的通用预约规则进行管理。如预约时段为上午8:00-12:00，中午12:00-14:00，下午14:00-18:00，晚上18:00-21:00使用时长为2小时、每天可预约次数为1次等。</w:t>
            </w:r>
          </w:p>
          <w:p>
            <w:pPr>
              <w:spacing w:after="0" w:line="360" w:lineRule="auto"/>
              <w:jc w:val="left"/>
              <w:outlineLvl w:val="2"/>
              <w:rPr>
                <w:rFonts w:hint="eastAsia" w:ascii="仿宋" w:hAnsi="仿宋" w:eastAsia="仿宋" w:cs="仿宋"/>
                <w:b w:val="0"/>
                <w:bCs w:val="0"/>
                <w:sz w:val="20"/>
                <w:szCs w:val="20"/>
              </w:rPr>
            </w:pPr>
            <w:r>
              <w:rPr>
                <w:rFonts w:hint="eastAsia" w:ascii="仿宋" w:hAnsi="仿宋" w:eastAsia="仿宋" w:cs="仿宋"/>
                <w:b w:val="0"/>
                <w:bCs w:val="0"/>
                <w:sz w:val="20"/>
                <w:szCs w:val="20"/>
              </w:rPr>
              <w:t>4、预约订单查询</w:t>
            </w:r>
          </w:p>
          <w:p>
            <w:pPr>
              <w:spacing w:after="0" w:line="360" w:lineRule="auto"/>
              <w:jc w:val="left"/>
              <w:rPr>
                <w:rFonts w:hint="eastAsia" w:ascii="仿宋" w:hAnsi="仿宋" w:eastAsia="仿宋" w:cs="仿宋"/>
                <w:b w:val="0"/>
                <w:bCs w:val="0"/>
                <w:sz w:val="20"/>
                <w:szCs w:val="20"/>
              </w:rPr>
            </w:pPr>
            <w:r>
              <w:rPr>
                <w:rFonts w:hint="eastAsia" w:ascii="仿宋" w:hAnsi="仿宋" w:eastAsia="仿宋" w:cs="仿宋"/>
                <w:b w:val="0"/>
                <w:bCs w:val="0"/>
                <w:sz w:val="20"/>
                <w:szCs w:val="20"/>
              </w:rPr>
              <w:t>可以查看所有学生的预约订单信息。可通过学生姓名、琴房名称、订单状态等条件进行筛选，订单内容包括：琴房信息（琴房名称、所在楼栋、楼层、房间号，钢琴信息、备注内容）、琴房使用状态、预约人信息（账户名称、微信号等、专业名称、年级、课程名称）、预约时间、剩余使用时间、使用信息（使用开始时间、使用结束时间）等。</w:t>
            </w:r>
          </w:p>
          <w:p>
            <w:pPr>
              <w:spacing w:after="0" w:line="360" w:lineRule="auto"/>
              <w:jc w:val="left"/>
              <w:outlineLvl w:val="2"/>
              <w:rPr>
                <w:rFonts w:hint="eastAsia" w:ascii="仿宋" w:hAnsi="仿宋" w:eastAsia="仿宋" w:cs="仿宋"/>
                <w:b w:val="0"/>
                <w:bCs w:val="0"/>
                <w:sz w:val="20"/>
                <w:szCs w:val="20"/>
              </w:rPr>
            </w:pPr>
            <w:r>
              <w:rPr>
                <w:rFonts w:hint="eastAsia" w:ascii="仿宋" w:hAnsi="仿宋" w:eastAsia="仿宋" w:cs="仿宋"/>
                <w:b w:val="0"/>
                <w:bCs w:val="0"/>
                <w:sz w:val="20"/>
                <w:szCs w:val="20"/>
              </w:rPr>
              <w:t>5、账号管理</w:t>
            </w:r>
          </w:p>
          <w:p>
            <w:pPr>
              <w:spacing w:after="0" w:line="360" w:lineRule="auto"/>
              <w:jc w:val="left"/>
              <w:rPr>
                <w:rFonts w:hint="eastAsia" w:ascii="仿宋" w:hAnsi="仿宋" w:eastAsia="仿宋" w:cs="仿宋"/>
                <w:b w:val="0"/>
                <w:bCs w:val="0"/>
                <w:sz w:val="20"/>
                <w:szCs w:val="20"/>
              </w:rPr>
            </w:pPr>
            <w:r>
              <w:rPr>
                <w:rFonts w:hint="eastAsia" w:ascii="仿宋" w:hAnsi="仿宋" w:eastAsia="仿宋" w:cs="仿宋"/>
                <w:b w:val="0"/>
                <w:bCs w:val="0"/>
                <w:sz w:val="20"/>
                <w:szCs w:val="20"/>
              </w:rPr>
              <w:t>可以对系统里面的账号进行增行改查、重置密码等操作。可以添加使用预约系统的用户基本信息，通过账户名称进行查询，可以设置登录账户、登录名称、选择账户类型（教职工、学生），选择年级、选择专业，明确学生与年级、专业的关联关系。学生可以通过账户+密码，登录系统小程序进行琴房查询、琴房预约等操作。</w:t>
            </w:r>
          </w:p>
          <w:p>
            <w:pPr>
              <w:spacing w:after="0" w:line="360" w:lineRule="auto"/>
              <w:jc w:val="left"/>
              <w:outlineLvl w:val="2"/>
              <w:rPr>
                <w:rFonts w:hint="eastAsia" w:ascii="仿宋" w:hAnsi="仿宋" w:eastAsia="仿宋" w:cs="仿宋"/>
                <w:b w:val="0"/>
                <w:bCs w:val="0"/>
                <w:sz w:val="20"/>
                <w:szCs w:val="20"/>
              </w:rPr>
            </w:pPr>
            <w:r>
              <w:rPr>
                <w:rFonts w:hint="eastAsia" w:ascii="仿宋" w:hAnsi="仿宋" w:eastAsia="仿宋" w:cs="仿宋"/>
                <w:b w:val="0"/>
                <w:bCs w:val="0"/>
                <w:sz w:val="20"/>
                <w:szCs w:val="20"/>
              </w:rPr>
              <w:t>6、琴房使用分析</w:t>
            </w:r>
          </w:p>
          <w:p>
            <w:pPr>
              <w:spacing w:after="0" w:line="360" w:lineRule="auto"/>
              <w:jc w:val="left"/>
              <w:rPr>
                <w:rFonts w:hint="eastAsia" w:ascii="仿宋" w:hAnsi="仿宋" w:eastAsia="仿宋" w:cs="仿宋"/>
                <w:b w:val="0"/>
                <w:bCs w:val="0"/>
                <w:sz w:val="20"/>
                <w:szCs w:val="20"/>
              </w:rPr>
            </w:pPr>
            <w:r>
              <w:rPr>
                <w:rFonts w:hint="eastAsia" w:ascii="仿宋" w:hAnsi="仿宋" w:eastAsia="仿宋" w:cs="仿宋"/>
                <w:b w:val="0"/>
                <w:bCs w:val="0"/>
                <w:sz w:val="20"/>
                <w:szCs w:val="20"/>
              </w:rPr>
              <w:t>通过AI大数据进行统计分析和特征分布，可以分析出琴房的使用时段分布、琴房的使用率占比、学生的琴房使用时长等数据，有利于高校调节学生用琴矛盾，提高琴房的有效调度。</w:t>
            </w:r>
          </w:p>
          <w:p>
            <w:pPr>
              <w:spacing w:after="0" w:line="360" w:lineRule="auto"/>
              <w:jc w:val="left"/>
              <w:outlineLvl w:val="2"/>
              <w:rPr>
                <w:rFonts w:hint="eastAsia" w:ascii="仿宋" w:hAnsi="仿宋" w:eastAsia="仿宋" w:cs="仿宋"/>
                <w:b w:val="0"/>
                <w:bCs w:val="0"/>
                <w:sz w:val="20"/>
                <w:szCs w:val="20"/>
              </w:rPr>
            </w:pPr>
            <w:r>
              <w:rPr>
                <w:rFonts w:hint="eastAsia" w:ascii="仿宋" w:hAnsi="仿宋" w:eastAsia="仿宋" w:cs="仿宋"/>
                <w:b w:val="0"/>
                <w:bCs w:val="0"/>
                <w:sz w:val="20"/>
                <w:szCs w:val="20"/>
              </w:rPr>
              <w:t>7、系统设置</w:t>
            </w:r>
          </w:p>
          <w:p>
            <w:pPr>
              <w:spacing w:after="0" w:line="360" w:lineRule="auto"/>
              <w:jc w:val="left"/>
              <w:rPr>
                <w:rFonts w:hint="eastAsia" w:ascii="仿宋" w:hAnsi="仿宋" w:eastAsia="仿宋" w:cs="仿宋"/>
                <w:b w:val="0"/>
                <w:bCs w:val="0"/>
                <w:sz w:val="20"/>
                <w:szCs w:val="20"/>
              </w:rPr>
            </w:pPr>
            <w:r>
              <w:rPr>
                <w:rFonts w:hint="eastAsia" w:ascii="仿宋" w:hAnsi="仿宋" w:eastAsia="仿宋" w:cs="仿宋"/>
                <w:b w:val="0"/>
                <w:bCs w:val="0"/>
                <w:sz w:val="20"/>
                <w:szCs w:val="20"/>
              </w:rPr>
              <w:t>数据字典：可以自定义配置年级、专业等数据，为管理功能的关联做数据支撑</w:t>
            </w:r>
          </w:p>
          <w:p>
            <w:pPr>
              <w:spacing w:after="0" w:line="360" w:lineRule="auto"/>
              <w:jc w:val="left"/>
              <w:rPr>
                <w:rFonts w:hint="eastAsia" w:ascii="仿宋" w:hAnsi="仿宋" w:eastAsia="仿宋" w:cs="仿宋"/>
                <w:b w:val="0"/>
                <w:bCs w:val="0"/>
                <w:sz w:val="20"/>
                <w:szCs w:val="20"/>
              </w:rPr>
            </w:pPr>
            <w:r>
              <w:rPr>
                <w:rFonts w:hint="eastAsia" w:ascii="仿宋" w:hAnsi="仿宋" w:eastAsia="仿宋" w:cs="仿宋"/>
                <w:b w:val="0"/>
                <w:bCs w:val="0"/>
                <w:sz w:val="20"/>
                <w:szCs w:val="20"/>
              </w:rPr>
              <w:t>系统日志：对使用系统的用户操作日志进行统计，可以进行查询。</w:t>
            </w:r>
          </w:p>
          <w:p>
            <w:pPr>
              <w:numPr>
                <w:ilvl w:val="0"/>
                <w:numId w:val="6"/>
              </w:numPr>
              <w:spacing w:after="0" w:line="360" w:lineRule="auto"/>
              <w:jc w:val="left"/>
              <w:outlineLvl w:val="1"/>
              <w:rPr>
                <w:rFonts w:hint="eastAsia" w:ascii="仿宋" w:hAnsi="仿宋" w:eastAsia="仿宋" w:cs="仿宋"/>
                <w:b w:val="0"/>
                <w:bCs w:val="0"/>
                <w:sz w:val="20"/>
                <w:szCs w:val="20"/>
              </w:rPr>
            </w:pPr>
            <w:r>
              <w:rPr>
                <w:rFonts w:hint="eastAsia" w:ascii="仿宋" w:hAnsi="仿宋" w:eastAsia="仿宋" w:cs="仿宋"/>
                <w:b w:val="0"/>
                <w:bCs w:val="0"/>
                <w:sz w:val="20"/>
                <w:szCs w:val="20"/>
              </w:rPr>
              <w:t>移动端功能</w:t>
            </w:r>
          </w:p>
          <w:p>
            <w:pPr>
              <w:spacing w:after="0" w:line="360" w:lineRule="auto"/>
              <w:jc w:val="left"/>
              <w:outlineLvl w:val="2"/>
              <w:rPr>
                <w:rFonts w:hint="eastAsia" w:ascii="仿宋" w:hAnsi="仿宋" w:eastAsia="仿宋" w:cs="仿宋"/>
                <w:b w:val="0"/>
                <w:bCs w:val="0"/>
                <w:sz w:val="20"/>
                <w:szCs w:val="20"/>
              </w:rPr>
            </w:pPr>
            <w:r>
              <w:rPr>
                <w:rFonts w:hint="eastAsia" w:ascii="仿宋" w:hAnsi="仿宋" w:eastAsia="仿宋" w:cs="仿宋"/>
                <w:b w:val="0"/>
                <w:bCs w:val="0"/>
                <w:sz w:val="20"/>
                <w:szCs w:val="20"/>
              </w:rPr>
              <w:t>8、登录授权</w:t>
            </w:r>
          </w:p>
          <w:p>
            <w:pPr>
              <w:spacing w:after="0" w:line="360" w:lineRule="auto"/>
              <w:jc w:val="left"/>
              <w:rPr>
                <w:rFonts w:hint="eastAsia" w:ascii="仿宋" w:hAnsi="仿宋" w:eastAsia="仿宋" w:cs="仿宋"/>
                <w:b w:val="0"/>
                <w:bCs w:val="0"/>
                <w:sz w:val="20"/>
                <w:szCs w:val="20"/>
              </w:rPr>
            </w:pPr>
            <w:r>
              <w:rPr>
                <w:rFonts w:hint="eastAsia" w:ascii="仿宋" w:hAnsi="仿宋" w:eastAsia="仿宋" w:cs="仿宋"/>
                <w:b w:val="0"/>
                <w:bCs w:val="0"/>
                <w:sz w:val="20"/>
                <w:szCs w:val="20"/>
              </w:rPr>
              <w:t>使用登录账户、密码，登录小程序，使用预约系统进行琴房预约。</w:t>
            </w:r>
          </w:p>
          <w:p>
            <w:pPr>
              <w:spacing w:after="0" w:line="360" w:lineRule="auto"/>
              <w:jc w:val="left"/>
              <w:outlineLvl w:val="2"/>
              <w:rPr>
                <w:rFonts w:hint="eastAsia" w:ascii="仿宋" w:hAnsi="仿宋" w:eastAsia="仿宋" w:cs="仿宋"/>
                <w:b w:val="0"/>
                <w:bCs w:val="0"/>
                <w:sz w:val="20"/>
                <w:szCs w:val="20"/>
              </w:rPr>
            </w:pPr>
            <w:r>
              <w:rPr>
                <w:rFonts w:hint="eastAsia" w:ascii="仿宋" w:hAnsi="仿宋" w:eastAsia="仿宋" w:cs="仿宋"/>
                <w:b w:val="0"/>
                <w:bCs w:val="0"/>
                <w:sz w:val="20"/>
                <w:szCs w:val="20"/>
              </w:rPr>
              <w:t>9、琴房查询</w:t>
            </w:r>
          </w:p>
          <w:p>
            <w:pPr>
              <w:spacing w:after="0" w:line="360" w:lineRule="auto"/>
              <w:jc w:val="left"/>
              <w:rPr>
                <w:rFonts w:hint="eastAsia" w:ascii="仿宋" w:hAnsi="仿宋" w:eastAsia="仿宋" w:cs="仿宋"/>
                <w:b w:val="0"/>
                <w:bCs w:val="0"/>
                <w:sz w:val="20"/>
                <w:szCs w:val="20"/>
              </w:rPr>
            </w:pPr>
            <w:r>
              <w:rPr>
                <w:rFonts w:hint="eastAsia" w:ascii="仿宋" w:hAnsi="仿宋" w:eastAsia="仿宋" w:cs="仿宋"/>
                <w:b w:val="0"/>
                <w:bCs w:val="0"/>
                <w:sz w:val="20"/>
                <w:szCs w:val="20"/>
              </w:rPr>
              <w:t>学生登录到系统后，可以通过查询列表看到当前琴房的数量和状态，是否有空闲，然后通过琴房使用状态的展示，选中可预约的琴房，下单预约。</w:t>
            </w:r>
          </w:p>
          <w:p>
            <w:pPr>
              <w:spacing w:after="0" w:line="360" w:lineRule="auto"/>
              <w:jc w:val="left"/>
              <w:outlineLvl w:val="2"/>
              <w:rPr>
                <w:rFonts w:hint="eastAsia" w:ascii="仿宋" w:hAnsi="仿宋" w:eastAsia="仿宋" w:cs="仿宋"/>
                <w:b w:val="0"/>
                <w:bCs w:val="0"/>
                <w:sz w:val="20"/>
                <w:szCs w:val="20"/>
              </w:rPr>
            </w:pPr>
            <w:r>
              <w:rPr>
                <w:rFonts w:hint="eastAsia" w:ascii="仿宋" w:hAnsi="仿宋" w:eastAsia="仿宋" w:cs="仿宋"/>
                <w:b w:val="0"/>
                <w:bCs w:val="0"/>
                <w:sz w:val="20"/>
                <w:szCs w:val="20"/>
              </w:rPr>
              <w:t>10、预约琴房</w:t>
            </w:r>
          </w:p>
          <w:p>
            <w:pPr>
              <w:spacing w:after="0" w:line="360" w:lineRule="auto"/>
              <w:jc w:val="left"/>
              <w:rPr>
                <w:rFonts w:hint="eastAsia" w:ascii="仿宋" w:hAnsi="仿宋" w:eastAsia="仿宋" w:cs="仿宋"/>
                <w:b w:val="0"/>
                <w:bCs w:val="0"/>
                <w:sz w:val="20"/>
                <w:szCs w:val="20"/>
              </w:rPr>
            </w:pPr>
            <w:r>
              <w:rPr>
                <w:rFonts w:hint="eastAsia" w:ascii="仿宋" w:hAnsi="仿宋" w:eastAsia="仿宋" w:cs="仿宋"/>
                <w:b w:val="0"/>
                <w:bCs w:val="0"/>
                <w:sz w:val="20"/>
                <w:szCs w:val="20"/>
              </w:rPr>
              <w:t>在琴房列表界面里，学生只能查看自己专业、课程的尚无人使用的琴房，点击预约按钮，可以把琴房加入预约订单里面进行琴房的预约，预约信息上传至服务器，成功后系统自动下发预约成功的订单信息。</w:t>
            </w:r>
          </w:p>
          <w:p>
            <w:pPr>
              <w:spacing w:after="0" w:line="360" w:lineRule="auto"/>
              <w:jc w:val="left"/>
              <w:outlineLvl w:val="2"/>
              <w:rPr>
                <w:rFonts w:hint="eastAsia" w:ascii="仿宋" w:hAnsi="仿宋" w:eastAsia="仿宋" w:cs="仿宋"/>
                <w:b w:val="0"/>
                <w:bCs w:val="0"/>
                <w:sz w:val="20"/>
                <w:szCs w:val="20"/>
              </w:rPr>
            </w:pPr>
            <w:r>
              <w:rPr>
                <w:rFonts w:hint="eastAsia" w:ascii="仿宋" w:hAnsi="仿宋" w:eastAsia="仿宋" w:cs="仿宋"/>
                <w:b w:val="0"/>
                <w:bCs w:val="0"/>
                <w:sz w:val="20"/>
                <w:szCs w:val="20"/>
              </w:rPr>
              <w:t>11、上琴登记</w:t>
            </w:r>
          </w:p>
          <w:p>
            <w:pPr>
              <w:spacing w:after="0" w:line="360" w:lineRule="auto"/>
              <w:jc w:val="left"/>
              <w:rPr>
                <w:rFonts w:hint="eastAsia" w:ascii="仿宋" w:hAnsi="仿宋" w:eastAsia="仿宋" w:cs="仿宋"/>
                <w:b w:val="0"/>
                <w:bCs w:val="0"/>
                <w:sz w:val="20"/>
                <w:szCs w:val="20"/>
              </w:rPr>
            </w:pPr>
            <w:r>
              <w:rPr>
                <w:rFonts w:hint="eastAsia" w:ascii="仿宋" w:hAnsi="仿宋" w:eastAsia="仿宋" w:cs="仿宋"/>
                <w:b w:val="0"/>
                <w:bCs w:val="0"/>
                <w:sz w:val="20"/>
                <w:szCs w:val="20"/>
              </w:rPr>
              <w:t>预约用户在预约的时间到达已预约的琴房，并点击小程序上进行上琴登记，系统自动连接服务器，验证成功后，同时系统开始记录琴房已经有人使用，并且开始计时。上琴时，若未手动登记上琴，根据预约开始时间判断，超过当前时间，则自动开始计时。</w:t>
            </w:r>
          </w:p>
          <w:p>
            <w:pPr>
              <w:spacing w:after="0" w:line="360" w:lineRule="auto"/>
              <w:jc w:val="left"/>
              <w:outlineLvl w:val="2"/>
              <w:rPr>
                <w:rFonts w:hint="eastAsia" w:ascii="仿宋" w:hAnsi="仿宋" w:eastAsia="仿宋" w:cs="仿宋"/>
                <w:b w:val="0"/>
                <w:bCs w:val="0"/>
                <w:sz w:val="20"/>
                <w:szCs w:val="20"/>
              </w:rPr>
            </w:pPr>
            <w:r>
              <w:rPr>
                <w:rFonts w:hint="eastAsia" w:ascii="仿宋" w:hAnsi="仿宋" w:eastAsia="仿宋" w:cs="仿宋"/>
                <w:b w:val="0"/>
                <w:bCs w:val="0"/>
                <w:sz w:val="20"/>
                <w:szCs w:val="20"/>
              </w:rPr>
              <w:t>12、下琴签退</w:t>
            </w:r>
          </w:p>
          <w:p>
            <w:pPr>
              <w:spacing w:after="0" w:line="360" w:lineRule="auto"/>
              <w:jc w:val="left"/>
              <w:rPr>
                <w:rFonts w:hint="eastAsia" w:ascii="仿宋" w:hAnsi="仿宋" w:eastAsia="仿宋" w:cs="仿宋"/>
                <w:b w:val="0"/>
                <w:bCs w:val="0"/>
                <w:sz w:val="20"/>
                <w:szCs w:val="20"/>
              </w:rPr>
            </w:pPr>
            <w:r>
              <w:rPr>
                <w:rFonts w:hint="eastAsia" w:ascii="仿宋" w:hAnsi="仿宋" w:eastAsia="仿宋" w:cs="仿宋"/>
                <w:b w:val="0"/>
                <w:bCs w:val="0"/>
                <w:sz w:val="20"/>
                <w:szCs w:val="20"/>
              </w:rPr>
              <w:t>预约用户在预约时间内，使用完琴房以后，可以点击下琴签退离开琴房，系统会记录琴房处于空闲状态，方便其他人预约。系统也会根据使用结束时间判断是否超时，超时后琴房会自动更新为下琴签退，使琴房处于空闲状态，减少琴房长时间被占用。</w:t>
            </w:r>
          </w:p>
          <w:p>
            <w:pPr>
              <w:spacing w:after="0" w:line="360" w:lineRule="auto"/>
              <w:jc w:val="left"/>
              <w:outlineLvl w:val="2"/>
              <w:rPr>
                <w:rFonts w:hint="eastAsia" w:ascii="仿宋" w:hAnsi="仿宋" w:eastAsia="仿宋" w:cs="仿宋"/>
                <w:b w:val="0"/>
                <w:bCs w:val="0"/>
                <w:sz w:val="20"/>
                <w:szCs w:val="20"/>
              </w:rPr>
            </w:pPr>
            <w:r>
              <w:rPr>
                <w:rFonts w:hint="eastAsia" w:ascii="仿宋" w:hAnsi="仿宋" w:eastAsia="仿宋" w:cs="仿宋"/>
                <w:b w:val="0"/>
                <w:bCs w:val="0"/>
                <w:sz w:val="20"/>
                <w:szCs w:val="20"/>
              </w:rPr>
              <w:t>13、预约订单查询</w:t>
            </w:r>
          </w:p>
          <w:p>
            <w:pPr>
              <w:spacing w:after="0"/>
              <w:jc w:val="left"/>
              <w:rPr>
                <w:rFonts w:hint="eastAsia" w:ascii="仿宋" w:hAnsi="仿宋" w:eastAsia="仿宋" w:cs="仿宋"/>
                <w:b w:val="0"/>
                <w:bCs w:val="0"/>
                <w:color w:val="000000"/>
                <w:sz w:val="20"/>
                <w:szCs w:val="20"/>
              </w:rPr>
            </w:pPr>
            <w:r>
              <w:rPr>
                <w:rFonts w:hint="eastAsia" w:ascii="仿宋" w:hAnsi="仿宋" w:eastAsia="仿宋" w:cs="仿宋"/>
                <w:b w:val="0"/>
                <w:bCs w:val="0"/>
                <w:sz w:val="20"/>
                <w:szCs w:val="20"/>
              </w:rPr>
              <w:t>可以查看个人账户下的所有预约订单信息。可通过琴房名称、订单状态等条件进行筛选，订单内容包括：琴房信息（琴房名称、所在楼栋、楼层、房间号，钢琴信息、备注内容）、琴房使用状态、预约人信息（账户名称、微信号等、专业名称、年级、课程名称）、预约时间、剩余使用时间、使用信息（使用开始时间、使用结束时间）等。</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仿宋" w:hAnsi="仿宋" w:eastAsia="仿宋" w:cs="仿宋"/>
                <w:b w:val="0"/>
                <w:bCs w:val="0"/>
                <w:color w:val="000000"/>
                <w:sz w:val="20"/>
                <w:szCs w:val="20"/>
              </w:rPr>
            </w:pPr>
          </w:p>
        </w:tc>
        <w:tc>
          <w:tcPr>
            <w:tcW w:w="61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rPr>
              <w:t>1</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rPr>
              <w:t>套</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000000"/>
                <w:sz w:val="20"/>
                <w:szCs w:val="20"/>
              </w:rPr>
            </w:pPr>
          </w:p>
        </w:tc>
        <w:tc>
          <w:tcPr>
            <w:tcW w:w="61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000000"/>
                <w:sz w:val="20"/>
                <w:szCs w:val="20"/>
              </w:rPr>
            </w:pPr>
          </w:p>
        </w:tc>
        <w:tc>
          <w:tcPr>
            <w:tcW w:w="104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000000"/>
                <w:sz w:val="20"/>
                <w:szCs w:val="20"/>
              </w:rPr>
            </w:pPr>
          </w:p>
        </w:tc>
      </w:tr>
      <w:tr>
        <w:tblPrEx>
          <w:tblCellMar>
            <w:top w:w="0" w:type="dxa"/>
            <w:left w:w="108" w:type="dxa"/>
            <w:bottom w:w="0" w:type="dxa"/>
            <w:right w:w="108" w:type="dxa"/>
          </w:tblCellMar>
        </w:tblPrEx>
        <w:tc>
          <w:tcPr>
            <w:tcW w:w="21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rPr>
              <w:t>合计</w:t>
            </w:r>
          </w:p>
        </w:tc>
        <w:tc>
          <w:tcPr>
            <w:tcW w:w="8345" w:type="dxa"/>
            <w:gridSpan w:val="7"/>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rPr>
              <w:t>小写：</w:t>
            </w:r>
          </w:p>
          <w:p>
            <w:pPr>
              <w:pStyle w:val="2"/>
              <w:ind w:firstLine="0"/>
              <w:rPr>
                <w:rFonts w:hint="eastAsia" w:ascii="仿宋" w:hAnsi="仿宋" w:eastAsia="仿宋" w:cs="仿宋"/>
                <w:b w:val="0"/>
                <w:bCs w:val="0"/>
                <w:sz w:val="20"/>
                <w:szCs w:val="20"/>
              </w:rPr>
            </w:pPr>
            <w:r>
              <w:rPr>
                <w:rFonts w:hint="eastAsia" w:ascii="仿宋" w:hAnsi="仿宋" w:eastAsia="仿宋" w:cs="仿宋"/>
                <w:b w:val="0"/>
                <w:bCs w:val="0"/>
                <w:color w:val="000000"/>
                <w:sz w:val="20"/>
                <w:szCs w:val="20"/>
              </w:rPr>
              <w:t>大写：</w:t>
            </w:r>
          </w:p>
        </w:tc>
      </w:tr>
    </w:tbl>
    <w:p>
      <w:pPr>
        <w:spacing w:after="0" w:line="240"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注：1.如果按单价计算的结果与总价不一致,以单价为准修正总价。</w:t>
      </w:r>
    </w:p>
    <w:p>
      <w:pPr>
        <w:spacing w:after="0" w:line="240" w:lineRule="auto"/>
        <w:ind w:left="147" w:leftChars="67"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2.如果不提供详细参数和报价将视为没有实质性响应</w:t>
      </w:r>
      <w:r>
        <w:rPr>
          <w:rFonts w:hint="eastAsia" w:ascii="仿宋" w:hAnsi="仿宋" w:eastAsia="仿宋"/>
          <w:color w:val="000000" w:themeColor="text1"/>
          <w:sz w:val="24"/>
          <w:szCs w:val="24"/>
          <w14:textFill>
            <w14:solidFill>
              <w14:schemeClr w14:val="tx1"/>
            </w14:solidFill>
          </w14:textFill>
        </w:rPr>
        <w:t>公开询价</w:t>
      </w:r>
      <w:r>
        <w:rPr>
          <w:rFonts w:ascii="仿宋" w:hAnsi="仿宋" w:eastAsia="仿宋"/>
          <w:color w:val="000000" w:themeColor="text1"/>
          <w:sz w:val="24"/>
          <w:szCs w:val="24"/>
          <w14:textFill>
            <w14:solidFill>
              <w14:schemeClr w14:val="tx1"/>
            </w14:solidFill>
          </w14:textFill>
        </w:rPr>
        <w:t>文件。</w:t>
      </w:r>
    </w:p>
    <w:p>
      <w:pPr>
        <w:spacing w:after="0" w:line="240" w:lineRule="auto"/>
        <w:ind w:right="1440"/>
        <w:jc w:val="right"/>
        <w:rPr>
          <w:rFonts w:ascii="仿宋" w:hAnsi="仿宋" w:eastAsia="仿宋"/>
          <w:color w:val="000000" w:themeColor="text1"/>
          <w:sz w:val="24"/>
          <w:szCs w:val="24"/>
          <w:lang w:val="zh-CN"/>
          <w14:textFill>
            <w14:solidFill>
              <w14:schemeClr w14:val="tx1"/>
            </w14:solidFill>
          </w14:textFill>
        </w:rPr>
      </w:pPr>
      <w:r>
        <w:rPr>
          <w:rFonts w:hint="eastAsia" w:ascii="仿宋" w:hAnsi="仿宋" w:eastAsia="仿宋"/>
          <w:color w:val="000000" w:themeColor="text1"/>
          <w:sz w:val="24"/>
          <w:szCs w:val="24"/>
          <w:lang w:val="zh-CN"/>
          <w14:textFill>
            <w14:solidFill>
              <w14:schemeClr w14:val="tx1"/>
            </w14:solidFill>
          </w14:textFill>
        </w:rPr>
        <w:t>参与人授权代表</w:t>
      </w:r>
      <w:r>
        <w:rPr>
          <w:rFonts w:ascii="仿宋" w:hAnsi="仿宋" w:eastAsia="仿宋"/>
          <w:color w:val="000000" w:themeColor="text1"/>
          <w:sz w:val="24"/>
          <w:szCs w:val="24"/>
          <w:lang w:val="zh-CN"/>
          <w14:textFill>
            <w14:solidFill>
              <w14:schemeClr w14:val="tx1"/>
            </w14:solidFill>
          </w14:textFill>
        </w:rPr>
        <w:t>（签字</w:t>
      </w:r>
      <w:r>
        <w:rPr>
          <w:rFonts w:hint="eastAsia" w:ascii="仿宋" w:hAnsi="仿宋" w:eastAsia="仿宋"/>
          <w:color w:val="000000" w:themeColor="text1"/>
          <w:sz w:val="24"/>
          <w:szCs w:val="24"/>
          <w:lang w:val="zh-CN"/>
          <w14:textFill>
            <w14:solidFill>
              <w14:schemeClr w14:val="tx1"/>
            </w14:solidFill>
          </w14:textFill>
        </w:rPr>
        <w:t>或盖章</w:t>
      </w:r>
      <w:r>
        <w:rPr>
          <w:rFonts w:ascii="仿宋" w:hAnsi="仿宋" w:eastAsia="仿宋"/>
          <w:color w:val="000000" w:themeColor="text1"/>
          <w:sz w:val="24"/>
          <w:szCs w:val="24"/>
          <w:lang w:val="zh-CN"/>
          <w14:textFill>
            <w14:solidFill>
              <w14:schemeClr w14:val="tx1"/>
            </w14:solidFill>
          </w14:textFill>
        </w:rPr>
        <w:t>）：</w:t>
      </w:r>
    </w:p>
    <w:p>
      <w:pPr>
        <w:spacing w:after="0" w:line="240" w:lineRule="auto"/>
        <w:ind w:right="1406"/>
        <w:jc w:val="right"/>
        <w:rPr>
          <w:rFonts w:ascii="仿宋" w:hAnsi="仿宋" w:eastAsia="仿宋"/>
          <w:color w:val="000000" w:themeColor="text1"/>
          <w:sz w:val="24"/>
          <w:szCs w:val="24"/>
          <w:lang w:val="zh-CN"/>
          <w14:textFill>
            <w14:solidFill>
              <w14:schemeClr w14:val="tx1"/>
            </w14:solidFill>
          </w14:textFill>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color w:val="000000" w:themeColor="text1"/>
          <w:sz w:val="24"/>
          <w:szCs w:val="24"/>
          <w:lang w:val="zh-CN"/>
          <w14:textFill>
            <w14:solidFill>
              <w14:schemeClr w14:val="tx1"/>
            </w14:solidFill>
          </w14:textFill>
        </w:rPr>
        <w:t xml:space="preserve">日 </w:t>
      </w:r>
      <w:r>
        <w:rPr>
          <w:rFonts w:ascii="仿宋" w:hAnsi="仿宋" w:eastAsia="仿宋"/>
          <w:color w:val="000000" w:themeColor="text1"/>
          <w:sz w:val="24"/>
          <w:szCs w:val="24"/>
          <w:lang w:val="zh-CN"/>
          <w14:textFill>
            <w14:solidFill>
              <w14:schemeClr w14:val="tx1"/>
            </w14:solidFill>
          </w14:textFill>
        </w:rPr>
        <w:t xml:space="preserve">        </w:t>
      </w:r>
      <w:r>
        <w:rPr>
          <w:rFonts w:hint="eastAsia" w:ascii="仿宋" w:hAnsi="仿宋" w:eastAsia="仿宋"/>
          <w:color w:val="000000" w:themeColor="text1"/>
          <w:sz w:val="24"/>
          <w:szCs w:val="24"/>
          <w:lang w:val="zh-CN"/>
          <w14:textFill>
            <w14:solidFill>
              <w14:schemeClr w14:val="tx1"/>
            </w14:solidFill>
          </w14:textFill>
        </w:rPr>
        <w:t>期：</w:t>
      </w:r>
      <w:bookmarkStart w:id="118" w:name="_Toc160880534"/>
      <w:bookmarkStart w:id="119" w:name="_Toc169332843"/>
      <w:bookmarkStart w:id="120" w:name="_Toc267059186"/>
      <w:bookmarkStart w:id="121" w:name="_Toc182372787"/>
      <w:bookmarkStart w:id="122" w:name="_Toc266868679"/>
      <w:bookmarkStart w:id="123" w:name="_Toc203355738"/>
      <w:bookmarkStart w:id="124" w:name="_Toc193160453"/>
      <w:bookmarkStart w:id="125" w:name="_Toc227058536"/>
      <w:bookmarkStart w:id="126" w:name="_Toc267060326"/>
      <w:bookmarkStart w:id="127" w:name="_Toc235438352"/>
      <w:bookmarkStart w:id="128" w:name="_Toc192996343"/>
      <w:bookmarkStart w:id="129" w:name="_Toc170798798"/>
      <w:bookmarkStart w:id="130" w:name="_Toc213756001"/>
      <w:bookmarkStart w:id="131" w:name="_Toc219800249"/>
      <w:bookmarkStart w:id="132" w:name="_Toc191802695"/>
      <w:bookmarkStart w:id="133" w:name="_Toc235438281"/>
      <w:bookmarkStart w:id="134" w:name="_Toc213755864"/>
      <w:bookmarkStart w:id="135" w:name="_Toc259692656"/>
      <w:bookmarkStart w:id="136" w:name="_Toc223146614"/>
      <w:bookmarkStart w:id="137" w:name="_Toc213208771"/>
      <w:bookmarkStart w:id="138" w:name="_Toc217891408"/>
      <w:bookmarkStart w:id="139" w:name="_Toc267060461"/>
      <w:bookmarkStart w:id="140" w:name="_Toc253066624"/>
      <w:bookmarkStart w:id="141" w:name="_Toc180302918"/>
      <w:bookmarkStart w:id="142" w:name="_Toc181436466"/>
      <w:bookmarkStart w:id="143" w:name="_Toc273178703"/>
      <w:bookmarkStart w:id="144" w:name="_Toc254790909"/>
      <w:bookmarkStart w:id="145" w:name="_Toc191783227"/>
      <w:bookmarkStart w:id="146" w:name="_Toc251586241"/>
      <w:bookmarkStart w:id="147" w:name="_Toc192663840"/>
      <w:bookmarkStart w:id="148" w:name="_Toc191789334"/>
      <w:bookmarkStart w:id="149" w:name="_Toc169332954"/>
      <w:bookmarkStart w:id="150" w:name="_Toc249325720"/>
      <w:bookmarkStart w:id="151" w:name="_Toc191803631"/>
      <w:bookmarkStart w:id="152" w:name="_Toc267059811"/>
      <w:bookmarkStart w:id="153" w:name="_Toc267060076"/>
      <w:bookmarkStart w:id="154" w:name="_Toc177985474"/>
      <w:bookmarkStart w:id="155" w:name="_Toc232302122"/>
      <w:bookmarkStart w:id="156" w:name="_Toc182805222"/>
      <w:bookmarkStart w:id="157" w:name="_Toc258401265"/>
      <w:bookmarkStart w:id="158" w:name="_Toc267059658"/>
      <w:bookmarkStart w:id="159" w:name="_Toc267059035"/>
      <w:bookmarkStart w:id="160" w:name="_Toc193165739"/>
      <w:bookmarkStart w:id="161" w:name="_Toc267059924"/>
      <w:bookmarkStart w:id="162" w:name="_Toc267059544"/>
      <w:bookmarkStart w:id="163" w:name="_Toc235437998"/>
      <w:bookmarkStart w:id="164" w:name="_Toc266870916"/>
      <w:bookmarkStart w:id="165" w:name="_Toc236021457"/>
      <w:bookmarkStart w:id="166" w:name="_Toc192996451"/>
      <w:bookmarkStart w:id="167" w:name="_Toc213756057"/>
      <w:bookmarkStart w:id="168" w:name="_Toc267060216"/>
      <w:bookmarkStart w:id="169" w:name="_Toc255975016"/>
      <w:bookmarkStart w:id="170" w:name="_Toc160880165"/>
      <w:bookmarkStart w:id="171" w:name="_Toc266870441"/>
      <w:bookmarkStart w:id="172" w:name="_Toc230071153"/>
      <w:bookmarkStart w:id="173" w:name="_Toc192663691"/>
      <w:bookmarkStart w:id="174" w:name="_Toc211917121"/>
      <w:bookmarkStart w:id="175" w:name="_Toc225669328"/>
      <w:bookmarkStart w:id="176" w:name="_Toc259520874"/>
      <w:bookmarkStart w:id="177" w:name="_Toc266870839"/>
      <w:bookmarkStart w:id="178" w:name="_Toc213755945"/>
      <w:bookmarkStart w:id="179" w:name="_Toc181436570"/>
      <w:bookmarkStart w:id="180" w:name="_Toc259692749"/>
      <w:bookmarkStart w:id="181" w:name="_Toc251613839"/>
      <w:bookmarkStart w:id="182" w:name="_Toc192664158"/>
      <w:bookmarkStart w:id="183" w:name="_Toc266868943"/>
    </w:p>
    <w:p>
      <w:pPr>
        <w:jc w:val="center"/>
        <w:outlineLvl w:val="1"/>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3</w:t>
      </w:r>
      <w:r>
        <w:rPr>
          <w:rFonts w:hint="eastAsia" w:ascii="仿宋" w:hAnsi="仿宋" w:eastAsia="仿宋"/>
          <w:b/>
          <w:bCs/>
          <w:color w:val="000000" w:themeColor="text1"/>
          <w:sz w:val="28"/>
          <w:szCs w:val="28"/>
          <w14:textFill>
            <w14:solidFill>
              <w14:schemeClr w14:val="tx1"/>
            </w14:solidFill>
          </w14:textFill>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hint="eastAsia" w:ascii="仿宋" w:hAnsi="仿宋" w:eastAsia="仿宋"/>
          <w:b/>
          <w:bCs/>
          <w:color w:val="000000" w:themeColor="text1"/>
          <w:sz w:val="28"/>
          <w:szCs w:val="28"/>
          <w14:textFill>
            <w14:solidFill>
              <w14:schemeClr w14:val="tx1"/>
            </w14:solidFill>
          </w14:textFill>
        </w:rPr>
        <w:t>参与人资质材料</w:t>
      </w:r>
    </w:p>
    <w:p>
      <w:p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参与人需要提供以下材料：</w:t>
      </w:r>
    </w:p>
    <w:p>
      <w:pPr>
        <w:pStyle w:val="58"/>
        <w:numPr>
          <w:ilvl w:val="0"/>
          <w:numId w:val="8"/>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营业执照复印件</w:t>
      </w:r>
    </w:p>
    <w:p>
      <w:pPr>
        <w:pStyle w:val="58"/>
        <w:numPr>
          <w:ilvl w:val="0"/>
          <w:numId w:val="8"/>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授权经销商或代理商证明材料复印件</w:t>
      </w:r>
    </w:p>
    <w:p>
      <w:pPr>
        <w:pStyle w:val="58"/>
        <w:numPr>
          <w:ilvl w:val="0"/>
          <w:numId w:val="8"/>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质保期和售后服务承诺书（参与人自行起草）</w:t>
      </w:r>
    </w:p>
    <w:p>
      <w:pPr>
        <w:pStyle w:val="58"/>
        <w:numPr>
          <w:ilvl w:val="0"/>
          <w:numId w:val="8"/>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项目业绩证明</w:t>
      </w: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以上材料复印件须加盖参与人公司公章，并与报价一览表一同密封</w:t>
      </w:r>
    </w:p>
    <w:p>
      <w:pPr>
        <w:spacing w:line="380" w:lineRule="exact"/>
        <w:rPr>
          <w:rFonts w:ascii="仿宋" w:hAnsi="仿宋" w:eastAsia="仿宋"/>
          <w:color w:val="000000" w:themeColor="text1"/>
          <w:sz w:val="24"/>
          <w:szCs w:val="24"/>
          <w14:textFill>
            <w14:solidFill>
              <w14:schemeClr w14:val="tx1"/>
            </w14:solidFill>
          </w14:textFill>
        </w:rPr>
      </w:pPr>
    </w:p>
    <w:p>
      <w:pPr>
        <w:spacing w:line="380" w:lineRule="exact"/>
        <w:rPr>
          <w:rFonts w:ascii="仿宋" w:hAnsi="仿宋" w:eastAsia="仿宋"/>
          <w:color w:val="000000" w:themeColor="text1"/>
          <w:sz w:val="24"/>
          <w:szCs w:val="24"/>
          <w14:textFill>
            <w14:solidFill>
              <w14:schemeClr w14:val="tx1"/>
            </w14:solidFill>
          </w14:textFill>
        </w:rPr>
      </w:pPr>
    </w:p>
    <w:p>
      <w:pPr>
        <w:spacing w:line="380" w:lineRule="exact"/>
        <w:rPr>
          <w:rFonts w:ascii="仿宋" w:hAnsi="仿宋" w:eastAsia="仿宋"/>
          <w:color w:val="000000" w:themeColor="text1"/>
          <w:sz w:val="24"/>
          <w:szCs w:val="24"/>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Gothic">
    <w:altName w:val="Bahnschrift Light"/>
    <w:panose1 w:val="020B050202020202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Bahnschrift Light">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4199261"/>
    </w:sdtPr>
    <w:sdtContent>
      <w:sdt>
        <w:sdtPr>
          <w:id w:val="1985434202"/>
        </w:sdtPr>
        <w:sdtContent>
          <w:p>
            <w:pPr>
              <w:pStyle w:val="20"/>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r>
              <w:rPr>
                <w:b/>
                <w:bCs/>
                <w:sz w:val="24"/>
                <w:szCs w:val="24"/>
              </w:rPr>
              <w:t xml:space="preserve">        </w:t>
            </w:r>
          </w:p>
          <w:p>
            <w:pPr>
              <w:pStyle w:val="20"/>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drawing>
        <wp:inline distT="0" distB="0" distL="0" distR="0">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drawing>
        <wp:inline distT="0" distB="0" distL="0" distR="0">
          <wp:extent cx="1704975" cy="381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6845" cy="386101"/>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drawing>
        <wp:inline distT="0" distB="0" distL="0" distR="0">
          <wp:extent cx="1704975" cy="381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6845" cy="38610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11F0F"/>
    <w:multiLevelType w:val="singleLevel"/>
    <w:tmpl w:val="9B911F0F"/>
    <w:lvl w:ilvl="0" w:tentative="0">
      <w:start w:val="1"/>
      <w:numFmt w:val="chineseCounting"/>
      <w:suff w:val="space"/>
      <w:lvlText w:val="（%1）"/>
      <w:lvlJc w:val="left"/>
      <w:rPr>
        <w:rFonts w:hint="eastAsia"/>
      </w:rPr>
    </w:lvl>
  </w:abstractNum>
  <w:abstractNum w:abstractNumId="1">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2">
    <w:nsid w:val="20B57BC1"/>
    <w:multiLevelType w:val="multilevel"/>
    <w:tmpl w:val="20B57BC1"/>
    <w:lvl w:ilvl="0" w:tentative="0">
      <w:start w:val="5"/>
      <w:numFmt w:val="decimal"/>
      <w:lvlText w:val="（%1）"/>
      <w:lvlJc w:val="left"/>
      <w:pPr>
        <w:ind w:left="1559" w:hanging="720"/>
      </w:pPr>
      <w:rPr>
        <w:rFonts w:hint="default"/>
      </w:rPr>
    </w:lvl>
    <w:lvl w:ilvl="1" w:tentative="0">
      <w:start w:val="1"/>
      <w:numFmt w:val="lowerLetter"/>
      <w:lvlText w:val="%2)"/>
      <w:lvlJc w:val="left"/>
      <w:pPr>
        <w:ind w:left="1679" w:hanging="420"/>
      </w:pPr>
    </w:lvl>
    <w:lvl w:ilvl="2" w:tentative="0">
      <w:start w:val="1"/>
      <w:numFmt w:val="lowerRoman"/>
      <w:lvlText w:val="%3."/>
      <w:lvlJc w:val="right"/>
      <w:pPr>
        <w:ind w:left="2099" w:hanging="420"/>
      </w:pPr>
    </w:lvl>
    <w:lvl w:ilvl="3" w:tentative="0">
      <w:start w:val="1"/>
      <w:numFmt w:val="decimal"/>
      <w:lvlText w:val="%4."/>
      <w:lvlJc w:val="left"/>
      <w:pPr>
        <w:ind w:left="2519" w:hanging="420"/>
      </w:pPr>
    </w:lvl>
    <w:lvl w:ilvl="4" w:tentative="0">
      <w:start w:val="1"/>
      <w:numFmt w:val="lowerLetter"/>
      <w:lvlText w:val="%5)"/>
      <w:lvlJc w:val="left"/>
      <w:pPr>
        <w:ind w:left="2939" w:hanging="420"/>
      </w:pPr>
    </w:lvl>
    <w:lvl w:ilvl="5" w:tentative="0">
      <w:start w:val="1"/>
      <w:numFmt w:val="lowerRoman"/>
      <w:lvlText w:val="%6."/>
      <w:lvlJc w:val="right"/>
      <w:pPr>
        <w:ind w:left="3359" w:hanging="420"/>
      </w:pPr>
    </w:lvl>
    <w:lvl w:ilvl="6" w:tentative="0">
      <w:start w:val="1"/>
      <w:numFmt w:val="decimal"/>
      <w:lvlText w:val="%7."/>
      <w:lvlJc w:val="left"/>
      <w:pPr>
        <w:ind w:left="3779" w:hanging="420"/>
      </w:pPr>
    </w:lvl>
    <w:lvl w:ilvl="7" w:tentative="0">
      <w:start w:val="1"/>
      <w:numFmt w:val="lowerLetter"/>
      <w:lvlText w:val="%8)"/>
      <w:lvlJc w:val="left"/>
      <w:pPr>
        <w:ind w:left="4199" w:hanging="420"/>
      </w:pPr>
    </w:lvl>
    <w:lvl w:ilvl="8" w:tentative="0">
      <w:start w:val="1"/>
      <w:numFmt w:val="lowerRoman"/>
      <w:lvlText w:val="%9."/>
      <w:lvlJc w:val="right"/>
      <w:pPr>
        <w:ind w:left="4619" w:hanging="420"/>
      </w:pPr>
    </w:lvl>
  </w:abstractNum>
  <w:abstractNum w:abstractNumId="3">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5">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2"/>
  </w:num>
  <w:num w:numId="4">
    <w:abstractNumId w:val="6"/>
  </w:num>
  <w:num w:numId="5">
    <w:abstractNumId w:val="4"/>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0"/>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jYjgzOWU1NzE4ODI1ZTlkOTg1MGVmNDFlOTU5MWEifQ=="/>
  </w:docVars>
  <w:rsids>
    <w:rsidRoot w:val="007B0F09"/>
    <w:rsid w:val="0000490C"/>
    <w:rsid w:val="000348A6"/>
    <w:rsid w:val="000569E1"/>
    <w:rsid w:val="00074B20"/>
    <w:rsid w:val="00082572"/>
    <w:rsid w:val="000934D4"/>
    <w:rsid w:val="000A4CA1"/>
    <w:rsid w:val="000B0F16"/>
    <w:rsid w:val="000B3351"/>
    <w:rsid w:val="000F4F45"/>
    <w:rsid w:val="00124995"/>
    <w:rsid w:val="0013118F"/>
    <w:rsid w:val="001561E9"/>
    <w:rsid w:val="00176CD4"/>
    <w:rsid w:val="00182C6E"/>
    <w:rsid w:val="0019033E"/>
    <w:rsid w:val="001A5B43"/>
    <w:rsid w:val="001B719E"/>
    <w:rsid w:val="001C6943"/>
    <w:rsid w:val="00235C32"/>
    <w:rsid w:val="00244E90"/>
    <w:rsid w:val="0026365C"/>
    <w:rsid w:val="0026577A"/>
    <w:rsid w:val="002772BB"/>
    <w:rsid w:val="00286467"/>
    <w:rsid w:val="00295590"/>
    <w:rsid w:val="002C2C3D"/>
    <w:rsid w:val="002C4297"/>
    <w:rsid w:val="002E6615"/>
    <w:rsid w:val="00334E6F"/>
    <w:rsid w:val="003570A0"/>
    <w:rsid w:val="00380FDB"/>
    <w:rsid w:val="003C5808"/>
    <w:rsid w:val="003C60EF"/>
    <w:rsid w:val="003D3C2D"/>
    <w:rsid w:val="003E6439"/>
    <w:rsid w:val="003F20A6"/>
    <w:rsid w:val="00404FA2"/>
    <w:rsid w:val="004242F4"/>
    <w:rsid w:val="0043243C"/>
    <w:rsid w:val="00441955"/>
    <w:rsid w:val="00455734"/>
    <w:rsid w:val="004B66B1"/>
    <w:rsid w:val="004C7098"/>
    <w:rsid w:val="00502F52"/>
    <w:rsid w:val="00582530"/>
    <w:rsid w:val="00590957"/>
    <w:rsid w:val="005A5A4D"/>
    <w:rsid w:val="005F1FC8"/>
    <w:rsid w:val="00630374"/>
    <w:rsid w:val="00662F84"/>
    <w:rsid w:val="006F3C71"/>
    <w:rsid w:val="006F5FBA"/>
    <w:rsid w:val="0079458B"/>
    <w:rsid w:val="007A0AF6"/>
    <w:rsid w:val="007B0F09"/>
    <w:rsid w:val="007B2319"/>
    <w:rsid w:val="007B41E0"/>
    <w:rsid w:val="007C43A7"/>
    <w:rsid w:val="00820F76"/>
    <w:rsid w:val="00842FA9"/>
    <w:rsid w:val="00865B30"/>
    <w:rsid w:val="00874219"/>
    <w:rsid w:val="008902DC"/>
    <w:rsid w:val="008C58EC"/>
    <w:rsid w:val="00916532"/>
    <w:rsid w:val="00923C7E"/>
    <w:rsid w:val="00936704"/>
    <w:rsid w:val="00951205"/>
    <w:rsid w:val="009606BC"/>
    <w:rsid w:val="00967E57"/>
    <w:rsid w:val="00994E59"/>
    <w:rsid w:val="009A3A7F"/>
    <w:rsid w:val="00A127A1"/>
    <w:rsid w:val="00A148CE"/>
    <w:rsid w:val="00A24465"/>
    <w:rsid w:val="00A40610"/>
    <w:rsid w:val="00A4220E"/>
    <w:rsid w:val="00A44A63"/>
    <w:rsid w:val="00A64A5B"/>
    <w:rsid w:val="00AD29A3"/>
    <w:rsid w:val="00AF3C2A"/>
    <w:rsid w:val="00B14C37"/>
    <w:rsid w:val="00B54440"/>
    <w:rsid w:val="00B554E7"/>
    <w:rsid w:val="00B80FFC"/>
    <w:rsid w:val="00BD49FB"/>
    <w:rsid w:val="00BD7232"/>
    <w:rsid w:val="00BE1921"/>
    <w:rsid w:val="00BE748A"/>
    <w:rsid w:val="00C035B5"/>
    <w:rsid w:val="00C328CE"/>
    <w:rsid w:val="00C66E1E"/>
    <w:rsid w:val="00C676BA"/>
    <w:rsid w:val="00C81AB4"/>
    <w:rsid w:val="00C857BF"/>
    <w:rsid w:val="00C94AC0"/>
    <w:rsid w:val="00CA21F0"/>
    <w:rsid w:val="00CC39FD"/>
    <w:rsid w:val="00D2102C"/>
    <w:rsid w:val="00D229E8"/>
    <w:rsid w:val="00D36D52"/>
    <w:rsid w:val="00D56DEA"/>
    <w:rsid w:val="00D64059"/>
    <w:rsid w:val="00DB6737"/>
    <w:rsid w:val="00E11567"/>
    <w:rsid w:val="00E14FB0"/>
    <w:rsid w:val="00E3310A"/>
    <w:rsid w:val="00E33B9E"/>
    <w:rsid w:val="00E33C1C"/>
    <w:rsid w:val="00E33D9F"/>
    <w:rsid w:val="00E45686"/>
    <w:rsid w:val="00E50272"/>
    <w:rsid w:val="00E50977"/>
    <w:rsid w:val="00E761EA"/>
    <w:rsid w:val="00E77305"/>
    <w:rsid w:val="00E83979"/>
    <w:rsid w:val="00E95973"/>
    <w:rsid w:val="00EC53CA"/>
    <w:rsid w:val="00ED2437"/>
    <w:rsid w:val="00EE3803"/>
    <w:rsid w:val="00F0149B"/>
    <w:rsid w:val="00F8646A"/>
    <w:rsid w:val="00F876DE"/>
    <w:rsid w:val="00FE51A3"/>
    <w:rsid w:val="00FF1750"/>
    <w:rsid w:val="02DD7C28"/>
    <w:rsid w:val="04477B4E"/>
    <w:rsid w:val="09DF6CDA"/>
    <w:rsid w:val="0B9F295E"/>
    <w:rsid w:val="0E9B36D4"/>
    <w:rsid w:val="11FA2921"/>
    <w:rsid w:val="16E53857"/>
    <w:rsid w:val="1C023A9F"/>
    <w:rsid w:val="263C0B20"/>
    <w:rsid w:val="2F560C90"/>
    <w:rsid w:val="314F5F72"/>
    <w:rsid w:val="31E56FA0"/>
    <w:rsid w:val="35151C0C"/>
    <w:rsid w:val="389272E2"/>
    <w:rsid w:val="38B1365F"/>
    <w:rsid w:val="3FA30AF3"/>
    <w:rsid w:val="42C37121"/>
    <w:rsid w:val="4CE201C3"/>
    <w:rsid w:val="514D6724"/>
    <w:rsid w:val="5807694A"/>
    <w:rsid w:val="584B4715"/>
    <w:rsid w:val="6022748D"/>
    <w:rsid w:val="61C946E1"/>
    <w:rsid w:val="65A140BB"/>
    <w:rsid w:val="67CD0E84"/>
    <w:rsid w:val="705D3598"/>
    <w:rsid w:val="77A461EF"/>
    <w:rsid w:val="77BE214F"/>
    <w:rsid w:val="780061ED"/>
    <w:rsid w:val="7FBD5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5">
    <w:name w:val="heading 1"/>
    <w:basedOn w:val="1"/>
    <w:next w:val="1"/>
    <w:link w:val="32"/>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6">
    <w:name w:val="heading 2"/>
    <w:basedOn w:val="1"/>
    <w:next w:val="1"/>
    <w:link w:val="33"/>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7">
    <w:name w:val="heading 3"/>
    <w:basedOn w:val="1"/>
    <w:next w:val="1"/>
    <w:link w:val="34"/>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8">
    <w:name w:val="heading 4"/>
    <w:basedOn w:val="1"/>
    <w:next w:val="1"/>
    <w:link w:val="35"/>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9">
    <w:name w:val="heading 5"/>
    <w:basedOn w:val="1"/>
    <w:next w:val="1"/>
    <w:link w:val="36"/>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10">
    <w:name w:val="heading 6"/>
    <w:basedOn w:val="1"/>
    <w:next w:val="1"/>
    <w:link w:val="37"/>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11">
    <w:name w:val="heading 7"/>
    <w:basedOn w:val="1"/>
    <w:next w:val="1"/>
    <w:link w:val="38"/>
    <w:semiHidden/>
    <w:unhideWhenUsed/>
    <w:qFormat/>
    <w:uiPriority w:val="9"/>
    <w:pPr>
      <w:keepNext/>
      <w:keepLines/>
      <w:spacing w:before="120" w:after="0"/>
      <w:outlineLvl w:val="6"/>
    </w:pPr>
    <w:rPr>
      <w:i/>
      <w:iCs/>
    </w:rPr>
  </w:style>
  <w:style w:type="paragraph" w:styleId="12">
    <w:name w:val="heading 8"/>
    <w:basedOn w:val="1"/>
    <w:next w:val="1"/>
    <w:link w:val="39"/>
    <w:semiHidden/>
    <w:unhideWhenUsed/>
    <w:qFormat/>
    <w:uiPriority w:val="9"/>
    <w:pPr>
      <w:keepNext/>
      <w:keepLines/>
      <w:spacing w:before="120" w:after="0"/>
      <w:outlineLvl w:val="7"/>
    </w:pPr>
    <w:rPr>
      <w:b/>
      <w:bCs/>
    </w:rPr>
  </w:style>
  <w:style w:type="paragraph" w:styleId="13">
    <w:name w:val="heading 9"/>
    <w:basedOn w:val="1"/>
    <w:next w:val="1"/>
    <w:link w:val="40"/>
    <w:semiHidden/>
    <w:unhideWhenUsed/>
    <w:qFormat/>
    <w:uiPriority w:val="9"/>
    <w:pPr>
      <w:keepNext/>
      <w:keepLines/>
      <w:spacing w:before="120" w:after="0"/>
      <w:outlineLvl w:val="8"/>
    </w:pPr>
    <w:rPr>
      <w:i/>
      <w:iCs/>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3">
    <w:name w:val="Body Text"/>
    <w:basedOn w:val="1"/>
    <w:next w:val="4"/>
    <w:link w:val="62"/>
    <w:semiHidden/>
    <w:unhideWhenUsed/>
    <w:qFormat/>
    <w:uiPriority w:val="99"/>
    <w:pPr>
      <w:spacing w:after="120"/>
    </w:pPr>
  </w:style>
  <w:style w:type="paragraph" w:customStyle="1" w:styleId="4">
    <w:name w:val="引用1"/>
    <w:basedOn w:val="1"/>
    <w:next w:val="1"/>
    <w:qFormat/>
    <w:uiPriority w:val="29"/>
    <w:rPr>
      <w:i/>
      <w:iCs/>
      <w:color w:val="000000"/>
      <w:szCs w:val="20"/>
    </w:rPr>
  </w:style>
  <w:style w:type="paragraph" w:styleId="14">
    <w:name w:val="caption"/>
    <w:basedOn w:val="1"/>
    <w:next w:val="1"/>
    <w:semiHidden/>
    <w:unhideWhenUsed/>
    <w:qFormat/>
    <w:uiPriority w:val="35"/>
    <w:rPr>
      <w:b/>
      <w:bCs/>
      <w:sz w:val="18"/>
      <w:szCs w:val="18"/>
    </w:rPr>
  </w:style>
  <w:style w:type="paragraph" w:styleId="15">
    <w:name w:val="annotation text"/>
    <w:basedOn w:val="1"/>
    <w:semiHidden/>
    <w:unhideWhenUsed/>
    <w:qFormat/>
    <w:uiPriority w:val="99"/>
    <w:pPr>
      <w:jc w:val="left"/>
    </w:pPr>
  </w:style>
  <w:style w:type="paragraph" w:styleId="16">
    <w:name w:val="toc 3"/>
    <w:basedOn w:val="1"/>
    <w:next w:val="1"/>
    <w:unhideWhenUsed/>
    <w:qFormat/>
    <w:uiPriority w:val="39"/>
    <w:pPr>
      <w:spacing w:after="100" w:line="259" w:lineRule="auto"/>
      <w:ind w:left="440"/>
      <w:jc w:val="left"/>
    </w:pPr>
    <w:rPr>
      <w:rFonts w:cs="Times New Roman"/>
    </w:rPr>
  </w:style>
  <w:style w:type="paragraph" w:styleId="17">
    <w:name w:val="Plain Text"/>
    <w:basedOn w:val="1"/>
    <w:link w:val="61"/>
    <w:unhideWhenUsed/>
    <w:qFormat/>
    <w:uiPriority w:val="0"/>
    <w:rPr>
      <w:rFonts w:hAnsi="Courier New" w:cs="Courier New" w:asciiTheme="minorEastAsia"/>
    </w:rPr>
  </w:style>
  <w:style w:type="paragraph" w:styleId="18">
    <w:name w:val="Date"/>
    <w:basedOn w:val="1"/>
    <w:next w:val="1"/>
    <w:link w:val="64"/>
    <w:semiHidden/>
    <w:unhideWhenUsed/>
    <w:qFormat/>
    <w:uiPriority w:val="99"/>
    <w:pPr>
      <w:ind w:left="100" w:leftChars="2500"/>
    </w:pPr>
  </w:style>
  <w:style w:type="paragraph" w:styleId="19">
    <w:name w:val="Balloon Text"/>
    <w:basedOn w:val="1"/>
    <w:link w:val="65"/>
    <w:semiHidden/>
    <w:unhideWhenUsed/>
    <w:qFormat/>
    <w:uiPriority w:val="99"/>
    <w:pPr>
      <w:spacing w:after="0" w:line="240" w:lineRule="auto"/>
    </w:pPr>
    <w:rPr>
      <w:sz w:val="18"/>
      <w:szCs w:val="18"/>
    </w:rPr>
  </w:style>
  <w:style w:type="paragraph" w:styleId="20">
    <w:name w:val="footer"/>
    <w:basedOn w:val="1"/>
    <w:link w:val="57"/>
    <w:unhideWhenUsed/>
    <w:qFormat/>
    <w:uiPriority w:val="99"/>
    <w:pPr>
      <w:tabs>
        <w:tab w:val="center" w:pos="4153"/>
        <w:tab w:val="right" w:pos="8306"/>
      </w:tabs>
      <w:snapToGrid w:val="0"/>
      <w:spacing w:line="240" w:lineRule="auto"/>
      <w:jc w:val="left"/>
    </w:pPr>
    <w:rPr>
      <w:sz w:val="18"/>
      <w:szCs w:val="18"/>
    </w:rPr>
  </w:style>
  <w:style w:type="paragraph" w:styleId="21">
    <w:name w:val="header"/>
    <w:basedOn w:val="1"/>
    <w:link w:val="5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2">
    <w:name w:val="toc 1"/>
    <w:basedOn w:val="1"/>
    <w:next w:val="1"/>
    <w:unhideWhenUsed/>
    <w:qFormat/>
    <w:uiPriority w:val="39"/>
    <w:pPr>
      <w:spacing w:after="100" w:line="259" w:lineRule="auto"/>
      <w:jc w:val="left"/>
    </w:pPr>
    <w:rPr>
      <w:rFonts w:cs="Times New Roman"/>
    </w:rPr>
  </w:style>
  <w:style w:type="paragraph" w:styleId="23">
    <w:name w:val="Subtitle"/>
    <w:basedOn w:val="1"/>
    <w:next w:val="1"/>
    <w:link w:val="42"/>
    <w:qFormat/>
    <w:uiPriority w:val="11"/>
    <w:pPr>
      <w:spacing w:after="240"/>
      <w:jc w:val="center"/>
    </w:pPr>
    <w:rPr>
      <w:rFonts w:asciiTheme="majorHAnsi" w:hAnsiTheme="majorHAnsi" w:eastAsiaTheme="majorEastAsia" w:cstheme="majorBidi"/>
      <w:sz w:val="24"/>
      <w:szCs w:val="24"/>
    </w:rPr>
  </w:style>
  <w:style w:type="paragraph" w:styleId="24">
    <w:name w:val="Body Text Indent 3"/>
    <w:basedOn w:val="1"/>
    <w:link w:val="59"/>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5">
    <w:name w:val="toc 2"/>
    <w:basedOn w:val="1"/>
    <w:next w:val="1"/>
    <w:unhideWhenUsed/>
    <w:qFormat/>
    <w:uiPriority w:val="39"/>
    <w:pPr>
      <w:spacing w:after="100" w:line="259" w:lineRule="auto"/>
      <w:ind w:left="220"/>
      <w:jc w:val="left"/>
    </w:pPr>
    <w:rPr>
      <w:rFonts w:cs="Times New Roman"/>
    </w:rPr>
  </w:style>
  <w:style w:type="paragraph" w:styleId="26">
    <w:name w:val="Title"/>
    <w:basedOn w:val="1"/>
    <w:next w:val="1"/>
    <w:link w:val="41"/>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9">
    <w:name w:val="Strong"/>
    <w:basedOn w:val="28"/>
    <w:qFormat/>
    <w:uiPriority w:val="22"/>
    <w:rPr>
      <w:b/>
      <w:bCs/>
      <w:color w:val="auto"/>
    </w:rPr>
  </w:style>
  <w:style w:type="character" w:styleId="30">
    <w:name w:val="Emphasis"/>
    <w:basedOn w:val="28"/>
    <w:qFormat/>
    <w:uiPriority w:val="20"/>
    <w:rPr>
      <w:i/>
      <w:iCs/>
      <w:color w:val="auto"/>
    </w:rPr>
  </w:style>
  <w:style w:type="character" w:styleId="31">
    <w:name w:val="Hyperlink"/>
    <w:basedOn w:val="28"/>
    <w:unhideWhenUsed/>
    <w:qFormat/>
    <w:uiPriority w:val="99"/>
    <w:rPr>
      <w:color w:val="F49100" w:themeColor="hyperlink"/>
      <w:u w:val="single"/>
      <w14:textFill>
        <w14:solidFill>
          <w14:schemeClr w14:val="hlink"/>
        </w14:solidFill>
      </w14:textFill>
    </w:rPr>
  </w:style>
  <w:style w:type="character" w:customStyle="1" w:styleId="32">
    <w:name w:val="标题 1 字符"/>
    <w:basedOn w:val="28"/>
    <w:link w:val="5"/>
    <w:qFormat/>
    <w:uiPriority w:val="9"/>
    <w:rPr>
      <w:rFonts w:asciiTheme="majorHAnsi" w:hAnsiTheme="majorHAnsi" w:eastAsiaTheme="majorEastAsia" w:cstheme="majorBidi"/>
      <w:b/>
      <w:bCs/>
      <w:caps/>
      <w:spacing w:val="4"/>
      <w:sz w:val="28"/>
      <w:szCs w:val="28"/>
    </w:rPr>
  </w:style>
  <w:style w:type="character" w:customStyle="1" w:styleId="33">
    <w:name w:val="标题 2 字符"/>
    <w:basedOn w:val="28"/>
    <w:link w:val="6"/>
    <w:qFormat/>
    <w:uiPriority w:val="9"/>
    <w:rPr>
      <w:rFonts w:asciiTheme="majorHAnsi" w:hAnsiTheme="majorHAnsi" w:eastAsiaTheme="majorEastAsia" w:cstheme="majorBidi"/>
      <w:b/>
      <w:bCs/>
      <w:sz w:val="28"/>
      <w:szCs w:val="28"/>
    </w:rPr>
  </w:style>
  <w:style w:type="character" w:customStyle="1" w:styleId="34">
    <w:name w:val="标题 3 字符"/>
    <w:basedOn w:val="28"/>
    <w:link w:val="7"/>
    <w:semiHidden/>
    <w:qFormat/>
    <w:uiPriority w:val="9"/>
    <w:rPr>
      <w:rFonts w:asciiTheme="majorHAnsi" w:hAnsiTheme="majorHAnsi" w:eastAsiaTheme="majorEastAsia" w:cstheme="majorBidi"/>
      <w:spacing w:val="4"/>
      <w:sz w:val="24"/>
      <w:szCs w:val="24"/>
    </w:rPr>
  </w:style>
  <w:style w:type="character" w:customStyle="1" w:styleId="35">
    <w:name w:val="标题 4 字符"/>
    <w:basedOn w:val="28"/>
    <w:link w:val="8"/>
    <w:semiHidden/>
    <w:qFormat/>
    <w:uiPriority w:val="9"/>
    <w:rPr>
      <w:rFonts w:asciiTheme="majorHAnsi" w:hAnsiTheme="majorHAnsi" w:eastAsiaTheme="majorEastAsia" w:cstheme="majorBidi"/>
      <w:i/>
      <w:iCs/>
      <w:sz w:val="24"/>
      <w:szCs w:val="24"/>
    </w:rPr>
  </w:style>
  <w:style w:type="character" w:customStyle="1" w:styleId="36">
    <w:name w:val="标题 5 字符"/>
    <w:basedOn w:val="28"/>
    <w:link w:val="9"/>
    <w:semiHidden/>
    <w:qFormat/>
    <w:uiPriority w:val="9"/>
    <w:rPr>
      <w:rFonts w:asciiTheme="majorHAnsi" w:hAnsiTheme="majorHAnsi" w:eastAsiaTheme="majorEastAsia" w:cstheme="majorBidi"/>
      <w:b/>
      <w:bCs/>
    </w:rPr>
  </w:style>
  <w:style w:type="character" w:customStyle="1" w:styleId="37">
    <w:name w:val="标题 6 字符"/>
    <w:basedOn w:val="28"/>
    <w:link w:val="10"/>
    <w:semiHidden/>
    <w:qFormat/>
    <w:uiPriority w:val="9"/>
    <w:rPr>
      <w:rFonts w:asciiTheme="majorHAnsi" w:hAnsiTheme="majorHAnsi" w:eastAsiaTheme="majorEastAsia" w:cstheme="majorBidi"/>
      <w:b/>
      <w:bCs/>
      <w:i/>
      <w:iCs/>
    </w:rPr>
  </w:style>
  <w:style w:type="character" w:customStyle="1" w:styleId="38">
    <w:name w:val="标题 7 字符"/>
    <w:basedOn w:val="28"/>
    <w:link w:val="11"/>
    <w:semiHidden/>
    <w:qFormat/>
    <w:uiPriority w:val="9"/>
    <w:rPr>
      <w:i/>
      <w:iCs/>
    </w:rPr>
  </w:style>
  <w:style w:type="character" w:customStyle="1" w:styleId="39">
    <w:name w:val="标题 8 字符"/>
    <w:basedOn w:val="28"/>
    <w:link w:val="12"/>
    <w:semiHidden/>
    <w:qFormat/>
    <w:uiPriority w:val="9"/>
    <w:rPr>
      <w:b/>
      <w:bCs/>
    </w:rPr>
  </w:style>
  <w:style w:type="character" w:customStyle="1" w:styleId="40">
    <w:name w:val="标题 9 字符"/>
    <w:basedOn w:val="28"/>
    <w:link w:val="13"/>
    <w:semiHidden/>
    <w:qFormat/>
    <w:uiPriority w:val="9"/>
    <w:rPr>
      <w:i/>
      <w:iCs/>
    </w:rPr>
  </w:style>
  <w:style w:type="character" w:customStyle="1" w:styleId="41">
    <w:name w:val="标题 字符"/>
    <w:basedOn w:val="28"/>
    <w:link w:val="26"/>
    <w:qFormat/>
    <w:uiPriority w:val="10"/>
    <w:rPr>
      <w:rFonts w:asciiTheme="majorHAnsi" w:hAnsiTheme="majorHAnsi" w:eastAsiaTheme="majorEastAsia" w:cstheme="majorBidi"/>
      <w:b/>
      <w:bCs/>
      <w:spacing w:val="-7"/>
      <w:sz w:val="48"/>
      <w:szCs w:val="48"/>
    </w:rPr>
  </w:style>
  <w:style w:type="character" w:customStyle="1" w:styleId="42">
    <w:name w:val="副标题 字符"/>
    <w:basedOn w:val="28"/>
    <w:link w:val="23"/>
    <w:qFormat/>
    <w:uiPriority w:val="11"/>
    <w:rPr>
      <w:rFonts w:asciiTheme="majorHAnsi" w:hAnsiTheme="majorHAnsi" w:eastAsiaTheme="majorEastAsia" w:cstheme="majorBidi"/>
      <w:sz w:val="24"/>
      <w:szCs w:val="24"/>
    </w:rPr>
  </w:style>
  <w:style w:type="paragraph" w:styleId="43">
    <w:name w:val="No Spacing"/>
    <w:link w:val="54"/>
    <w:qFormat/>
    <w:uiPriority w:val="1"/>
    <w:pPr>
      <w:jc w:val="both"/>
    </w:pPr>
    <w:rPr>
      <w:rFonts w:asciiTheme="minorHAnsi" w:hAnsiTheme="minorHAnsi" w:eastAsiaTheme="minorEastAsia" w:cstheme="minorBidi"/>
      <w:sz w:val="22"/>
      <w:szCs w:val="22"/>
      <w:lang w:val="en-US" w:eastAsia="zh-CN" w:bidi="ar-SA"/>
    </w:rPr>
  </w:style>
  <w:style w:type="paragraph" w:styleId="44">
    <w:name w:val="Quote"/>
    <w:basedOn w:val="1"/>
    <w:next w:val="1"/>
    <w:link w:val="45"/>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5">
    <w:name w:val="引用 字符"/>
    <w:basedOn w:val="28"/>
    <w:link w:val="44"/>
    <w:qFormat/>
    <w:uiPriority w:val="29"/>
    <w:rPr>
      <w:rFonts w:asciiTheme="majorHAnsi" w:hAnsiTheme="majorHAnsi" w:eastAsiaTheme="majorEastAsia" w:cstheme="majorBidi"/>
      <w:i/>
      <w:iCs/>
      <w:sz w:val="24"/>
      <w:szCs w:val="24"/>
    </w:rPr>
  </w:style>
  <w:style w:type="paragraph" w:styleId="46">
    <w:name w:val="Intense Quote"/>
    <w:basedOn w:val="1"/>
    <w:next w:val="1"/>
    <w:link w:val="47"/>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7">
    <w:name w:val="明显引用 字符"/>
    <w:basedOn w:val="28"/>
    <w:link w:val="46"/>
    <w:qFormat/>
    <w:uiPriority w:val="30"/>
    <w:rPr>
      <w:rFonts w:asciiTheme="majorHAnsi" w:hAnsiTheme="majorHAnsi" w:eastAsiaTheme="majorEastAsia" w:cstheme="majorBidi"/>
      <w:sz w:val="26"/>
      <w:szCs w:val="26"/>
    </w:rPr>
  </w:style>
  <w:style w:type="character" w:customStyle="1" w:styleId="48">
    <w:name w:val="不明显强调1"/>
    <w:basedOn w:val="28"/>
    <w:qFormat/>
    <w:uiPriority w:val="19"/>
    <w:rPr>
      <w:i/>
      <w:iCs/>
      <w:color w:val="auto"/>
    </w:rPr>
  </w:style>
  <w:style w:type="character" w:customStyle="1" w:styleId="49">
    <w:name w:val="明显强调1"/>
    <w:basedOn w:val="28"/>
    <w:qFormat/>
    <w:uiPriority w:val="21"/>
    <w:rPr>
      <w:b/>
      <w:bCs/>
      <w:i/>
      <w:iCs/>
      <w:color w:val="auto"/>
    </w:rPr>
  </w:style>
  <w:style w:type="character" w:customStyle="1" w:styleId="50">
    <w:name w:val="不明显参考1"/>
    <w:basedOn w:val="28"/>
    <w:qFormat/>
    <w:uiPriority w:val="31"/>
    <w:rPr>
      <w:smallCaps/>
      <w:color w:val="auto"/>
      <w:u w:val="single" w:color="7E7E7E" w:themeColor="text1" w:themeTint="80"/>
    </w:rPr>
  </w:style>
  <w:style w:type="character" w:customStyle="1" w:styleId="51">
    <w:name w:val="明显参考1"/>
    <w:basedOn w:val="28"/>
    <w:qFormat/>
    <w:uiPriority w:val="32"/>
    <w:rPr>
      <w:b/>
      <w:bCs/>
      <w:smallCaps/>
      <w:color w:val="auto"/>
      <w:u w:val="single"/>
    </w:rPr>
  </w:style>
  <w:style w:type="character" w:customStyle="1" w:styleId="52">
    <w:name w:val="书籍标题1"/>
    <w:basedOn w:val="28"/>
    <w:qFormat/>
    <w:uiPriority w:val="33"/>
    <w:rPr>
      <w:b/>
      <w:bCs/>
      <w:smallCaps/>
      <w:color w:val="auto"/>
    </w:rPr>
  </w:style>
  <w:style w:type="paragraph" w:customStyle="1" w:styleId="53">
    <w:name w:val="TOC 标题1"/>
    <w:basedOn w:val="5"/>
    <w:next w:val="1"/>
    <w:unhideWhenUsed/>
    <w:qFormat/>
    <w:uiPriority w:val="39"/>
    <w:pPr>
      <w:outlineLvl w:val="9"/>
    </w:pPr>
  </w:style>
  <w:style w:type="character" w:customStyle="1" w:styleId="54">
    <w:name w:val="无间隔 字符"/>
    <w:basedOn w:val="28"/>
    <w:link w:val="43"/>
    <w:qFormat/>
    <w:uiPriority w:val="1"/>
  </w:style>
  <w:style w:type="paragraph" w:customStyle="1" w:styleId="5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6">
    <w:name w:val="页眉 字符"/>
    <w:basedOn w:val="28"/>
    <w:link w:val="21"/>
    <w:qFormat/>
    <w:uiPriority w:val="99"/>
    <w:rPr>
      <w:sz w:val="18"/>
      <w:szCs w:val="18"/>
    </w:rPr>
  </w:style>
  <w:style w:type="character" w:customStyle="1" w:styleId="57">
    <w:name w:val="页脚 字符"/>
    <w:basedOn w:val="28"/>
    <w:link w:val="20"/>
    <w:qFormat/>
    <w:uiPriority w:val="99"/>
    <w:rPr>
      <w:sz w:val="18"/>
      <w:szCs w:val="18"/>
    </w:rPr>
  </w:style>
  <w:style w:type="paragraph" w:styleId="58">
    <w:name w:val="List Paragraph"/>
    <w:basedOn w:val="1"/>
    <w:qFormat/>
    <w:uiPriority w:val="34"/>
    <w:pPr>
      <w:ind w:firstLine="420" w:firstLineChars="200"/>
    </w:pPr>
  </w:style>
  <w:style w:type="character" w:customStyle="1" w:styleId="59">
    <w:name w:val="正文文本缩进 3 字符"/>
    <w:basedOn w:val="28"/>
    <w:link w:val="24"/>
    <w:qFormat/>
    <w:uiPriority w:val="0"/>
    <w:rPr>
      <w:rFonts w:ascii="Times New Roman" w:hAnsi="Times New Roman" w:eastAsia="宋体" w:cs="Times New Roman"/>
      <w:kern w:val="2"/>
      <w:sz w:val="16"/>
      <w:szCs w:val="16"/>
    </w:rPr>
  </w:style>
  <w:style w:type="paragraph" w:customStyle="1" w:styleId="60">
    <w:name w:val="样式3"/>
    <w:basedOn w:val="17"/>
    <w:qFormat/>
    <w:uiPriority w:val="0"/>
    <w:pPr>
      <w:widowControl w:val="0"/>
      <w:spacing w:after="0" w:line="0" w:lineRule="atLeast"/>
      <w:outlineLvl w:val="0"/>
    </w:pPr>
    <w:rPr>
      <w:rFonts w:ascii="宋体" w:eastAsia="宋体" w:cs="Times New Roman"/>
      <w:kern w:val="2"/>
      <w:sz w:val="28"/>
      <w:szCs w:val="20"/>
    </w:rPr>
  </w:style>
  <w:style w:type="character" w:customStyle="1" w:styleId="61">
    <w:name w:val="纯文本 字符"/>
    <w:basedOn w:val="28"/>
    <w:link w:val="17"/>
    <w:semiHidden/>
    <w:qFormat/>
    <w:uiPriority w:val="99"/>
    <w:rPr>
      <w:rFonts w:hAnsi="Courier New" w:cs="Courier New" w:asciiTheme="minorEastAsia"/>
    </w:rPr>
  </w:style>
  <w:style w:type="character" w:customStyle="1" w:styleId="62">
    <w:name w:val="正文文本 字符"/>
    <w:basedOn w:val="28"/>
    <w:link w:val="3"/>
    <w:semiHidden/>
    <w:qFormat/>
    <w:uiPriority w:val="99"/>
  </w:style>
  <w:style w:type="character" w:customStyle="1" w:styleId="63">
    <w:name w:val="纯文本 Char"/>
    <w:qFormat/>
    <w:uiPriority w:val="0"/>
    <w:rPr>
      <w:rFonts w:ascii="宋体" w:hAnsi="Courier New" w:eastAsia="宋体"/>
      <w:kern w:val="2"/>
      <w:sz w:val="21"/>
      <w:lang w:val="en-US" w:eastAsia="zh-CN" w:bidi="ar-SA"/>
    </w:rPr>
  </w:style>
  <w:style w:type="character" w:customStyle="1" w:styleId="64">
    <w:name w:val="日期 字符"/>
    <w:basedOn w:val="28"/>
    <w:link w:val="18"/>
    <w:semiHidden/>
    <w:qFormat/>
    <w:uiPriority w:val="99"/>
    <w:rPr>
      <w:rFonts w:asciiTheme="minorHAnsi" w:hAnsiTheme="minorHAnsi" w:eastAsiaTheme="minorEastAsia" w:cstheme="minorBidi"/>
      <w:sz w:val="22"/>
      <w:szCs w:val="22"/>
    </w:rPr>
  </w:style>
  <w:style w:type="character" w:customStyle="1" w:styleId="65">
    <w:name w:val="批注框文本 字符"/>
    <w:basedOn w:val="28"/>
    <w:link w:val="19"/>
    <w:semiHidden/>
    <w:qFormat/>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3.jpeg"/><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EE65F-056C-4E2B-AF1B-C7094671E4A7}">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846</Words>
  <Characters>4828</Characters>
  <Lines>40</Lines>
  <Paragraphs>11</Paragraphs>
  <TotalTime>49</TotalTime>
  <ScaleCrop>false</ScaleCrop>
  <LinksUpToDate>false</LinksUpToDate>
  <CharactersWithSpaces>5663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2023-06-18T14:58:00Z</dcterms:created>
  <dc:creator>树亮 门</dc:creator>
  <cp:lastModifiedBy>Administrator</cp:lastModifiedBy>
  <dcterms:modified xsi:type="dcterms:W3CDTF">2023-10-08T12:11:16Z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8F62875FF3C5451EABC892121BF87B3E_13</vt:lpwstr>
  </property>
</Properties>
</file>