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6"/>
        <w:spacing w:line="600" w:lineRule="exact"/>
        <w:jc w:val="center"/>
        <w:outlineLvl w:val="0"/>
        <w:rPr>
          <w:rFonts w:hint="eastAsia" w:ascii="仿宋" w:hAnsi="仿宋" w:eastAsia="仿宋"/>
          <w:b/>
          <w:color w:val="auto"/>
          <w:sz w:val="30"/>
          <w:szCs w:val="30"/>
        </w:rPr>
      </w:pPr>
      <w:r>
        <w:rPr>
          <w:rFonts w:hint="eastAsia" w:ascii="仿宋" w:hAnsi="仿宋" w:eastAsia="仿宋"/>
          <w:b/>
          <w:color w:val="auto"/>
          <w:sz w:val="30"/>
          <w:szCs w:val="30"/>
        </w:rPr>
        <w:t>中国教育集团控股有限</w:t>
      </w:r>
      <w:bookmarkStart w:id="2" w:name="_GoBack"/>
      <w:bookmarkEnd w:id="2"/>
      <w:r>
        <w:rPr>
          <w:rFonts w:hint="eastAsia" w:ascii="仿宋" w:hAnsi="仿宋" w:eastAsia="仿宋"/>
          <w:b/>
          <w:color w:val="auto"/>
          <w:sz w:val="30"/>
          <w:szCs w:val="30"/>
        </w:rPr>
        <w:t>公司</w:t>
      </w:r>
      <w:r>
        <w:rPr>
          <w:rFonts w:hint="eastAsia" w:ascii="仿宋" w:hAnsi="仿宋" w:eastAsia="仿宋"/>
          <w:b/>
          <w:color w:val="auto"/>
          <w:sz w:val="30"/>
          <w:szCs w:val="30"/>
        </w:rPr>
        <w:t>关</w:t>
      </w:r>
      <w:r>
        <w:rPr>
          <w:rFonts w:hint="eastAsia" w:ascii="仿宋" w:hAnsi="仿宋" w:eastAsia="仿宋"/>
          <w:b/>
          <w:color w:val="auto"/>
          <w:sz w:val="30"/>
          <w:szCs w:val="30"/>
        </w:rPr>
        <w:t>于广州松田职业学院、广州市白云工商技师学院</w:t>
      </w:r>
      <w:r>
        <w:rPr>
          <w:rFonts w:hint="eastAsia" w:ascii="仿宋" w:hAnsi="仿宋" w:eastAsia="仿宋"/>
          <w:b/>
          <w:color w:val="auto"/>
          <w:sz w:val="30"/>
          <w:szCs w:val="30"/>
          <w:lang w:val="en-US" w:eastAsia="zh-CN"/>
        </w:rPr>
        <w:t>组装</w:t>
      </w:r>
      <w:r>
        <w:rPr>
          <w:rFonts w:hint="eastAsia" w:ascii="仿宋" w:hAnsi="仿宋" w:eastAsia="仿宋"/>
          <w:b/>
          <w:color w:val="auto"/>
          <w:sz w:val="30"/>
          <w:szCs w:val="30"/>
        </w:rPr>
        <w:t>计算机采购项目竞争性磋商公告</w:t>
      </w:r>
    </w:p>
    <w:p>
      <w:pPr>
        <w:pStyle w:val="13"/>
        <w:spacing w:line="460" w:lineRule="exact"/>
        <w:ind w:firstLine="480" w:firstLineChars="200"/>
        <w:rPr>
          <w:rFonts w:ascii="仿宋" w:hAnsi="仿宋" w:eastAsia="仿宋"/>
          <w:color w:val="auto"/>
          <w:sz w:val="24"/>
          <w:szCs w:val="24"/>
        </w:rPr>
      </w:pPr>
      <w:bookmarkStart w:id="0" w:name="_Hlk10840310"/>
      <w:r>
        <w:rPr>
          <w:rFonts w:hint="eastAsia" w:ascii="仿宋" w:hAnsi="仿宋" w:eastAsia="仿宋"/>
          <w:color w:val="auto"/>
          <w:sz w:val="24"/>
          <w:szCs w:val="24"/>
        </w:rPr>
        <w:t>中国教育集团控股有限公司（简称：中教集团）是一家专注于通过创新提供优质教育服务的集团。2017年香港联交所上市（股票代码839），在中国、澳大利亚及英国设有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学校</w:t>
      </w:r>
      <w:r>
        <w:rPr>
          <w:rFonts w:hint="eastAsia" w:ascii="仿宋" w:hAnsi="仿宋" w:eastAsia="仿宋"/>
          <w:color w:val="auto"/>
          <w:sz w:val="24"/>
          <w:szCs w:val="24"/>
        </w:rPr>
        <w:t>。华教教育科技（江西）有限公司（简称：华教公司）作为中教集团内地唯一独资子公司全程承办此次项目。</w:t>
      </w:r>
    </w:p>
    <w:p>
      <w:pPr>
        <w:widowControl w:val="0"/>
        <w:numPr>
          <w:ilvl w:val="1"/>
          <w:numId w:val="1"/>
        </w:numPr>
        <w:spacing w:after="0" w:line="460" w:lineRule="exact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磋商编号：WZ-CS2023-77</w:t>
      </w:r>
    </w:p>
    <w:p>
      <w:pPr>
        <w:widowControl w:val="0"/>
        <w:numPr>
          <w:ilvl w:val="1"/>
          <w:numId w:val="1"/>
        </w:numPr>
        <w:spacing w:after="0" w:line="460" w:lineRule="exact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磋商货物名称：组装计算机</w:t>
      </w:r>
    </w:p>
    <w:p>
      <w:pPr>
        <w:widowControl w:val="0"/>
        <w:numPr>
          <w:ilvl w:val="1"/>
          <w:numId w:val="1"/>
        </w:numPr>
        <w:spacing w:after="0" w:line="460" w:lineRule="exact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数量及主要技术要求:</w:t>
      </w:r>
    </w:p>
    <w:p>
      <w:pPr>
        <w:pStyle w:val="50"/>
        <w:spacing w:after="0" w:line="460" w:lineRule="exact"/>
        <w:ind w:left="556" w:firstLine="240" w:firstLineChars="100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数量</w:t>
      </w:r>
      <w:r>
        <w:rPr>
          <w:rFonts w:hint="eastAsia" w:ascii="仿宋" w:hAnsi="仿宋" w:eastAsia="仿宋"/>
          <w:color w:val="auto"/>
          <w:sz w:val="24"/>
          <w:szCs w:val="24"/>
        </w:rPr>
        <w:t>：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约</w:t>
      </w:r>
      <w:r>
        <w:rPr>
          <w:rFonts w:hint="eastAsia" w:ascii="仿宋" w:hAnsi="仿宋" w:eastAsia="仿宋"/>
          <w:color w:val="auto"/>
          <w:sz w:val="24"/>
          <w:szCs w:val="24"/>
        </w:rPr>
        <w:t>3</w:t>
      </w:r>
      <w:r>
        <w:rPr>
          <w:rFonts w:ascii="仿宋" w:hAnsi="仿宋" w:eastAsia="仿宋"/>
          <w:color w:val="auto"/>
          <w:sz w:val="24"/>
          <w:szCs w:val="24"/>
        </w:rPr>
        <w:t>00</w:t>
      </w:r>
      <w:r>
        <w:rPr>
          <w:rFonts w:hint="eastAsia" w:ascii="仿宋" w:hAnsi="仿宋" w:eastAsia="仿宋"/>
          <w:color w:val="auto"/>
          <w:sz w:val="24"/>
          <w:szCs w:val="24"/>
        </w:rPr>
        <w:t>套组装计算机（含显示器）</w:t>
      </w:r>
      <w:r>
        <w:rPr>
          <w:rFonts w:hint="eastAsia" w:ascii="仿宋" w:hAnsi="仿宋" w:eastAsia="仿宋"/>
          <w:color w:val="auto"/>
          <w:sz w:val="24"/>
          <w:szCs w:val="24"/>
        </w:rPr>
        <w:t>。</w:t>
      </w:r>
    </w:p>
    <w:p>
      <w:pPr>
        <w:widowControl w:val="0"/>
        <w:tabs>
          <w:tab w:val="left" w:pos="839"/>
          <w:tab w:val="left" w:pos="1469"/>
        </w:tabs>
        <w:spacing w:after="0" w:line="460" w:lineRule="exact"/>
        <w:ind w:left="839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技术要求：详见《竞争性磋商货物一览表》。</w:t>
      </w:r>
    </w:p>
    <w:p>
      <w:pPr>
        <w:widowControl w:val="0"/>
        <w:numPr>
          <w:ilvl w:val="1"/>
          <w:numId w:val="1"/>
        </w:numPr>
        <w:spacing w:after="0" w:line="460" w:lineRule="exact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参与人资格标准：</w:t>
      </w:r>
    </w:p>
    <w:p>
      <w:pPr>
        <w:pStyle w:val="50"/>
        <w:numPr>
          <w:ilvl w:val="0"/>
          <w:numId w:val="2"/>
        </w:numPr>
        <w:spacing w:after="0" w:line="460" w:lineRule="exact"/>
        <w:ind w:left="1276" w:firstLineChars="0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参与人应具有独立法人资格，具有独立承担民事责任能力的生产厂商或授权商。参与人具有一般纳税人资格，并提供税率13%增值税专用发票。</w:t>
      </w:r>
    </w:p>
    <w:p>
      <w:pPr>
        <w:pStyle w:val="50"/>
        <w:numPr>
          <w:ilvl w:val="0"/>
          <w:numId w:val="2"/>
        </w:numPr>
        <w:spacing w:after="0" w:line="460" w:lineRule="exact"/>
        <w:ind w:left="1276" w:firstLineChars="0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参与人应具有提供计算机类设备和服务的资格及能力。</w:t>
      </w:r>
    </w:p>
    <w:p>
      <w:pPr>
        <w:pStyle w:val="50"/>
        <w:numPr>
          <w:ilvl w:val="0"/>
          <w:numId w:val="2"/>
        </w:numPr>
        <w:spacing w:after="0" w:line="460" w:lineRule="exact"/>
        <w:ind w:left="1276" w:firstLineChars="0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参与人</w:t>
      </w:r>
      <w:r>
        <w:rPr>
          <w:rFonts w:hint="eastAsia" w:ascii="仿宋" w:hAnsi="仿宋" w:eastAsia="仿宋"/>
          <w:color w:val="auto"/>
          <w:sz w:val="24"/>
          <w:szCs w:val="24"/>
        </w:rPr>
        <w:t>具有近三年（包括三年）六个以上计算机同类项目销售和良好的售后服务应用成功案例,近三年未发生重大安全或质量</w:t>
      </w:r>
      <w:r>
        <w:rPr>
          <w:rFonts w:hint="eastAsia" w:ascii="仿宋" w:hAnsi="仿宋" w:eastAsia="仿宋"/>
          <w:color w:val="auto"/>
          <w:sz w:val="24"/>
          <w:szCs w:val="24"/>
        </w:rPr>
        <w:t>事故。</w:t>
      </w:r>
    </w:p>
    <w:p>
      <w:pPr>
        <w:pStyle w:val="50"/>
        <w:numPr>
          <w:ilvl w:val="0"/>
          <w:numId w:val="2"/>
        </w:numPr>
        <w:spacing w:after="0" w:line="460" w:lineRule="exact"/>
        <w:ind w:left="1276" w:firstLineChars="0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参与人应遵守中国的有关法律、法规和规章的规定。</w:t>
      </w:r>
    </w:p>
    <w:p>
      <w:pPr>
        <w:pStyle w:val="50"/>
        <w:numPr>
          <w:ilvl w:val="0"/>
          <w:numId w:val="2"/>
        </w:numPr>
        <w:spacing w:after="0" w:line="460" w:lineRule="exact"/>
        <w:ind w:left="1276" w:firstLineChars="0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参与人须有良好的商业信誉和健全的财务制度（近三年财务报表），有依法缴纳税金的良好记录（须提供完税证明）。</w:t>
      </w:r>
    </w:p>
    <w:p>
      <w:pPr>
        <w:pStyle w:val="50"/>
        <w:numPr>
          <w:ilvl w:val="0"/>
          <w:numId w:val="2"/>
        </w:numPr>
        <w:spacing w:after="0" w:line="460" w:lineRule="exact"/>
        <w:ind w:left="1276" w:firstLineChars="0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本项目不接受联合体参与。</w:t>
      </w:r>
    </w:p>
    <w:p>
      <w:pPr>
        <w:widowControl w:val="0"/>
        <w:numPr>
          <w:ilvl w:val="1"/>
          <w:numId w:val="1"/>
        </w:numPr>
        <w:spacing w:after="0" w:line="460" w:lineRule="exact"/>
        <w:rPr>
          <w:rFonts w:ascii="仿宋" w:hAnsi="仿宋" w:eastAsia="仿宋"/>
          <w:color w:val="auto"/>
          <w:sz w:val="24"/>
          <w:szCs w:val="24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szCs w:val="24"/>
          <w:shd w:val="clear" w:color="auto" w:fill="FFFFFF"/>
        </w:rPr>
        <w:t>磋商文件购买</w:t>
      </w:r>
    </w:p>
    <w:p>
      <w:pPr>
        <w:widowControl w:val="0"/>
        <w:spacing w:after="0" w:line="460" w:lineRule="exact"/>
        <w:ind w:left="420"/>
        <w:rPr>
          <w:rFonts w:ascii="仿宋" w:hAnsi="仿宋" w:eastAsia="仿宋"/>
          <w:color w:val="auto"/>
          <w:sz w:val="24"/>
          <w:szCs w:val="24"/>
          <w:shd w:val="clear" w:color="auto" w:fill="FFFFFF"/>
        </w:rPr>
      </w:pPr>
      <w:r>
        <w:rPr>
          <w:rFonts w:hint="eastAsia" w:ascii="仿宋" w:hAnsi="仿宋" w:eastAsia="仿宋"/>
          <w:color w:val="auto"/>
          <w:sz w:val="24"/>
          <w:szCs w:val="24"/>
          <w:shd w:val="clear" w:color="auto" w:fill="FFFFFF"/>
        </w:rPr>
        <w:t>（1）购买时间：2023年11月</w:t>
      </w:r>
      <w:r>
        <w:rPr>
          <w:rFonts w:hint="eastAsia" w:ascii="仿宋" w:hAnsi="仿宋" w:eastAsia="仿宋"/>
          <w:color w:val="auto"/>
          <w:sz w:val="24"/>
          <w:szCs w:val="24"/>
          <w:shd w:val="clear" w:color="auto" w:fill="FFFFFF"/>
          <w:lang w:val="en-US" w:eastAsia="zh-CN"/>
        </w:rPr>
        <w:t>23</w:t>
      </w:r>
      <w:r>
        <w:rPr>
          <w:rFonts w:hint="eastAsia" w:ascii="仿宋" w:hAnsi="仿宋" w:eastAsia="仿宋"/>
          <w:color w:val="auto"/>
          <w:sz w:val="24"/>
          <w:szCs w:val="24"/>
          <w:shd w:val="clear" w:color="auto" w:fill="FFFFFF"/>
        </w:rPr>
        <w:t>日至2023年11月30日（节假日除外）上午8:00至12:00、下午14:30至16:30。须公对公转账。</w:t>
      </w:r>
    </w:p>
    <w:p>
      <w:pPr>
        <w:widowControl w:val="0"/>
        <w:spacing w:after="0" w:line="460" w:lineRule="exact"/>
        <w:ind w:left="440" w:leftChars="200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  <w:shd w:val="clear" w:color="auto" w:fill="FFFFFF"/>
        </w:rPr>
        <w:t>（2）</w:t>
      </w:r>
      <w:r>
        <w:rPr>
          <w:rFonts w:hint="eastAsia" w:ascii="仿宋" w:hAnsi="仿宋" w:eastAsia="仿宋"/>
          <w:color w:val="auto"/>
          <w:sz w:val="24"/>
          <w:szCs w:val="24"/>
        </w:rPr>
        <w:t>符合上述要求的供应商报名时提供以下资料：营业执照、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6</w:t>
      </w:r>
      <w:r>
        <w:rPr>
          <w:rFonts w:hint="eastAsia" w:ascii="仿宋" w:hAnsi="仿宋" w:eastAsia="仿宋"/>
          <w:color w:val="auto"/>
          <w:sz w:val="24"/>
          <w:szCs w:val="24"/>
        </w:rPr>
        <w:t>份业绩文件（附合同和</w:t>
      </w:r>
      <w:r>
        <w:rPr>
          <w:rFonts w:hint="eastAsia" w:eastAsia="仿宋"/>
          <w:color w:val="auto"/>
          <w:lang w:val="en-US" w:eastAsia="zh-CN"/>
        </w:rPr>
        <w:t>材料</w:t>
      </w:r>
      <w:r>
        <w:rPr>
          <w:rFonts w:hint="eastAsia" w:ascii="仿宋" w:hAnsi="仿宋" w:eastAsia="仿宋"/>
          <w:color w:val="auto"/>
          <w:sz w:val="24"/>
          <w:szCs w:val="24"/>
        </w:rPr>
        <w:t>、报名费汇款凭证、投标联系人名称及联系方式。</w:t>
      </w:r>
    </w:p>
    <w:p>
      <w:pPr>
        <w:widowControl w:val="0"/>
        <w:spacing w:after="0" w:line="460" w:lineRule="exact"/>
        <w:ind w:left="440" w:leftChars="200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（3）将上述报名资料（彩色扫描件）以PDF形式发送</w:t>
      </w:r>
      <w:r>
        <w:rPr>
          <w:rFonts w:hint="eastAsia" w:ascii="仿宋" w:hAnsi="仿宋" w:eastAsia="仿宋"/>
          <w:color w:val="auto"/>
          <w:sz w:val="24"/>
          <w:szCs w:val="24"/>
        </w:rPr>
        <w:t>至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邮箱17818588710@163.com</w:t>
      </w:r>
      <w:r>
        <w:rPr>
          <w:rFonts w:hint="eastAsia" w:ascii="仿宋" w:hAnsi="仿宋" w:eastAsia="仿宋"/>
          <w:color w:val="auto"/>
          <w:sz w:val="24"/>
          <w:szCs w:val="24"/>
        </w:rPr>
        <w:t>（文件需汇总成一个PDF文件，命名以广松职-组装计算机-公司名称）。</w:t>
      </w:r>
    </w:p>
    <w:p>
      <w:pPr>
        <w:pStyle w:val="2"/>
        <w:ind w:firstLine="720" w:firstLineChars="300"/>
        <w:rPr>
          <w:rFonts w:ascii="仿宋" w:hAnsi="仿宋" w:eastAsia="仿宋"/>
          <w:color w:val="auto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theme="minorBidi"/>
          <w:color w:val="auto"/>
          <w:sz w:val="24"/>
          <w:szCs w:val="24"/>
        </w:rPr>
        <w:t>联系人：</w:t>
      </w:r>
      <w:r>
        <w:rPr>
          <w:rFonts w:hint="eastAsia" w:ascii="仿宋" w:hAnsi="仿宋" w:eastAsia="仿宋" w:cstheme="minorBidi"/>
          <w:color w:val="auto"/>
          <w:sz w:val="24"/>
          <w:szCs w:val="24"/>
          <w:lang w:val="en-US" w:eastAsia="zh-CN"/>
        </w:rPr>
        <w:t>陈</w:t>
      </w:r>
      <w:r>
        <w:rPr>
          <w:rFonts w:hint="eastAsia" w:ascii="仿宋" w:hAnsi="仿宋" w:eastAsia="仿宋" w:cstheme="minorBidi"/>
          <w:color w:val="auto"/>
          <w:sz w:val="24"/>
          <w:szCs w:val="24"/>
        </w:rPr>
        <w:t>老师，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17818588710</w:t>
      </w:r>
      <w:r>
        <w:rPr>
          <w:rFonts w:hint="eastAsia" w:ascii="仿宋" w:hAnsi="仿宋" w:eastAsia="仿宋" w:cstheme="minorBidi"/>
          <w:color w:val="auto"/>
          <w:sz w:val="24"/>
          <w:szCs w:val="24"/>
        </w:rPr>
        <w:t>.</w:t>
      </w:r>
    </w:p>
    <w:p>
      <w:pPr>
        <w:widowControl w:val="0"/>
        <w:numPr>
          <w:ilvl w:val="1"/>
          <w:numId w:val="1"/>
        </w:numPr>
        <w:spacing w:after="0" w:line="460" w:lineRule="exact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正式磋商文件售价600元人民币，购买须采用转账形式，磋商文件售出不退。</w:t>
      </w:r>
    </w:p>
    <w:p>
      <w:pPr>
        <w:widowControl w:val="0"/>
        <w:numPr>
          <w:ilvl w:val="1"/>
          <w:numId w:val="1"/>
        </w:numPr>
        <w:spacing w:after="0" w:line="460" w:lineRule="exact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响应文件及样机递交截止时间：2023年12月05日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下午</w:t>
      </w:r>
      <w:r>
        <w:rPr>
          <w:rFonts w:hint="eastAsia" w:ascii="仿宋" w:hAnsi="仿宋" w:eastAsia="仿宋"/>
          <w:color w:val="auto"/>
          <w:sz w:val="24"/>
          <w:szCs w:val="24"/>
        </w:rPr>
        <w:t>16:00前。</w:t>
      </w:r>
    </w:p>
    <w:p>
      <w:pPr>
        <w:widowControl w:val="0"/>
        <w:numPr>
          <w:ilvl w:val="1"/>
          <w:numId w:val="1"/>
        </w:numPr>
        <w:spacing w:after="0" w:line="460" w:lineRule="exact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本项目需参与人在递交响应文件同时提供样机进行测试。成交参与人样品视情况予以封存或退回。无提供样机视为无效投标。</w:t>
      </w:r>
    </w:p>
    <w:p>
      <w:pPr>
        <w:widowControl w:val="0"/>
        <w:numPr>
          <w:ilvl w:val="1"/>
          <w:numId w:val="1"/>
        </w:numPr>
        <w:spacing w:after="0" w:line="460" w:lineRule="exact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磋商文件购买、响应文件递交及样机提交地点：</w:t>
      </w:r>
    </w:p>
    <w:p>
      <w:pPr>
        <w:spacing w:after="0" w:line="460" w:lineRule="exact"/>
        <w:ind w:left="839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地点：广州市白云区钟落潭镇九佛西路280号广东白云学院北校区招标采购中心</w:t>
      </w:r>
    </w:p>
    <w:p>
      <w:pPr>
        <w:spacing w:after="0" w:line="460" w:lineRule="exact"/>
        <w:ind w:left="839"/>
        <w:rPr>
          <w:rFonts w:hint="default" w:ascii="仿宋" w:hAnsi="仿宋" w:eastAsia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联系人：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陈惠琳</w:t>
      </w:r>
      <w:r>
        <w:rPr>
          <w:rFonts w:hint="eastAsia" w:ascii="仿宋" w:hAnsi="仿宋" w:eastAsia="仿宋"/>
          <w:color w:val="auto"/>
          <w:sz w:val="24"/>
          <w:szCs w:val="24"/>
        </w:rPr>
        <w:t>，电话：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17818588710</w:t>
      </w:r>
    </w:p>
    <w:p>
      <w:pPr>
        <w:widowControl w:val="0"/>
        <w:numPr>
          <w:ilvl w:val="1"/>
          <w:numId w:val="1"/>
        </w:numPr>
        <w:spacing w:after="0" w:line="460" w:lineRule="exact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正式磋商时间及地点：</w:t>
      </w:r>
    </w:p>
    <w:p>
      <w:pPr>
        <w:spacing w:after="0" w:line="460" w:lineRule="exact"/>
        <w:ind w:left="839"/>
        <w:rPr>
          <w:rFonts w:hint="default" w:ascii="仿宋" w:hAnsi="仿宋" w:eastAsia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正式磋商时间：2023年12月11日下午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14:30</w:t>
      </w:r>
    </w:p>
    <w:p>
      <w:pPr>
        <w:spacing w:after="0" w:line="460" w:lineRule="exact"/>
        <w:ind w:left="839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正式磋商地点：广州市白云区钟落潭镇九佛西路280号广东白云学院北校区</w:t>
      </w:r>
    </w:p>
    <w:p>
      <w:pPr>
        <w:widowControl w:val="0"/>
        <w:numPr>
          <w:ilvl w:val="1"/>
          <w:numId w:val="1"/>
        </w:numPr>
        <w:spacing w:after="0" w:line="460" w:lineRule="exact"/>
        <w:ind w:left="851" w:hanging="431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参加本项目的参与人须在规定的时间内到指定地点购买磋商文件，本项目不接受未购买磋商文件供应商的参与，且不予以书面通知磋商文件补充内容等。</w:t>
      </w:r>
    </w:p>
    <w:p>
      <w:pPr>
        <w:widowControl w:val="0"/>
        <w:numPr>
          <w:ilvl w:val="1"/>
          <w:numId w:val="1"/>
        </w:numPr>
        <w:spacing w:after="0" w:line="460" w:lineRule="exact"/>
        <w:ind w:left="851" w:hanging="431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参加本项目的参与人如对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</w:rPr>
        <w:t>竞争性磋商文件内容</w:t>
      </w:r>
      <w:r>
        <w:rPr>
          <w:rFonts w:hint="eastAsia" w:ascii="仿宋" w:hAnsi="仿宋" w:eastAsia="仿宋"/>
          <w:color w:val="auto"/>
          <w:sz w:val="24"/>
          <w:szCs w:val="24"/>
        </w:rPr>
        <w:t>提出质疑的，请在购买竞争性磋商文件截止之日前将问题以书面形式（有效签署的原件并加盖公章）提交，采购人不对超时提交及未加盖公章的质疑文件进行回复。</w:t>
      </w:r>
    </w:p>
    <w:p>
      <w:pPr>
        <w:widowControl w:val="0"/>
        <w:numPr>
          <w:ilvl w:val="0"/>
          <w:numId w:val="0"/>
        </w:numPr>
        <w:spacing w:after="0" w:line="460" w:lineRule="exact"/>
        <w:ind w:left="420" w:leftChars="0" w:firstLine="480" w:firstLineChars="200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联系人：黄老师，电话：13825009112。</w:t>
      </w:r>
    </w:p>
    <w:p>
      <w:pPr>
        <w:widowControl w:val="0"/>
        <w:numPr>
          <w:ilvl w:val="1"/>
          <w:numId w:val="1"/>
        </w:numPr>
        <w:spacing w:after="0" w:line="460" w:lineRule="exact"/>
        <w:ind w:left="851" w:hanging="431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本项目需缴纳磋商保证金8万元，成交参与人磋商保证金自动转为履约质保金，履约质保金在验收合格日算起十五个工作日内无息退还，未成交参与人的磋商保证金，将按竞争性磋商文件规定在确定成交参与人成交通知书发出之后，十五个工作日办理原额无息退还手续。</w:t>
      </w:r>
    </w:p>
    <w:p>
      <w:pPr>
        <w:widowControl w:val="0"/>
        <w:numPr>
          <w:ilvl w:val="1"/>
          <w:numId w:val="1"/>
        </w:numPr>
        <w:spacing w:after="0" w:line="460" w:lineRule="exact"/>
        <w:ind w:left="851" w:hanging="431"/>
        <w:rPr>
          <w:rFonts w:ascii="仿宋" w:hAnsi="仿宋" w:eastAsia="仿宋"/>
          <w:color w:val="auto"/>
          <w:sz w:val="24"/>
          <w:szCs w:val="24"/>
        </w:rPr>
      </w:pPr>
      <w:bookmarkStart w:id="1" w:name="_Hlk97917519"/>
      <w:r>
        <w:rPr>
          <w:rFonts w:hint="eastAsia" w:ascii="仿宋" w:hAnsi="仿宋" w:eastAsia="仿宋"/>
          <w:color w:val="auto"/>
          <w:sz w:val="24"/>
          <w:szCs w:val="24"/>
        </w:rPr>
        <w:t>本项目最终成交结果会在中教集团后勤贤知平台“中标信息公示”板块公示，网址：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"http://www.ceghqxz.com" </w:instrText>
      </w:r>
      <w:r>
        <w:rPr>
          <w:color w:val="auto"/>
        </w:rPr>
        <w:fldChar w:fldCharType="separate"/>
      </w:r>
      <w:r>
        <w:rPr>
          <w:rFonts w:hint="eastAsia" w:ascii="仿宋" w:hAnsi="仿宋" w:eastAsia="仿宋"/>
          <w:color w:val="auto"/>
          <w:sz w:val="24"/>
          <w:szCs w:val="24"/>
        </w:rPr>
        <w:t>www.ceghqxz.com</w:t>
      </w:r>
      <w:r>
        <w:rPr>
          <w:rFonts w:hint="eastAsia" w:ascii="仿宋" w:hAnsi="仿宋" w:eastAsia="仿宋"/>
          <w:color w:val="auto"/>
          <w:sz w:val="24"/>
          <w:szCs w:val="24"/>
        </w:rPr>
        <w:fldChar w:fldCharType="end"/>
      </w:r>
      <w:r>
        <w:rPr>
          <w:rFonts w:hint="eastAsia" w:ascii="仿宋" w:hAnsi="仿宋" w:eastAsia="仿宋"/>
          <w:color w:val="auto"/>
          <w:sz w:val="24"/>
          <w:szCs w:val="24"/>
        </w:rPr>
        <w:t>。参加本项目的参与人如对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</w:rPr>
        <w:t>采购过程和成交结果</w:t>
      </w:r>
      <w:r>
        <w:rPr>
          <w:rFonts w:hint="eastAsia" w:ascii="仿宋" w:hAnsi="仿宋" w:eastAsia="仿宋"/>
          <w:color w:val="auto"/>
          <w:sz w:val="24"/>
          <w:szCs w:val="24"/>
        </w:rPr>
        <w:t>有异议的，请按照竞争性磋商文件第16条“参与人的投诉与回复”要求执行。</w:t>
      </w:r>
    </w:p>
    <w:p>
      <w:pPr>
        <w:widowControl w:val="0"/>
        <w:tabs>
          <w:tab w:val="left" w:pos="839"/>
          <w:tab w:val="left" w:pos="1469"/>
        </w:tabs>
        <w:spacing w:after="0" w:line="460" w:lineRule="exact"/>
        <w:ind w:left="851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投诉受理部门：中教集团监审部；</w:t>
      </w:r>
      <w:bookmarkEnd w:id="1"/>
      <w:r>
        <w:rPr>
          <w:rFonts w:hint="eastAsia" w:ascii="仿宋" w:hAnsi="仿宋" w:eastAsia="仿宋"/>
          <w:color w:val="auto"/>
          <w:sz w:val="24"/>
          <w:szCs w:val="24"/>
        </w:rPr>
        <w:t>投诉电话： 0791-88106510 /0791-88102608</w:t>
      </w:r>
    </w:p>
    <w:p>
      <w:pPr>
        <w:widowControl w:val="0"/>
        <w:numPr>
          <w:ilvl w:val="1"/>
          <w:numId w:val="1"/>
        </w:numPr>
        <w:spacing w:after="0" w:line="460" w:lineRule="exact"/>
        <w:ind w:left="851" w:hanging="431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磋商文件购买及保证金汇款账号</w:t>
      </w:r>
    </w:p>
    <w:bookmarkEnd w:id="0"/>
    <w:p>
      <w:pPr>
        <w:widowControl w:val="0"/>
        <w:spacing w:after="0" w:line="460" w:lineRule="exact"/>
        <w:ind w:left="420" w:firstLine="480" w:firstLineChars="200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开户名称：广州松田职业学院</w:t>
      </w:r>
    </w:p>
    <w:p>
      <w:pPr>
        <w:widowControl w:val="0"/>
        <w:spacing w:after="0" w:line="460" w:lineRule="exact"/>
        <w:ind w:left="420" w:firstLine="480" w:firstLineChars="200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 xml:space="preserve">帐 </w:t>
      </w:r>
      <w:r>
        <w:rPr>
          <w:rFonts w:ascii="仿宋" w:hAnsi="仿宋" w:eastAsia="仿宋"/>
          <w:color w:val="auto"/>
          <w:sz w:val="24"/>
          <w:szCs w:val="24"/>
        </w:rPr>
        <w:t xml:space="preserve">   </w:t>
      </w:r>
      <w:r>
        <w:rPr>
          <w:rFonts w:hint="eastAsia" w:ascii="仿宋" w:hAnsi="仿宋" w:eastAsia="仿宋"/>
          <w:color w:val="auto"/>
          <w:sz w:val="24"/>
          <w:szCs w:val="24"/>
        </w:rPr>
        <w:t xml:space="preserve">号：3602 0411 1920 0112 713 </w:t>
      </w:r>
    </w:p>
    <w:p>
      <w:pPr>
        <w:widowControl w:val="0"/>
        <w:spacing w:after="0" w:line="460" w:lineRule="exact"/>
        <w:ind w:left="420" w:firstLine="480" w:firstLineChars="200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开户银行：中国工商银行广州增城支行</w:t>
      </w:r>
    </w:p>
    <w:p>
      <w:pPr>
        <w:rPr>
          <w:color w:val="auto"/>
          <w:sz w:val="24"/>
          <w:szCs w:val="24"/>
        </w:rPr>
      </w:pPr>
    </w:p>
    <w:p>
      <w:pPr>
        <w:spacing w:line="500" w:lineRule="exact"/>
        <w:ind w:firstLine="5810" w:firstLineChars="2421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华教教育科技（江西）有限公司</w:t>
      </w:r>
    </w:p>
    <w:p>
      <w:pPr>
        <w:spacing w:line="500" w:lineRule="exact"/>
        <w:ind w:firstLine="6520" w:firstLineChars="2717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20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23</w:t>
      </w:r>
      <w:r>
        <w:rPr>
          <w:rFonts w:hint="eastAsia" w:ascii="仿宋" w:hAnsi="仿宋" w:eastAsia="仿宋"/>
          <w:color w:val="auto"/>
          <w:sz w:val="24"/>
          <w:szCs w:val="24"/>
        </w:rPr>
        <w:t>年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11</w:t>
      </w:r>
      <w:r>
        <w:rPr>
          <w:rFonts w:hint="eastAsia" w:ascii="仿宋" w:hAnsi="仿宋" w:eastAsia="仿宋"/>
          <w:color w:val="auto"/>
          <w:sz w:val="24"/>
          <w:szCs w:val="24"/>
        </w:rPr>
        <w:t>月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23</w:t>
      </w:r>
      <w:r>
        <w:rPr>
          <w:rFonts w:hint="eastAsia" w:ascii="仿宋" w:hAnsi="仿宋" w:eastAsia="仿宋"/>
          <w:color w:val="auto"/>
          <w:sz w:val="24"/>
          <w:szCs w:val="24"/>
        </w:rPr>
        <w:t>日</w:t>
      </w:r>
    </w:p>
    <w:sectPr>
      <w:headerReference r:id="rId5" w:type="default"/>
      <w:footerReference r:id="rId6" w:type="default"/>
      <w:pgSz w:w="11906" w:h="16838"/>
      <w:pgMar w:top="1440" w:right="1274" w:bottom="1440" w:left="1276" w:header="851" w:footer="510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</w:pPr>
    <w:r>
      <w:rPr>
        <w:rFonts w:hint="eastAsia"/>
      </w:rPr>
      <w:t>香港联交所上市（股票代码</w:t>
    </w:r>
    <w:r>
      <w:t>839</w:t>
    </w:r>
    <w:r>
      <w:rPr>
        <w:rFonts w:hint="eastAsia"/>
      </w:rPr>
      <w:t>）</w:t>
    </w:r>
    <w:r>
      <w:t>HKEx Stock Code:839</w:t>
    </w:r>
  </w:p>
  <w:p>
    <w:pPr>
      <w:pStyle w:val="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087495" cy="1200150"/>
          <wp:effectExtent l="0" t="0" r="8255" b="0"/>
          <wp:wrapNone/>
          <wp:docPr id="1" name="WordPictureWatermark62952" descr="印章图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62952" descr="印章图象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749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0" distR="0">
          <wp:extent cx="2929890" cy="438150"/>
          <wp:effectExtent l="0" t="0" r="0" b="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642" cy="439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2602AC"/>
    <w:multiLevelType w:val="multilevel"/>
    <w:tmpl w:val="332602AC"/>
    <w:lvl w:ilvl="0" w:tentative="0">
      <w:start w:val="1"/>
      <w:numFmt w:val="decimal"/>
      <w:lvlText w:val="（%1）"/>
      <w:lvlJc w:val="left"/>
      <w:pPr>
        <w:ind w:left="1428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48" w:hanging="420"/>
      </w:pPr>
    </w:lvl>
    <w:lvl w:ilvl="2" w:tentative="0">
      <w:start w:val="1"/>
      <w:numFmt w:val="lowerRoman"/>
      <w:lvlText w:val="%3."/>
      <w:lvlJc w:val="right"/>
      <w:pPr>
        <w:ind w:left="1968" w:hanging="420"/>
      </w:pPr>
    </w:lvl>
    <w:lvl w:ilvl="3" w:tentative="0">
      <w:start w:val="1"/>
      <w:numFmt w:val="decimal"/>
      <w:lvlText w:val="%4."/>
      <w:lvlJc w:val="left"/>
      <w:pPr>
        <w:ind w:left="2388" w:hanging="420"/>
      </w:pPr>
    </w:lvl>
    <w:lvl w:ilvl="4" w:tentative="0">
      <w:start w:val="1"/>
      <w:numFmt w:val="lowerLetter"/>
      <w:lvlText w:val="%5)"/>
      <w:lvlJc w:val="left"/>
      <w:pPr>
        <w:ind w:left="2808" w:hanging="420"/>
      </w:pPr>
    </w:lvl>
    <w:lvl w:ilvl="5" w:tentative="0">
      <w:start w:val="1"/>
      <w:numFmt w:val="lowerRoman"/>
      <w:lvlText w:val="%6."/>
      <w:lvlJc w:val="right"/>
      <w:pPr>
        <w:ind w:left="3228" w:hanging="420"/>
      </w:pPr>
    </w:lvl>
    <w:lvl w:ilvl="6" w:tentative="0">
      <w:start w:val="1"/>
      <w:numFmt w:val="decimal"/>
      <w:lvlText w:val="%7."/>
      <w:lvlJc w:val="left"/>
      <w:pPr>
        <w:ind w:left="3648" w:hanging="420"/>
      </w:pPr>
    </w:lvl>
    <w:lvl w:ilvl="7" w:tentative="0">
      <w:start w:val="1"/>
      <w:numFmt w:val="lowerLetter"/>
      <w:lvlText w:val="%8)"/>
      <w:lvlJc w:val="left"/>
      <w:pPr>
        <w:ind w:left="4068" w:hanging="420"/>
      </w:pPr>
    </w:lvl>
    <w:lvl w:ilvl="8" w:tentative="0">
      <w:start w:val="1"/>
      <w:numFmt w:val="lowerRoman"/>
      <w:lvlText w:val="%9."/>
      <w:lvlJc w:val="right"/>
      <w:pPr>
        <w:ind w:left="4488" w:hanging="420"/>
      </w:pPr>
    </w:lvl>
  </w:abstractNum>
  <w:abstractNum w:abstractNumId="1">
    <w:nsid w:val="5CCE0CAE"/>
    <w:multiLevelType w:val="multilevel"/>
    <w:tmpl w:val="5CCE0CAE"/>
    <w:lvl w:ilvl="0" w:tentative="0">
      <w:start w:val="1"/>
      <w:numFmt w:val="decimal"/>
      <w:lvlText w:val="%1."/>
      <w:lvlJc w:val="left"/>
      <w:pPr>
        <w:tabs>
          <w:tab w:val="left" w:pos="1469"/>
        </w:tabs>
        <w:ind w:left="1469" w:hanging="419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839"/>
        </w:tabs>
        <w:ind w:left="839" w:hanging="419"/>
      </w:pPr>
      <w:rPr>
        <w:rFonts w:hint="eastAsia"/>
        <w:b w:val="0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c5OWYxOTBkNWFmMDlhNTEzNjBjMDFjMjI4MWYyOTYifQ=="/>
  </w:docVars>
  <w:rsids>
    <w:rsidRoot w:val="000944A8"/>
    <w:rsid w:val="00021B5E"/>
    <w:rsid w:val="00043155"/>
    <w:rsid w:val="000944A8"/>
    <w:rsid w:val="000A5BBC"/>
    <w:rsid w:val="0014401F"/>
    <w:rsid w:val="00177875"/>
    <w:rsid w:val="001B557F"/>
    <w:rsid w:val="00232062"/>
    <w:rsid w:val="00235C32"/>
    <w:rsid w:val="00256F9F"/>
    <w:rsid w:val="002E1D48"/>
    <w:rsid w:val="003206DE"/>
    <w:rsid w:val="00364F6C"/>
    <w:rsid w:val="003747C4"/>
    <w:rsid w:val="003A39C3"/>
    <w:rsid w:val="0048151D"/>
    <w:rsid w:val="00490F8E"/>
    <w:rsid w:val="00525E1E"/>
    <w:rsid w:val="005B7FDB"/>
    <w:rsid w:val="005E26B3"/>
    <w:rsid w:val="005E424A"/>
    <w:rsid w:val="006033E8"/>
    <w:rsid w:val="006575B3"/>
    <w:rsid w:val="0067646D"/>
    <w:rsid w:val="00685DFD"/>
    <w:rsid w:val="006E7DCC"/>
    <w:rsid w:val="006F116B"/>
    <w:rsid w:val="008B2C1A"/>
    <w:rsid w:val="008C59EE"/>
    <w:rsid w:val="009008C2"/>
    <w:rsid w:val="0090368B"/>
    <w:rsid w:val="009B4D7D"/>
    <w:rsid w:val="009C1F02"/>
    <w:rsid w:val="009F6811"/>
    <w:rsid w:val="00A04D87"/>
    <w:rsid w:val="00A11DF7"/>
    <w:rsid w:val="00A20102"/>
    <w:rsid w:val="00A27464"/>
    <w:rsid w:val="00A67585"/>
    <w:rsid w:val="00AB0DE2"/>
    <w:rsid w:val="00AC4346"/>
    <w:rsid w:val="00AD3A90"/>
    <w:rsid w:val="00AD779D"/>
    <w:rsid w:val="00B357A1"/>
    <w:rsid w:val="00B55C16"/>
    <w:rsid w:val="00B7469B"/>
    <w:rsid w:val="00BF30D7"/>
    <w:rsid w:val="00C13DA1"/>
    <w:rsid w:val="00C54428"/>
    <w:rsid w:val="00C83CD2"/>
    <w:rsid w:val="00D36D52"/>
    <w:rsid w:val="00D7483F"/>
    <w:rsid w:val="00D94A72"/>
    <w:rsid w:val="00E40ADD"/>
    <w:rsid w:val="00EB0AB6"/>
    <w:rsid w:val="00ED48A0"/>
    <w:rsid w:val="00ED4A13"/>
    <w:rsid w:val="00F15218"/>
    <w:rsid w:val="00F40885"/>
    <w:rsid w:val="00FA6C9B"/>
    <w:rsid w:val="3D1E7369"/>
    <w:rsid w:val="4090299C"/>
    <w:rsid w:val="4FCA1DDE"/>
    <w:rsid w:val="6626285D"/>
    <w:rsid w:val="6813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160" w:line="252" w:lineRule="auto"/>
      <w:jc w:val="both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3">
    <w:name w:val="heading 1"/>
    <w:basedOn w:val="1"/>
    <w:next w:val="1"/>
    <w:link w:val="24"/>
    <w:qFormat/>
    <w:uiPriority w:val="9"/>
    <w:pPr>
      <w:keepNext/>
      <w:keepLines/>
      <w:spacing w:before="320" w:after="40"/>
      <w:outlineLvl w:val="0"/>
    </w:pPr>
    <w:rPr>
      <w:rFonts w:asciiTheme="majorHAnsi" w:hAnsiTheme="majorHAnsi" w:eastAsiaTheme="majorEastAsia" w:cstheme="majorBidi"/>
      <w:b/>
      <w:bCs/>
      <w:caps/>
      <w:spacing w:val="4"/>
      <w:sz w:val="28"/>
      <w:szCs w:val="28"/>
    </w:rPr>
  </w:style>
  <w:style w:type="paragraph" w:styleId="4">
    <w:name w:val="heading 2"/>
    <w:basedOn w:val="1"/>
    <w:next w:val="1"/>
    <w:link w:val="25"/>
    <w:semiHidden/>
    <w:unhideWhenUsed/>
    <w:qFormat/>
    <w:uiPriority w:val="9"/>
    <w:pPr>
      <w:keepNext/>
      <w:keepLines/>
      <w:spacing w:before="120" w:after="0"/>
      <w:outlineLvl w:val="1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5">
    <w:name w:val="heading 3"/>
    <w:basedOn w:val="1"/>
    <w:next w:val="1"/>
    <w:link w:val="26"/>
    <w:semiHidden/>
    <w:unhideWhenUsed/>
    <w:qFormat/>
    <w:uiPriority w:val="9"/>
    <w:pPr>
      <w:keepNext/>
      <w:keepLines/>
      <w:spacing w:before="120" w:after="0"/>
      <w:outlineLvl w:val="2"/>
    </w:pPr>
    <w:rPr>
      <w:rFonts w:asciiTheme="majorHAnsi" w:hAnsiTheme="majorHAnsi" w:eastAsiaTheme="majorEastAsia" w:cstheme="majorBidi"/>
      <w:spacing w:val="4"/>
      <w:sz w:val="24"/>
      <w:szCs w:val="24"/>
    </w:rPr>
  </w:style>
  <w:style w:type="paragraph" w:styleId="6">
    <w:name w:val="heading 4"/>
    <w:basedOn w:val="1"/>
    <w:next w:val="1"/>
    <w:link w:val="27"/>
    <w:semiHidden/>
    <w:unhideWhenUsed/>
    <w:qFormat/>
    <w:uiPriority w:val="9"/>
    <w:pPr>
      <w:keepNext/>
      <w:keepLines/>
      <w:spacing w:before="120" w:after="0"/>
      <w:outlineLvl w:val="3"/>
    </w:pPr>
    <w:rPr>
      <w:rFonts w:asciiTheme="majorHAnsi" w:hAnsiTheme="majorHAnsi" w:eastAsiaTheme="majorEastAsia" w:cstheme="majorBidi"/>
      <w:i/>
      <w:iCs/>
      <w:sz w:val="24"/>
      <w:szCs w:val="24"/>
    </w:rPr>
  </w:style>
  <w:style w:type="paragraph" w:styleId="7">
    <w:name w:val="heading 5"/>
    <w:basedOn w:val="1"/>
    <w:next w:val="1"/>
    <w:link w:val="28"/>
    <w:semiHidden/>
    <w:unhideWhenUsed/>
    <w:qFormat/>
    <w:uiPriority w:val="9"/>
    <w:pPr>
      <w:keepNext/>
      <w:keepLines/>
      <w:spacing w:before="120" w:after="0"/>
      <w:outlineLvl w:val="4"/>
    </w:pPr>
    <w:rPr>
      <w:rFonts w:asciiTheme="majorHAnsi" w:hAnsiTheme="majorHAnsi" w:eastAsiaTheme="majorEastAsia" w:cstheme="majorBidi"/>
      <w:b/>
      <w:bCs/>
    </w:rPr>
  </w:style>
  <w:style w:type="paragraph" w:styleId="8">
    <w:name w:val="heading 6"/>
    <w:basedOn w:val="1"/>
    <w:next w:val="1"/>
    <w:link w:val="29"/>
    <w:semiHidden/>
    <w:unhideWhenUsed/>
    <w:qFormat/>
    <w:uiPriority w:val="9"/>
    <w:pPr>
      <w:keepNext/>
      <w:keepLines/>
      <w:spacing w:before="120" w:after="0"/>
      <w:outlineLvl w:val="5"/>
    </w:pPr>
    <w:rPr>
      <w:rFonts w:asciiTheme="majorHAnsi" w:hAnsiTheme="majorHAnsi" w:eastAsiaTheme="majorEastAsia" w:cstheme="majorBidi"/>
      <w:b/>
      <w:bCs/>
      <w:i/>
      <w:iCs/>
    </w:rPr>
  </w:style>
  <w:style w:type="paragraph" w:styleId="9">
    <w:name w:val="heading 7"/>
    <w:basedOn w:val="1"/>
    <w:next w:val="1"/>
    <w:link w:val="30"/>
    <w:semiHidden/>
    <w:unhideWhenUsed/>
    <w:qFormat/>
    <w:uiPriority w:val="9"/>
    <w:pPr>
      <w:keepNext/>
      <w:keepLines/>
      <w:spacing w:before="120" w:after="0"/>
      <w:outlineLvl w:val="6"/>
    </w:pPr>
    <w:rPr>
      <w:i/>
      <w:iCs/>
    </w:rPr>
  </w:style>
  <w:style w:type="paragraph" w:styleId="10">
    <w:name w:val="heading 8"/>
    <w:basedOn w:val="1"/>
    <w:next w:val="1"/>
    <w:link w:val="31"/>
    <w:semiHidden/>
    <w:unhideWhenUsed/>
    <w:qFormat/>
    <w:uiPriority w:val="9"/>
    <w:pPr>
      <w:keepNext/>
      <w:keepLines/>
      <w:spacing w:before="120" w:after="0"/>
      <w:outlineLvl w:val="7"/>
    </w:pPr>
    <w:rPr>
      <w:b/>
      <w:bCs/>
    </w:rPr>
  </w:style>
  <w:style w:type="paragraph" w:styleId="11">
    <w:name w:val="heading 9"/>
    <w:basedOn w:val="1"/>
    <w:next w:val="1"/>
    <w:link w:val="32"/>
    <w:semiHidden/>
    <w:unhideWhenUsed/>
    <w:qFormat/>
    <w:uiPriority w:val="9"/>
    <w:pPr>
      <w:keepNext/>
      <w:keepLines/>
      <w:spacing w:before="120" w:after="0"/>
      <w:outlineLvl w:val="8"/>
    </w:pPr>
    <w:rPr>
      <w:i/>
      <w:iCs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</w:rPr>
  </w:style>
  <w:style w:type="paragraph" w:styleId="12">
    <w:name w:val="caption"/>
    <w:basedOn w:val="1"/>
    <w:next w:val="1"/>
    <w:semiHidden/>
    <w:unhideWhenUsed/>
    <w:qFormat/>
    <w:uiPriority w:val="35"/>
    <w:rPr>
      <w:b/>
      <w:bCs/>
      <w:sz w:val="18"/>
      <w:szCs w:val="18"/>
    </w:rPr>
  </w:style>
  <w:style w:type="paragraph" w:styleId="13">
    <w:name w:val="Plain Text"/>
    <w:basedOn w:val="1"/>
    <w:link w:val="49"/>
    <w:unhideWhenUsed/>
    <w:qFormat/>
    <w:uiPriority w:val="0"/>
    <w:rPr>
      <w:rFonts w:hAnsi="Courier New" w:cs="Courier New" w:asciiTheme="minorEastAsia"/>
    </w:rPr>
  </w:style>
  <w:style w:type="paragraph" w:styleId="14">
    <w:name w:val="footer"/>
    <w:basedOn w:val="1"/>
    <w:link w:val="4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15">
    <w:name w:val="header"/>
    <w:basedOn w:val="1"/>
    <w:link w:val="4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6">
    <w:name w:val="Subtitle"/>
    <w:basedOn w:val="1"/>
    <w:next w:val="1"/>
    <w:link w:val="34"/>
    <w:qFormat/>
    <w:uiPriority w:val="11"/>
    <w:pPr>
      <w:spacing w:after="240"/>
      <w:jc w:val="center"/>
    </w:pPr>
    <w:rPr>
      <w:rFonts w:asciiTheme="majorHAnsi" w:hAnsiTheme="majorHAnsi" w:eastAsiaTheme="majorEastAsia" w:cstheme="majorBidi"/>
      <w:sz w:val="24"/>
      <w:szCs w:val="24"/>
    </w:rPr>
  </w:style>
  <w:style w:type="paragraph" w:styleId="17">
    <w:name w:val="Title"/>
    <w:basedOn w:val="1"/>
    <w:next w:val="1"/>
    <w:link w:val="33"/>
    <w:qFormat/>
    <w:uiPriority w:val="10"/>
    <w:pPr>
      <w:spacing w:after="0" w:line="240" w:lineRule="auto"/>
      <w:contextualSpacing/>
      <w:jc w:val="center"/>
    </w:pPr>
    <w:rPr>
      <w:rFonts w:asciiTheme="majorHAnsi" w:hAnsiTheme="majorHAnsi" w:eastAsiaTheme="majorEastAsia" w:cstheme="majorBidi"/>
      <w:b/>
      <w:bCs/>
      <w:spacing w:val="-7"/>
      <w:sz w:val="48"/>
      <w:szCs w:val="48"/>
    </w:rPr>
  </w:style>
  <w:style w:type="table" w:styleId="19">
    <w:name w:val="Table Grid"/>
    <w:basedOn w:val="18"/>
    <w:qFormat/>
    <w:uiPriority w:val="59"/>
    <w:rPr>
      <w:rFonts w:eastAsia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Strong"/>
    <w:basedOn w:val="20"/>
    <w:qFormat/>
    <w:uiPriority w:val="22"/>
    <w:rPr>
      <w:b/>
      <w:bCs/>
      <w:color w:val="auto"/>
    </w:rPr>
  </w:style>
  <w:style w:type="character" w:styleId="22">
    <w:name w:val="Emphasis"/>
    <w:basedOn w:val="20"/>
    <w:qFormat/>
    <w:uiPriority w:val="20"/>
    <w:rPr>
      <w:i/>
      <w:iCs/>
      <w:color w:val="auto"/>
    </w:rPr>
  </w:style>
  <w:style w:type="character" w:styleId="23">
    <w:name w:val="Hyperlink"/>
    <w:basedOn w:val="20"/>
    <w:unhideWhenUsed/>
    <w:qFormat/>
    <w:uiPriority w:val="99"/>
    <w:rPr>
      <w:color w:val="F49100" w:themeColor="hyperlink"/>
      <w:u w:val="single"/>
      <w14:textFill>
        <w14:solidFill>
          <w14:schemeClr w14:val="hlink"/>
        </w14:solidFill>
      </w14:textFill>
    </w:rPr>
  </w:style>
  <w:style w:type="character" w:customStyle="1" w:styleId="24">
    <w:name w:val="标题 1 字符"/>
    <w:basedOn w:val="20"/>
    <w:link w:val="3"/>
    <w:qFormat/>
    <w:uiPriority w:val="9"/>
    <w:rPr>
      <w:rFonts w:asciiTheme="majorHAnsi" w:hAnsiTheme="majorHAnsi" w:eastAsiaTheme="majorEastAsia" w:cstheme="majorBidi"/>
      <w:b/>
      <w:bCs/>
      <w:caps/>
      <w:spacing w:val="4"/>
      <w:sz w:val="28"/>
      <w:szCs w:val="28"/>
    </w:rPr>
  </w:style>
  <w:style w:type="character" w:customStyle="1" w:styleId="25">
    <w:name w:val="标题 2 字符"/>
    <w:basedOn w:val="20"/>
    <w:link w:val="4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6">
    <w:name w:val="标题 3 字符"/>
    <w:basedOn w:val="20"/>
    <w:link w:val="5"/>
    <w:semiHidden/>
    <w:qFormat/>
    <w:uiPriority w:val="9"/>
    <w:rPr>
      <w:rFonts w:asciiTheme="majorHAnsi" w:hAnsiTheme="majorHAnsi" w:eastAsiaTheme="majorEastAsia" w:cstheme="majorBidi"/>
      <w:spacing w:val="4"/>
      <w:sz w:val="24"/>
      <w:szCs w:val="24"/>
    </w:rPr>
  </w:style>
  <w:style w:type="character" w:customStyle="1" w:styleId="27">
    <w:name w:val="标题 4 字符"/>
    <w:basedOn w:val="20"/>
    <w:link w:val="6"/>
    <w:semiHidden/>
    <w:qFormat/>
    <w:uiPriority w:val="9"/>
    <w:rPr>
      <w:rFonts w:asciiTheme="majorHAnsi" w:hAnsiTheme="majorHAnsi" w:eastAsiaTheme="majorEastAsia" w:cstheme="majorBidi"/>
      <w:i/>
      <w:iCs/>
      <w:sz w:val="24"/>
      <w:szCs w:val="24"/>
    </w:rPr>
  </w:style>
  <w:style w:type="character" w:customStyle="1" w:styleId="28">
    <w:name w:val="标题 5 字符"/>
    <w:basedOn w:val="20"/>
    <w:link w:val="7"/>
    <w:semiHidden/>
    <w:qFormat/>
    <w:uiPriority w:val="9"/>
    <w:rPr>
      <w:rFonts w:asciiTheme="majorHAnsi" w:hAnsiTheme="majorHAnsi" w:eastAsiaTheme="majorEastAsia" w:cstheme="majorBidi"/>
      <w:b/>
      <w:bCs/>
    </w:rPr>
  </w:style>
  <w:style w:type="character" w:customStyle="1" w:styleId="29">
    <w:name w:val="标题 6 字符"/>
    <w:basedOn w:val="20"/>
    <w:link w:val="8"/>
    <w:semiHidden/>
    <w:qFormat/>
    <w:uiPriority w:val="9"/>
    <w:rPr>
      <w:rFonts w:asciiTheme="majorHAnsi" w:hAnsiTheme="majorHAnsi" w:eastAsiaTheme="majorEastAsia" w:cstheme="majorBidi"/>
      <w:b/>
      <w:bCs/>
      <w:i/>
      <w:iCs/>
    </w:rPr>
  </w:style>
  <w:style w:type="character" w:customStyle="1" w:styleId="30">
    <w:name w:val="标题 7 字符"/>
    <w:basedOn w:val="20"/>
    <w:link w:val="9"/>
    <w:semiHidden/>
    <w:qFormat/>
    <w:uiPriority w:val="9"/>
    <w:rPr>
      <w:i/>
      <w:iCs/>
    </w:rPr>
  </w:style>
  <w:style w:type="character" w:customStyle="1" w:styleId="31">
    <w:name w:val="标题 8 字符"/>
    <w:basedOn w:val="20"/>
    <w:link w:val="10"/>
    <w:semiHidden/>
    <w:qFormat/>
    <w:uiPriority w:val="9"/>
    <w:rPr>
      <w:b/>
      <w:bCs/>
    </w:rPr>
  </w:style>
  <w:style w:type="character" w:customStyle="1" w:styleId="32">
    <w:name w:val="标题 9 字符"/>
    <w:basedOn w:val="20"/>
    <w:link w:val="11"/>
    <w:semiHidden/>
    <w:qFormat/>
    <w:uiPriority w:val="9"/>
    <w:rPr>
      <w:i/>
      <w:iCs/>
    </w:rPr>
  </w:style>
  <w:style w:type="character" w:customStyle="1" w:styleId="33">
    <w:name w:val="标题 字符"/>
    <w:basedOn w:val="20"/>
    <w:link w:val="17"/>
    <w:qFormat/>
    <w:uiPriority w:val="10"/>
    <w:rPr>
      <w:rFonts w:asciiTheme="majorHAnsi" w:hAnsiTheme="majorHAnsi" w:eastAsiaTheme="majorEastAsia" w:cstheme="majorBidi"/>
      <w:b/>
      <w:bCs/>
      <w:spacing w:val="-7"/>
      <w:sz w:val="48"/>
      <w:szCs w:val="48"/>
    </w:rPr>
  </w:style>
  <w:style w:type="character" w:customStyle="1" w:styleId="34">
    <w:name w:val="副标题 字符"/>
    <w:basedOn w:val="20"/>
    <w:link w:val="16"/>
    <w:qFormat/>
    <w:uiPriority w:val="11"/>
    <w:rPr>
      <w:rFonts w:asciiTheme="majorHAnsi" w:hAnsiTheme="majorHAnsi" w:eastAsiaTheme="majorEastAsia" w:cstheme="majorBidi"/>
      <w:sz w:val="24"/>
      <w:szCs w:val="24"/>
    </w:rPr>
  </w:style>
  <w:style w:type="paragraph" w:styleId="35">
    <w:name w:val="No Spacing"/>
    <w:qFormat/>
    <w:uiPriority w:val="1"/>
    <w:pPr>
      <w:spacing w:after="0" w:line="240" w:lineRule="auto"/>
      <w:jc w:val="both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36">
    <w:name w:val="Quote"/>
    <w:basedOn w:val="1"/>
    <w:next w:val="1"/>
    <w:link w:val="37"/>
    <w:qFormat/>
    <w:uiPriority w:val="29"/>
    <w:pPr>
      <w:spacing w:before="200" w:line="264" w:lineRule="auto"/>
      <w:ind w:left="864" w:right="864"/>
      <w:jc w:val="center"/>
    </w:pPr>
    <w:rPr>
      <w:rFonts w:asciiTheme="majorHAnsi" w:hAnsiTheme="majorHAnsi" w:eastAsiaTheme="majorEastAsia" w:cstheme="majorBidi"/>
      <w:i/>
      <w:iCs/>
      <w:sz w:val="24"/>
      <w:szCs w:val="24"/>
    </w:rPr>
  </w:style>
  <w:style w:type="character" w:customStyle="1" w:styleId="37">
    <w:name w:val="引用 字符"/>
    <w:basedOn w:val="20"/>
    <w:link w:val="36"/>
    <w:qFormat/>
    <w:uiPriority w:val="29"/>
    <w:rPr>
      <w:rFonts w:asciiTheme="majorHAnsi" w:hAnsiTheme="majorHAnsi" w:eastAsiaTheme="majorEastAsia" w:cstheme="majorBidi"/>
      <w:i/>
      <w:iCs/>
      <w:sz w:val="24"/>
      <w:szCs w:val="24"/>
    </w:rPr>
  </w:style>
  <w:style w:type="paragraph" w:styleId="38">
    <w:name w:val="Intense Quote"/>
    <w:basedOn w:val="1"/>
    <w:next w:val="1"/>
    <w:link w:val="39"/>
    <w:qFormat/>
    <w:uiPriority w:val="30"/>
    <w:pPr>
      <w:spacing w:before="100" w:beforeAutospacing="1" w:after="240"/>
      <w:ind w:left="936" w:right="936"/>
      <w:jc w:val="center"/>
    </w:pPr>
    <w:rPr>
      <w:rFonts w:asciiTheme="majorHAnsi" w:hAnsiTheme="majorHAnsi" w:eastAsiaTheme="majorEastAsia" w:cstheme="majorBidi"/>
      <w:sz w:val="26"/>
      <w:szCs w:val="26"/>
    </w:rPr>
  </w:style>
  <w:style w:type="character" w:customStyle="1" w:styleId="39">
    <w:name w:val="明显引用 字符"/>
    <w:basedOn w:val="20"/>
    <w:link w:val="38"/>
    <w:qFormat/>
    <w:uiPriority w:val="30"/>
    <w:rPr>
      <w:rFonts w:asciiTheme="majorHAnsi" w:hAnsiTheme="majorHAnsi" w:eastAsiaTheme="majorEastAsia" w:cstheme="majorBidi"/>
      <w:sz w:val="26"/>
      <w:szCs w:val="26"/>
    </w:rPr>
  </w:style>
  <w:style w:type="character" w:customStyle="1" w:styleId="40">
    <w:name w:val="Subtle Emphasis"/>
    <w:basedOn w:val="20"/>
    <w:qFormat/>
    <w:uiPriority w:val="19"/>
    <w:rPr>
      <w:i/>
      <w:iCs/>
      <w:color w:val="auto"/>
    </w:rPr>
  </w:style>
  <w:style w:type="character" w:customStyle="1" w:styleId="41">
    <w:name w:val="Intense Emphasis"/>
    <w:basedOn w:val="20"/>
    <w:qFormat/>
    <w:uiPriority w:val="21"/>
    <w:rPr>
      <w:b/>
      <w:bCs/>
      <w:i/>
      <w:iCs/>
      <w:color w:val="auto"/>
    </w:rPr>
  </w:style>
  <w:style w:type="character" w:customStyle="1" w:styleId="42">
    <w:name w:val="Subtle Reference"/>
    <w:basedOn w:val="20"/>
    <w:qFormat/>
    <w:uiPriority w:val="31"/>
    <w:rPr>
      <w:smallCaps/>
      <w:color w:val="auto"/>
      <w:u w:val="single" w:color="7E7E7E" w:themeColor="text1" w:themeTint="80"/>
    </w:rPr>
  </w:style>
  <w:style w:type="character" w:customStyle="1" w:styleId="43">
    <w:name w:val="Intense Reference"/>
    <w:basedOn w:val="20"/>
    <w:qFormat/>
    <w:uiPriority w:val="32"/>
    <w:rPr>
      <w:b/>
      <w:bCs/>
      <w:smallCaps/>
      <w:color w:val="auto"/>
      <w:u w:val="single"/>
    </w:rPr>
  </w:style>
  <w:style w:type="character" w:customStyle="1" w:styleId="44">
    <w:name w:val="Book Title"/>
    <w:basedOn w:val="20"/>
    <w:qFormat/>
    <w:uiPriority w:val="33"/>
    <w:rPr>
      <w:b/>
      <w:bCs/>
      <w:smallCaps/>
      <w:color w:val="auto"/>
    </w:rPr>
  </w:style>
  <w:style w:type="paragraph" w:customStyle="1" w:styleId="45">
    <w:name w:val="TOC Heading"/>
    <w:basedOn w:val="3"/>
    <w:next w:val="1"/>
    <w:semiHidden/>
    <w:unhideWhenUsed/>
    <w:qFormat/>
    <w:uiPriority w:val="39"/>
    <w:pPr>
      <w:outlineLvl w:val="9"/>
    </w:pPr>
  </w:style>
  <w:style w:type="paragraph" w:customStyle="1" w:styleId="46">
    <w:name w:val="Default"/>
    <w:qFormat/>
    <w:uiPriority w:val="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47">
    <w:name w:val="页眉 字符"/>
    <w:basedOn w:val="20"/>
    <w:link w:val="15"/>
    <w:qFormat/>
    <w:uiPriority w:val="99"/>
    <w:rPr>
      <w:sz w:val="18"/>
      <w:szCs w:val="18"/>
    </w:rPr>
  </w:style>
  <w:style w:type="character" w:customStyle="1" w:styleId="48">
    <w:name w:val="页脚 字符"/>
    <w:basedOn w:val="20"/>
    <w:link w:val="14"/>
    <w:qFormat/>
    <w:uiPriority w:val="99"/>
    <w:rPr>
      <w:sz w:val="18"/>
      <w:szCs w:val="18"/>
    </w:rPr>
  </w:style>
  <w:style w:type="character" w:customStyle="1" w:styleId="49">
    <w:name w:val="纯文本 字符"/>
    <w:basedOn w:val="20"/>
    <w:link w:val="13"/>
    <w:qFormat/>
    <w:uiPriority w:val="0"/>
    <w:rPr>
      <w:rFonts w:hAnsi="Courier New" w:cs="Courier New" w:asciiTheme="minorEastAsia"/>
    </w:rPr>
  </w:style>
  <w:style w:type="paragraph" w:styleId="5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肥皂">
  <a:themeElements>
    <a:clrScheme name="肥皂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肥皂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肥皂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1378</Words>
  <Characters>1559</Characters>
  <Lines>10</Lines>
  <Paragraphs>2</Paragraphs>
  <TotalTime>0</TotalTime>
  <ScaleCrop>false</ScaleCrop>
  <LinksUpToDate>false</LinksUpToDate>
  <CharactersWithSpaces>1570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2021-07-21T07:17:00Z</dcterms:created>
  <dc:creator>树亮 门</dc:creator>
  <cp:lastModifiedBy>Deity雅</cp:lastModifiedBy>
  <dcterms:modified xsi:type="dcterms:W3CDTF">2023-11-23T04:59:30Z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D6615E1905784F568B843EEDA61C44E0_13</vt:lpwstr>
  </property>
</Properties>
</file>