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66870861"/>
      <w:bookmarkStart w:id="1" w:name="_Toc160880487"/>
      <w:bookmarkStart w:id="2" w:name="_Toc254790852"/>
      <w:bookmarkStart w:id="3" w:name="_Toc267059899"/>
      <w:bookmarkStart w:id="4" w:name="_Toc225669277"/>
      <w:bookmarkStart w:id="5" w:name="_Toc267059519"/>
      <w:bookmarkStart w:id="6" w:name="_Toc267060162"/>
      <w:bookmarkStart w:id="7" w:name="_Toc266870386"/>
      <w:bookmarkStart w:id="8" w:name="_Toc227058483"/>
      <w:bookmarkStart w:id="9" w:name="_Toc216241307"/>
      <w:bookmarkStart w:id="10" w:name="_Toc177985424"/>
      <w:bookmarkStart w:id="11" w:name="_Toc258401210"/>
      <w:bookmarkStart w:id="12" w:name="_Toc267059786"/>
      <w:bookmarkStart w:id="13" w:name="_Toc255974963"/>
      <w:bookmarkStart w:id="14" w:name="_Toc219800200"/>
      <w:bookmarkStart w:id="15" w:name="_Toc169332904"/>
      <w:bookmarkStart w:id="16" w:name="_Toc259520819"/>
      <w:bookmarkStart w:id="17" w:name="_Toc251586187"/>
      <w:bookmarkStart w:id="18" w:name="_Toc223146565"/>
      <w:bookmarkStart w:id="19" w:name="_Toc267060022"/>
      <w:bookmarkStart w:id="20" w:name="_Toc267059633"/>
      <w:bookmarkStart w:id="21" w:name="_Toc267059010"/>
      <w:bookmarkStart w:id="22" w:name="_Toc266868924"/>
      <w:bookmarkStart w:id="23" w:name="_Toc235437942"/>
      <w:bookmarkStart w:id="24" w:name="_Toc259692693"/>
      <w:bookmarkStart w:id="25" w:name="_Toc273178686"/>
      <w:bookmarkStart w:id="26" w:name="_Toc267059161"/>
      <w:bookmarkStart w:id="27" w:name="_Toc266868624"/>
      <w:bookmarkStart w:id="28" w:name="_Toc212530253"/>
      <w:bookmarkStart w:id="29" w:name="_Toc211937196"/>
      <w:bookmarkStart w:id="30" w:name="_Toc235438297"/>
      <w:bookmarkStart w:id="31" w:name="_Toc267060407"/>
      <w:bookmarkStart w:id="32" w:name="_Toc212456146"/>
      <w:bookmarkStart w:id="33" w:name="_Toc249325665"/>
      <w:bookmarkStart w:id="34" w:name="_Toc235438227"/>
      <w:bookmarkStart w:id="35" w:name="_Toc212454753"/>
      <w:bookmarkStart w:id="36" w:name="_Toc253066567"/>
      <w:bookmarkStart w:id="37" w:name="_Toc217891359"/>
      <w:bookmarkStart w:id="38" w:name="_Toc207014580"/>
      <w:bookmarkStart w:id="39" w:name="_Toc251613780"/>
      <w:bookmarkStart w:id="40" w:name="_Toc259692600"/>
      <w:bookmarkStart w:id="41" w:name="_Toc169332794"/>
      <w:bookmarkStart w:id="42" w:name="_Toc170798743"/>
      <w:bookmarkStart w:id="43" w:name="_Toc212526081"/>
      <w:bookmarkStart w:id="44" w:name="_Toc236021402"/>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ascii="仿宋" w:hAnsi="仿宋" w:eastAsia="仿宋"/>
          <w:color w:val="000000"/>
          <w:sz w:val="24"/>
          <w:szCs w:val="24"/>
        </w:rPr>
      </w:pPr>
      <w:bookmarkStart w:id="45" w:name="_Hlk10840310"/>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项目编号：</w:t>
      </w:r>
      <w:r>
        <w:rPr>
          <w:rFonts w:hint="eastAsia" w:ascii="仿宋" w:hAnsi="仿宋" w:eastAsia="仿宋"/>
          <w:color w:val="auto"/>
          <w:sz w:val="24"/>
          <w:szCs w:val="24"/>
        </w:rPr>
        <w:t>WZ-XJ2024-16</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项目名称：广州市白云工商技师学院珠江公寓C区宿舍第二期网络升级改造建设项目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参与人应具有提供路由器销售及服务等相关资质。</w:t>
      </w:r>
    </w:p>
    <w:p>
      <w:pPr>
        <w:pStyle w:val="54"/>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参与人应具有3年3个以上</w:t>
      </w:r>
      <w:r>
        <w:rPr>
          <w:rFonts w:hint="eastAsia" w:ascii="仿宋" w:hAnsi="仿宋" w:eastAsia="仿宋"/>
          <w:color w:val="auto"/>
          <w:sz w:val="24"/>
          <w:szCs w:val="24"/>
          <w:lang w:val="en-US" w:eastAsia="zh-CN"/>
        </w:rPr>
        <w:t>路由器等网络</w:t>
      </w:r>
      <w:r>
        <w:rPr>
          <w:rFonts w:hint="eastAsia" w:ascii="仿宋" w:hAnsi="仿宋" w:eastAsia="仿宋"/>
          <w:color w:val="auto"/>
          <w:sz w:val="24"/>
          <w:szCs w:val="24"/>
        </w:rPr>
        <w:t>项目销售和良好的售后服务应用成功案例,并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合同、付款凭证及发票</w:t>
      </w:r>
      <w:r>
        <w:rPr>
          <w:rFonts w:hint="eastAsia" w:ascii="仿宋" w:hAnsi="仿宋" w:eastAsia="仿宋"/>
          <w:color w:val="auto"/>
          <w:sz w:val="24"/>
          <w:szCs w:val="24"/>
          <w:lang w:eastAsia="zh-CN"/>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color w:val="auto"/>
          <w:sz w:val="24"/>
          <w:szCs w:val="24"/>
          <w:lang w:val="en-US" w:eastAsia="zh-CN"/>
        </w:rPr>
        <w:t>及报名</w:t>
      </w:r>
      <w:r>
        <w:rPr>
          <w:rFonts w:hint="eastAsia" w:ascii="仿宋" w:hAnsi="仿宋" w:eastAsia="仿宋"/>
          <w:color w:val="auto"/>
          <w:sz w:val="24"/>
          <w:szCs w:val="24"/>
        </w:rPr>
        <w:t>：</w:t>
      </w:r>
      <w:r>
        <w:rPr>
          <w:rFonts w:hint="eastAsia" w:ascii="仿宋" w:hAnsi="仿宋" w:eastAsia="仿宋"/>
          <w:sz w:val="24"/>
          <w:szCs w:val="24"/>
        </w:rPr>
        <w:t>请参与人将以上第4条所列的证明材料</w:t>
      </w:r>
      <w:r>
        <w:rPr>
          <w:rFonts w:hint="eastAsia" w:ascii="仿宋" w:hAnsi="仿宋" w:eastAsia="仿宋"/>
          <w:color w:val="auto"/>
          <w:sz w:val="24"/>
          <w:szCs w:val="24"/>
        </w:rPr>
        <w:t>以电子扫描件形式发送给采购人进行审核，审核通过后根据本项目联系人指引，注册中教集团SRM采购平台</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否则视为报名未通过。</w:t>
      </w: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郑志豪</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17520555750</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12</w:t>
      </w:r>
      <w:bookmarkStart w:id="181" w:name="_GoBack"/>
      <w:bookmarkEnd w:id="181"/>
      <w:r>
        <w:rPr>
          <w:rFonts w:ascii="仿宋" w:hAnsi="仿宋" w:eastAsia="仿宋"/>
          <w:color w:val="auto"/>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前（以快递</w:t>
      </w:r>
      <w:r>
        <w:rPr>
          <w:rFonts w:hint="eastAsia" w:ascii="仿宋" w:hAnsi="仿宋" w:eastAsia="仿宋"/>
          <w:color w:val="auto"/>
          <w:sz w:val="24"/>
          <w:szCs w:val="24"/>
          <w:shd w:val="clear" w:color="auto" w:fill="FFFFFF"/>
          <w:lang w:val="en-US" w:eastAsia="zh-CN"/>
        </w:rPr>
        <w:t>送达</w:t>
      </w:r>
      <w:r>
        <w:rPr>
          <w:rFonts w:hint="eastAsia" w:ascii="仿宋" w:hAnsi="仿宋" w:eastAsia="仿宋"/>
          <w:sz w:val="24"/>
          <w:szCs w:val="24"/>
          <w:shd w:val="clear" w:color="auto" w:fill="FFFFFF"/>
        </w:rPr>
        <w:t>时间为准，邮寄时应提前告知）。</w:t>
      </w:r>
    </w:p>
    <w:p>
      <w:pPr>
        <w:spacing w:after="0" w:line="460" w:lineRule="exact"/>
        <w:ind w:left="839"/>
        <w:rPr>
          <w:rFonts w:hint="default" w:ascii="仿宋" w:hAnsi="仿宋" w:eastAsia="仿宋"/>
          <w:sz w:val="24"/>
          <w:szCs w:val="24"/>
          <w:lang w:val="en-US"/>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广州市白云区钟落潭镇九佛西路280号招标采购中心</w:t>
      </w:r>
    </w:p>
    <w:p>
      <w:pPr>
        <w:pStyle w:val="54"/>
        <w:spacing w:after="0" w:line="500" w:lineRule="exact"/>
        <w:ind w:left="839" w:firstLine="0" w:firstLineChars="0"/>
        <w:rPr>
          <w:rFonts w:hint="default" w:ascii="仿宋" w:hAnsi="仿宋" w:eastAsia="仿宋"/>
          <w:color w:val="FF0000"/>
          <w:sz w:val="24"/>
          <w:szCs w:val="24"/>
          <w:lang w:val="en-US" w:eastAsia="zh-CN"/>
        </w:rPr>
      </w:pPr>
      <w:r>
        <w:rPr>
          <w:rFonts w:hint="eastAsia" w:ascii="仿宋" w:hAnsi="仿宋" w:eastAsia="仿宋"/>
          <w:sz w:val="24"/>
          <w:szCs w:val="24"/>
        </w:rPr>
        <w:t>联系人</w:t>
      </w:r>
      <w:r>
        <w:rPr>
          <w:rFonts w:hint="eastAsia" w:ascii="仿宋" w:hAnsi="仿宋" w:eastAsia="仿宋"/>
          <w:color w:val="auto"/>
          <w:sz w:val="24"/>
          <w:szCs w:val="24"/>
        </w:rPr>
        <w:t>：</w:t>
      </w:r>
      <w:r>
        <w:rPr>
          <w:rFonts w:hint="eastAsia" w:ascii="仿宋" w:hAnsi="仿宋" w:eastAsia="仿宋"/>
          <w:color w:val="auto"/>
          <w:sz w:val="24"/>
          <w:szCs w:val="24"/>
          <w:lang w:val="en-US" w:eastAsia="zh-CN"/>
        </w:rPr>
        <w:t>严美香</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159156050820</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本项目需参与人进行现场踏勘，参与人踏勘现场发生的费用自理，参与人自行负责在踏勘现场中所发生的人员伤亡和财产损失。未对现场踏勘的视为对现场充分了解，且对所投响应文件负责。</w:t>
      </w:r>
      <w:bookmarkStart w:id="46" w:name="_Hlk98161665"/>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rPr>
        <w:t>踏勘地点：</w:t>
      </w:r>
      <w:r>
        <w:rPr>
          <w:rFonts w:hint="eastAsia" w:ascii="仿宋" w:hAnsi="仿宋" w:eastAsia="仿宋"/>
          <w:color w:val="auto"/>
          <w:sz w:val="24"/>
          <w:szCs w:val="24"/>
          <w:lang w:val="en-US" w:eastAsia="zh-CN"/>
        </w:rPr>
        <w:t>广州市白云区江高镇田南路13号（白云学院东校区）</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踏勘时间：2024年06月07日上午9:30（或按采购人通知</w:t>
      </w:r>
      <w:r>
        <w:rPr>
          <w:rFonts w:hint="eastAsia" w:ascii="仿宋" w:hAnsi="仿宋" w:eastAsia="仿宋"/>
          <w:color w:val="auto"/>
          <w:sz w:val="24"/>
          <w:szCs w:val="24"/>
          <w:lang w:eastAsia="zh-CN"/>
        </w:rPr>
        <w:t>）</w:t>
      </w:r>
    </w:p>
    <w:bookmarkEnd w:id="46"/>
    <w:p>
      <w:pPr>
        <w:pStyle w:val="54"/>
        <w:spacing w:after="0" w:line="500" w:lineRule="exact"/>
        <w:ind w:left="839" w:firstLine="0" w:firstLineChars="0"/>
        <w:rPr>
          <w:rFonts w:ascii="仿宋" w:hAnsi="仿宋" w:eastAsia="仿宋"/>
          <w:sz w:val="24"/>
          <w:szCs w:val="24"/>
          <w:highlight w:val="yellow"/>
        </w:rPr>
      </w:pPr>
      <w:r>
        <w:rPr>
          <w:rFonts w:hint="eastAsia" w:ascii="仿宋" w:hAnsi="仿宋" w:eastAsia="仿宋"/>
          <w:color w:val="auto"/>
          <w:sz w:val="24"/>
          <w:szCs w:val="24"/>
          <w:lang w:val="en-US" w:eastAsia="zh-CN"/>
        </w:rPr>
        <w:t>踏勘</w:t>
      </w:r>
      <w:r>
        <w:rPr>
          <w:rFonts w:hint="eastAsia" w:ascii="仿宋" w:hAnsi="仿宋" w:eastAsia="仿宋"/>
          <w:color w:val="auto"/>
          <w:sz w:val="24"/>
          <w:szCs w:val="24"/>
        </w:rPr>
        <w:t>联系人</w:t>
      </w:r>
      <w:r>
        <w:rPr>
          <w:rFonts w:hint="eastAsia" w:ascii="仿宋" w:hAnsi="仿宋" w:eastAsia="仿宋"/>
          <w:sz w:val="24"/>
          <w:szCs w:val="24"/>
        </w:rPr>
        <w:t>：</w:t>
      </w:r>
      <w:r>
        <w:rPr>
          <w:rFonts w:hint="eastAsia" w:ascii="仿宋" w:hAnsi="仿宋" w:eastAsia="仿宋"/>
          <w:sz w:val="24"/>
          <w:szCs w:val="24"/>
          <w:lang w:val="en-US" w:eastAsia="zh-CN"/>
        </w:rPr>
        <w:t>谢灶连</w:t>
      </w:r>
      <w:r>
        <w:rPr>
          <w:rFonts w:hint="eastAsia" w:ascii="仿宋" w:hAnsi="仿宋" w:eastAsia="仿宋"/>
          <w:sz w:val="24"/>
          <w:szCs w:val="24"/>
        </w:rPr>
        <w:t>；联系电话：</w:t>
      </w:r>
      <w:r>
        <w:rPr>
          <w:rFonts w:hint="eastAsia" w:ascii="仿宋" w:hAnsi="仿宋" w:eastAsia="仿宋"/>
          <w:sz w:val="24"/>
          <w:szCs w:val="24"/>
          <w:lang w:val="en-US" w:eastAsia="zh-CN"/>
        </w:rPr>
        <w:t>13662409473</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7"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项目联系人：</w:t>
      </w:r>
      <w:r>
        <w:rPr>
          <w:rFonts w:hint="eastAsia" w:ascii="仿宋" w:hAnsi="仿宋" w:eastAsia="仿宋"/>
          <w:color w:val="auto"/>
          <w:sz w:val="24"/>
          <w:szCs w:val="24"/>
          <w:lang w:val="en-US" w:eastAsia="zh-CN"/>
        </w:rPr>
        <w:t>李树泽</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13416175669</w:t>
      </w:r>
    </w:p>
    <w:p>
      <w:pPr>
        <w:widowControl w:val="0"/>
        <w:tabs>
          <w:tab w:val="left" w:pos="839"/>
        </w:tabs>
        <w:spacing w:after="0" w:line="460" w:lineRule="exact"/>
        <w:ind w:left="839"/>
        <w:rPr>
          <w:rFonts w:hint="eastAsia" w:ascii="仿宋" w:hAnsi="仿宋" w:eastAsia="仿宋"/>
          <w:color w:val="auto"/>
          <w:sz w:val="24"/>
          <w:szCs w:val="24"/>
          <w:lang w:val="en-US" w:eastAsia="zh-CN"/>
        </w:rPr>
      </w:pPr>
      <w:r>
        <w:rPr>
          <w:rFonts w:hint="eastAsia" w:ascii="仿宋" w:hAnsi="仿宋" w:eastAsia="仿宋"/>
          <w:color w:val="auto"/>
          <w:sz w:val="24"/>
          <w:szCs w:val="24"/>
        </w:rPr>
        <w:t>采购单位联系人：</w:t>
      </w:r>
      <w:r>
        <w:rPr>
          <w:rFonts w:hint="eastAsia" w:ascii="仿宋" w:hAnsi="仿宋" w:eastAsia="仿宋"/>
          <w:color w:val="auto"/>
          <w:sz w:val="24"/>
          <w:szCs w:val="24"/>
          <w:lang w:val="en-US" w:eastAsia="zh-CN"/>
        </w:rPr>
        <w:t>黄亮</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020-89913839</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7"/>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lang w:val="en-US" w:eastAsia="zh-CN"/>
        </w:rPr>
        <w:t>付款方式：安装完成由学校确认后支付合同金额50%，验收合格后支付合同金额45%，余款5%作为质保金在验收合格日算起两年后退还（乙方须提供退还质保金函）。</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lang w:val="en-US" w:eastAsia="zh-CN"/>
        </w:rPr>
        <w:t>保修</w:t>
      </w:r>
      <w:r>
        <w:rPr>
          <w:rFonts w:hint="eastAsia" w:ascii="仿宋" w:hAnsi="仿宋" w:eastAsia="仿宋"/>
          <w:sz w:val="24"/>
          <w:szCs w:val="24"/>
        </w:rPr>
        <w:t>期:</w:t>
      </w:r>
      <w:r>
        <w:rPr>
          <w:rFonts w:hint="eastAsia" w:ascii="仿宋" w:hAnsi="仿宋" w:eastAsia="仿宋"/>
          <w:color w:val="auto"/>
          <w:sz w:val="24"/>
          <w:szCs w:val="24"/>
          <w:lang w:val="en-US" w:eastAsia="zh-CN"/>
        </w:rPr>
        <w:t>不少于24</w:t>
      </w:r>
      <w:r>
        <w:rPr>
          <w:rFonts w:hint="eastAsia" w:ascii="仿宋" w:hAnsi="仿宋" w:eastAsia="仿宋"/>
          <w:color w:val="auto"/>
          <w:sz w:val="24"/>
          <w:szCs w:val="24"/>
        </w:rPr>
        <w:t>个月</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firstLine="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中教集团后勤部广东分部</w:t>
      </w:r>
    </w:p>
    <w:p>
      <w:pPr>
        <w:pStyle w:val="54"/>
        <w:spacing w:after="0" w:line="500" w:lineRule="exact"/>
        <w:ind w:left="7371" w:right="480" w:firstLine="0" w:firstLineChars="0"/>
        <w:rPr>
          <w:rFonts w:hint="default" w:ascii="仿宋" w:hAnsi="仿宋" w:eastAsia="仿宋"/>
          <w:sz w:val="24"/>
          <w:szCs w:val="24"/>
          <w:lang w:val="en-US" w:eastAsia="zh-CN"/>
        </w:rPr>
      </w:pPr>
      <w:r>
        <w:rPr>
          <w:rFonts w:hint="eastAsia" w:ascii="仿宋" w:hAnsi="仿宋" w:eastAsia="仿宋"/>
          <w:color w:val="auto"/>
          <w:sz w:val="24"/>
          <w:szCs w:val="24"/>
          <w:highlight w:val="none"/>
        </w:rPr>
        <w:t xml:space="preserve">   招标采购中心</w:t>
      </w:r>
    </w:p>
    <w:p>
      <w:pPr>
        <w:pStyle w:val="54"/>
        <w:spacing w:after="0" w:line="500" w:lineRule="exact"/>
        <w:ind w:firstLine="7440" w:firstLineChars="3100"/>
        <w:jc w:val="left"/>
        <w:rPr>
          <w:rFonts w:ascii="仿宋" w:hAnsi="仿宋" w:eastAsia="仿宋"/>
          <w:sz w:val="24"/>
          <w:szCs w:val="24"/>
        </w:rPr>
      </w:pPr>
      <w:r>
        <w:rPr>
          <w:rFonts w:hint="eastAsia" w:ascii="仿宋" w:hAnsi="仿宋" w:eastAsia="仿宋"/>
          <w:sz w:val="24"/>
          <w:szCs w:val="24"/>
          <w:lang w:val="en-US" w:eastAsia="zh-CN"/>
        </w:rPr>
        <w:t>2024年06月04日</w:t>
      </w:r>
    </w:p>
    <w:p>
      <w:pPr>
        <w:pStyle w:val="54"/>
        <w:spacing w:after="0" w:line="500" w:lineRule="exact"/>
        <w:ind w:left="851" w:firstLine="0" w:firstLineChars="0"/>
        <w:jc w:val="center"/>
        <w:rPr>
          <w:rFonts w:ascii="仿宋" w:hAnsi="仿宋" w:eastAsia="仿宋"/>
          <w:b/>
          <w:color w:val="FF0000"/>
          <w:sz w:val="32"/>
          <w:szCs w:val="32"/>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000" w:type="pct"/>
        <w:tblInd w:w="0" w:type="dxa"/>
        <w:tblLayout w:type="fixed"/>
        <w:tblCellMar>
          <w:top w:w="0" w:type="dxa"/>
          <w:left w:w="108" w:type="dxa"/>
          <w:bottom w:w="0" w:type="dxa"/>
          <w:right w:w="108" w:type="dxa"/>
        </w:tblCellMar>
      </w:tblPr>
      <w:tblGrid>
        <w:gridCol w:w="439"/>
        <w:gridCol w:w="910"/>
        <w:gridCol w:w="1376"/>
        <w:gridCol w:w="1842"/>
        <w:gridCol w:w="672"/>
        <w:gridCol w:w="797"/>
        <w:gridCol w:w="735"/>
        <w:gridCol w:w="825"/>
        <w:gridCol w:w="902"/>
        <w:gridCol w:w="1498"/>
      </w:tblGrid>
      <w:tr>
        <w:tblPrEx>
          <w:tblCellMar>
            <w:top w:w="0" w:type="dxa"/>
            <w:left w:w="108" w:type="dxa"/>
            <w:bottom w:w="0" w:type="dxa"/>
            <w:right w:w="108" w:type="dxa"/>
          </w:tblCellMar>
        </w:tblPrEx>
        <w:trPr>
          <w:trHeight w:val="1115" w:hRule="atLeast"/>
        </w:trPr>
        <w:tc>
          <w:tcPr>
            <w:tcW w:w="2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45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名称</w:t>
            </w:r>
          </w:p>
        </w:tc>
        <w:tc>
          <w:tcPr>
            <w:tcW w:w="68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8" w:name="_Hlk78721021"/>
            <w:r>
              <w:rPr>
                <w:rFonts w:hint="eastAsia" w:ascii="仿宋" w:hAnsi="仿宋" w:eastAsia="仿宋" w:cs="Tahoma"/>
                <w:b/>
                <w:bCs/>
                <w:color w:val="000000"/>
                <w:sz w:val="20"/>
                <w:szCs w:val="20"/>
              </w:rPr>
              <w:t>规格型</w:t>
            </w:r>
            <w:bookmarkEnd w:id="48"/>
            <w:r>
              <w:rPr>
                <w:rFonts w:hint="eastAsia" w:ascii="仿宋" w:hAnsi="仿宋" w:eastAsia="仿宋" w:cs="Tahoma"/>
                <w:b/>
                <w:bCs/>
                <w:color w:val="000000"/>
                <w:sz w:val="20"/>
                <w:szCs w:val="20"/>
              </w:rPr>
              <w:t>号</w:t>
            </w:r>
          </w:p>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9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9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36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51"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rPr>
              <w:t>是否提供样</w:t>
            </w:r>
            <w:r>
              <w:rPr>
                <w:rFonts w:hint="eastAsia" w:ascii="仿宋" w:hAnsi="仿宋" w:eastAsia="仿宋" w:cs="Tahoma"/>
                <w:b/>
                <w:bCs/>
                <w:color w:val="auto"/>
                <w:sz w:val="20"/>
                <w:szCs w:val="20"/>
                <w:lang w:val="en-US" w:eastAsia="zh-CN"/>
              </w:rPr>
              <w:t>板</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备注</w:t>
            </w:r>
          </w:p>
        </w:tc>
      </w:tr>
      <w:tr>
        <w:tblPrEx>
          <w:tblCellMar>
            <w:top w:w="0" w:type="dxa"/>
            <w:left w:w="108" w:type="dxa"/>
            <w:bottom w:w="0" w:type="dxa"/>
            <w:right w:w="108" w:type="dxa"/>
          </w:tblCellMar>
        </w:tblPrEx>
        <w:trPr>
          <w:trHeight w:val="794" w:hRule="atLeast"/>
        </w:trPr>
        <w:tc>
          <w:tcPr>
            <w:tcW w:w="21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45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路由器</w:t>
            </w:r>
          </w:p>
        </w:tc>
        <w:tc>
          <w:tcPr>
            <w:tcW w:w="6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921"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支持无线网络，千兆带宽，8口，支持WIFI5及以上</w:t>
            </w:r>
          </w:p>
        </w:tc>
        <w:tc>
          <w:tcPr>
            <w:tcW w:w="3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台</w:t>
            </w:r>
          </w:p>
        </w:tc>
        <w:tc>
          <w:tcPr>
            <w:tcW w:w="39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137</w:t>
            </w: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是</w:t>
            </w:r>
          </w:p>
        </w:tc>
        <w:tc>
          <w:tcPr>
            <w:tcW w:w="749"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Tahoma"/>
                <w:color w:val="000000"/>
                <w:sz w:val="20"/>
                <w:szCs w:val="20"/>
                <w:lang w:eastAsia="zh-CN"/>
              </w:rPr>
            </w:pPr>
            <w:r>
              <w:rPr>
                <w:rFonts w:hint="eastAsia" w:ascii="仿宋" w:hAnsi="仿宋" w:eastAsia="仿宋" w:cs="Tahoma"/>
                <w:b/>
                <w:bCs/>
                <w:color w:val="000000"/>
                <w:sz w:val="20"/>
                <w:szCs w:val="20"/>
                <w:lang w:val="en-US" w:eastAsia="zh-CN"/>
              </w:rPr>
              <w:t>参考品牌：</w:t>
            </w:r>
            <w:r>
              <w:rPr>
                <w:rFonts w:hint="eastAsia" w:ascii="仿宋" w:hAnsi="仿宋" w:eastAsia="仿宋" w:cs="Tahoma"/>
                <w:color w:val="000000"/>
                <w:sz w:val="20"/>
                <w:szCs w:val="20"/>
              </w:rPr>
              <w:t>锐捷</w:t>
            </w:r>
            <w:r>
              <w:rPr>
                <w:rFonts w:hint="eastAsia" w:ascii="仿宋" w:hAnsi="仿宋" w:eastAsia="仿宋" w:cs="Tahoma"/>
                <w:color w:val="000000"/>
                <w:sz w:val="20"/>
                <w:szCs w:val="20"/>
                <w:lang w:eastAsia="zh-CN"/>
              </w:rPr>
              <w:t>、TP-Link、贝锐蒲公英</w:t>
            </w:r>
          </w:p>
        </w:tc>
      </w:tr>
      <w:tr>
        <w:tblPrEx>
          <w:tblCellMar>
            <w:top w:w="0" w:type="dxa"/>
            <w:left w:w="108" w:type="dxa"/>
            <w:bottom w:w="0" w:type="dxa"/>
            <w:right w:w="108" w:type="dxa"/>
          </w:tblCellMar>
        </w:tblPrEx>
        <w:trPr>
          <w:trHeight w:val="1936" w:hRule="atLeast"/>
        </w:trPr>
        <w:tc>
          <w:tcPr>
            <w:tcW w:w="21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45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配件、线材及施工费用</w:t>
            </w:r>
          </w:p>
        </w:tc>
        <w:tc>
          <w:tcPr>
            <w:tcW w:w="6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921"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color w:val="000000"/>
                <w:sz w:val="20"/>
                <w:szCs w:val="20"/>
              </w:rPr>
            </w:pPr>
            <w:r>
              <w:rPr>
                <w:rFonts w:hint="eastAsia" w:ascii="仿宋" w:hAnsi="仿宋" w:eastAsia="仿宋" w:cs="Tahoma"/>
                <w:color w:val="000000"/>
                <w:sz w:val="20"/>
                <w:szCs w:val="20"/>
              </w:rPr>
              <w:t>131个固定支架（能固定锁住路由器不可移动），利用现有网络线路安装无线路由器并配置好设备参数。</w:t>
            </w:r>
          </w:p>
        </w:tc>
        <w:tc>
          <w:tcPr>
            <w:tcW w:w="3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项</w:t>
            </w:r>
          </w:p>
        </w:tc>
        <w:tc>
          <w:tcPr>
            <w:tcW w:w="398"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提供支 架样板</w:t>
            </w:r>
          </w:p>
        </w:tc>
        <w:tc>
          <w:tcPr>
            <w:tcW w:w="749"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Tahoma"/>
                <w:color w:val="000000"/>
                <w:sz w:val="20"/>
                <w:szCs w:val="20"/>
              </w:rPr>
            </w:pPr>
            <w:r>
              <w:rPr>
                <w:rFonts w:hint="eastAsia" w:ascii="仿宋" w:hAnsi="仿宋" w:eastAsia="仿宋" w:cs="Tahoma"/>
                <w:color w:val="000000"/>
                <w:sz w:val="20"/>
                <w:szCs w:val="20"/>
              </w:rPr>
              <w:t>利用宿舍原有线路，更换路由器，并按要求做好参数配置，少数宿舍需更换损坏的老旧线路。</w:t>
            </w:r>
          </w:p>
        </w:tc>
      </w:tr>
      <w:tr>
        <w:tblPrEx>
          <w:tblCellMar>
            <w:top w:w="0" w:type="dxa"/>
            <w:left w:w="108" w:type="dxa"/>
            <w:bottom w:w="0" w:type="dxa"/>
            <w:right w:w="108" w:type="dxa"/>
          </w:tblCellMar>
        </w:tblPrEx>
        <w:trPr>
          <w:trHeight w:val="313" w:hRule="atLeast"/>
        </w:trPr>
        <w:tc>
          <w:tcPr>
            <w:tcW w:w="2620"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合计</w:t>
            </w:r>
          </w:p>
        </w:tc>
        <w:tc>
          <w:tcPr>
            <w:tcW w:w="2379" w:type="pct"/>
            <w:gridSpan w:val="5"/>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sz w:val="24"/>
          <w:szCs w:val="24"/>
        </w:rPr>
        <w:t>、安装调试费、售后服务等一切费用。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rPr>
      </w:pPr>
      <w:r>
        <w:rPr>
          <w:rFonts w:hint="eastAsia" w:ascii="仿宋" w:hAnsi="仿宋" w:eastAsia="仿宋"/>
          <w:b/>
          <w:sz w:val="72"/>
          <w:szCs w:val="72"/>
        </w:rPr>
        <w:t>广州市白云工商技师学院</w:t>
      </w:r>
    </w:p>
    <w:p>
      <w:pPr>
        <w:spacing w:line="1000" w:lineRule="exact"/>
        <w:jc w:val="center"/>
        <w:rPr>
          <w:rFonts w:hint="eastAsia" w:ascii="仿宋" w:hAnsi="仿宋" w:eastAsia="仿宋"/>
          <w:b/>
          <w:color w:val="auto"/>
          <w:sz w:val="44"/>
          <w:szCs w:val="44"/>
        </w:rPr>
      </w:pPr>
      <w:r>
        <w:rPr>
          <w:rFonts w:hint="eastAsia" w:ascii="仿宋" w:hAnsi="仿宋" w:eastAsia="仿宋"/>
          <w:b/>
          <w:sz w:val="44"/>
          <w:szCs w:val="44"/>
        </w:rPr>
        <w:t>关于</w:t>
      </w:r>
      <w:r>
        <w:rPr>
          <w:rFonts w:hint="eastAsia" w:ascii="仿宋" w:hAnsi="仿宋" w:eastAsia="仿宋"/>
          <w:b/>
          <w:color w:val="auto"/>
          <w:sz w:val="44"/>
          <w:szCs w:val="44"/>
        </w:rPr>
        <w:t>珠江公寓C区宿舍第二期网络升级</w:t>
      </w:r>
    </w:p>
    <w:p>
      <w:pPr>
        <w:spacing w:line="1000" w:lineRule="exact"/>
        <w:jc w:val="center"/>
        <w:rPr>
          <w:rFonts w:ascii="仿宋" w:hAnsi="仿宋" w:eastAsia="仿宋"/>
          <w:b/>
          <w:sz w:val="44"/>
          <w:szCs w:val="44"/>
        </w:rPr>
      </w:pPr>
      <w:r>
        <w:rPr>
          <w:rFonts w:hint="eastAsia" w:ascii="仿宋" w:hAnsi="仿宋" w:eastAsia="仿宋"/>
          <w:b/>
          <w:color w:val="auto"/>
          <w:sz w:val="44"/>
          <w:szCs w:val="44"/>
        </w:rPr>
        <w:t>改造建设</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lang w:val="en-US" w:eastAsia="zh-CN"/>
        </w:rPr>
        <w:t>授权代表电话：</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ind w:firstLine="3012" w:firstLineChars="10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ind w:firstLine="4096" w:firstLineChars="1700"/>
        <w:jc w:val="both"/>
        <w:outlineLvl w:val="1"/>
        <w:rPr>
          <w:rFonts w:ascii="仿宋" w:hAnsi="仿宋" w:eastAsia="仿宋"/>
          <w:b/>
          <w:bCs/>
          <w:sz w:val="24"/>
          <w:szCs w:val="24"/>
        </w:rPr>
      </w:pPr>
      <w:bookmarkStart w:id="49" w:name="_Toc181436461"/>
      <w:bookmarkStart w:id="50" w:name="_Toc225669322"/>
      <w:bookmarkStart w:id="51" w:name="_Toc223146608"/>
      <w:bookmarkStart w:id="52" w:name="_Toc211917116"/>
      <w:bookmarkStart w:id="53" w:name="_Toc180302913"/>
      <w:bookmarkStart w:id="54" w:name="_Toc217891402"/>
      <w:bookmarkStart w:id="55" w:name="_Toc213755858"/>
      <w:bookmarkStart w:id="56" w:name="_Toc267059806"/>
      <w:bookmarkStart w:id="57" w:name="_Toc191803626"/>
      <w:bookmarkStart w:id="58" w:name="_Toc266870907"/>
      <w:bookmarkStart w:id="59" w:name="_Toc230071147"/>
      <w:bookmarkStart w:id="60" w:name="_Toc249325711"/>
      <w:bookmarkStart w:id="61" w:name="_Toc235437991"/>
      <w:bookmarkStart w:id="62" w:name="_Toc192996446"/>
      <w:bookmarkStart w:id="63" w:name="_Toc266868670"/>
      <w:bookmarkStart w:id="64" w:name="_Toc192663835"/>
      <w:bookmarkStart w:id="65" w:name="_Toc267060453"/>
      <w:bookmarkStart w:id="66" w:name="_Toc227058530"/>
      <w:bookmarkStart w:id="67" w:name="_Toc251613829"/>
      <w:bookmarkStart w:id="68" w:name="_Toc266870432"/>
      <w:bookmarkStart w:id="69" w:name="_Toc267060068"/>
      <w:bookmarkStart w:id="70" w:name="_Toc192664153"/>
      <w:bookmarkStart w:id="71" w:name="_Toc235438274"/>
      <w:bookmarkStart w:id="72" w:name="_Toc181436565"/>
      <w:bookmarkStart w:id="73" w:name="_Toc191783222"/>
      <w:bookmarkStart w:id="74" w:name="_Toc266870833"/>
      <w:bookmarkStart w:id="75" w:name="_Toc177985469"/>
      <w:bookmarkStart w:id="76" w:name="_Toc191802690"/>
      <w:bookmarkStart w:id="77" w:name="_Toc170798793"/>
      <w:bookmarkStart w:id="78" w:name="_Toc267059539"/>
      <w:bookmarkStart w:id="79" w:name="_Toc192663686"/>
      <w:bookmarkStart w:id="80" w:name="_Toc191789329"/>
      <w:bookmarkStart w:id="81" w:name="_Toc235438344"/>
      <w:bookmarkStart w:id="82" w:name="_Toc213208766"/>
      <w:bookmarkStart w:id="83" w:name="_Toc219800243"/>
      <w:bookmarkStart w:id="84" w:name="_Toc182372782"/>
      <w:bookmarkStart w:id="85" w:name="_Toc266868937"/>
      <w:bookmarkStart w:id="86" w:name="_Toc255975007"/>
      <w:bookmarkStart w:id="87" w:name="_Toc169332949"/>
      <w:bookmarkStart w:id="88" w:name="_Toc259692740"/>
      <w:bookmarkStart w:id="89" w:name="_Toc213755939"/>
      <w:bookmarkStart w:id="90" w:name="_Toc267059653"/>
      <w:bookmarkStart w:id="91" w:name="_Toc236021449"/>
      <w:bookmarkStart w:id="92" w:name="_Toc160880529"/>
      <w:bookmarkStart w:id="93" w:name="_Toc213755995"/>
      <w:bookmarkStart w:id="94" w:name="_Toc254790899"/>
      <w:bookmarkStart w:id="95" w:name="_Toc213756051"/>
      <w:bookmarkStart w:id="96" w:name="_Toc182805217"/>
      <w:bookmarkStart w:id="97" w:name="_Toc203355733"/>
      <w:bookmarkStart w:id="98" w:name="_Toc258401256"/>
      <w:bookmarkStart w:id="99" w:name="_Toc267060208"/>
      <w:bookmarkStart w:id="100" w:name="_Toc192996338"/>
      <w:bookmarkStart w:id="101" w:name="_Toc169332838"/>
      <w:bookmarkStart w:id="102" w:name="_Toc267059919"/>
      <w:bookmarkStart w:id="103" w:name="_Toc267060321"/>
      <w:bookmarkStart w:id="104" w:name="_Toc193165734"/>
      <w:bookmarkStart w:id="105" w:name="_Toc259520865"/>
      <w:bookmarkStart w:id="106" w:name="_Toc251586231"/>
      <w:bookmarkStart w:id="107" w:name="_Toc267059030"/>
      <w:bookmarkStart w:id="108" w:name="_Toc253066614"/>
      <w:bookmarkStart w:id="109" w:name="_Toc267059181"/>
      <w:bookmarkStart w:id="110" w:name="_Toc273178698"/>
      <w:bookmarkStart w:id="111" w:name="_Toc232302115"/>
      <w:bookmarkStart w:id="112" w:name="_Toc259692647"/>
      <w:bookmarkStart w:id="113" w:name="_Toc193160448"/>
      <w:bookmarkStart w:id="114" w:name="_Toc160880160"/>
      <w:r>
        <w:rPr>
          <w:rFonts w:hint="eastAsia" w:ascii="仿宋" w:hAnsi="仿宋" w:eastAsia="仿宋"/>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lang w:val="en-US" w:eastAsia="zh-CN"/>
        </w:rPr>
        <w:t>广州市白云工商技师学院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color w:val="FF0000"/>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5" w:name="_Toc203355738"/>
      <w:bookmarkStart w:id="116" w:name="_Toc251586241"/>
      <w:bookmarkStart w:id="117" w:name="_Toc180302918"/>
      <w:bookmarkStart w:id="118" w:name="_Toc259692656"/>
      <w:bookmarkStart w:id="119" w:name="_Toc160880165"/>
      <w:bookmarkStart w:id="120" w:name="_Toc267059544"/>
      <w:bookmarkStart w:id="121" w:name="_Toc170798798"/>
      <w:bookmarkStart w:id="122" w:name="_Toc258401265"/>
      <w:bookmarkStart w:id="123" w:name="_Toc182372787"/>
      <w:bookmarkStart w:id="124" w:name="_Toc217891408"/>
      <w:bookmarkStart w:id="125" w:name="_Toc169332954"/>
      <w:bookmarkStart w:id="126" w:name="_Toc177985474"/>
      <w:bookmarkStart w:id="127" w:name="_Toc192664158"/>
      <w:bookmarkStart w:id="128" w:name="_Toc249325720"/>
      <w:bookmarkStart w:id="129" w:name="_Toc227058536"/>
      <w:bookmarkStart w:id="130" w:name="_Toc232302122"/>
      <w:bookmarkStart w:id="131" w:name="_Toc213208771"/>
      <w:bookmarkStart w:id="132" w:name="_Toc266870441"/>
      <w:bookmarkStart w:id="133" w:name="_Toc235437998"/>
      <w:bookmarkStart w:id="134" w:name="_Toc223146614"/>
      <w:bookmarkStart w:id="135" w:name="_Toc191783227"/>
      <w:bookmarkStart w:id="136" w:name="_Toc273178703"/>
      <w:bookmarkStart w:id="137" w:name="_Toc267060461"/>
      <w:bookmarkStart w:id="138" w:name="_Toc225669328"/>
      <w:bookmarkStart w:id="139" w:name="_Toc266868943"/>
      <w:bookmarkStart w:id="140" w:name="_Toc267059811"/>
      <w:bookmarkStart w:id="141" w:name="_Toc213755945"/>
      <w:bookmarkStart w:id="142" w:name="_Toc259692749"/>
      <w:bookmarkStart w:id="143" w:name="_Toc235438281"/>
      <w:bookmarkStart w:id="144" w:name="_Toc181436466"/>
      <w:bookmarkStart w:id="145" w:name="_Toc213756001"/>
      <w:bookmarkStart w:id="146" w:name="_Toc253066624"/>
      <w:bookmarkStart w:id="147" w:name="_Toc255975016"/>
      <w:bookmarkStart w:id="148" w:name="_Toc251613839"/>
      <w:bookmarkStart w:id="149" w:name="_Toc267059658"/>
      <w:bookmarkStart w:id="150" w:name="_Toc230071153"/>
      <w:bookmarkStart w:id="151" w:name="_Toc267060076"/>
      <w:bookmarkStart w:id="152" w:name="_Toc192663840"/>
      <w:bookmarkStart w:id="153" w:name="_Toc259520874"/>
      <w:bookmarkStart w:id="154" w:name="_Toc182805222"/>
      <w:bookmarkStart w:id="155" w:name="_Toc192996451"/>
      <w:bookmarkStart w:id="156" w:name="_Toc267059035"/>
      <w:bookmarkStart w:id="157" w:name="_Toc235438352"/>
      <w:bookmarkStart w:id="158" w:name="_Toc191789334"/>
      <w:bookmarkStart w:id="159" w:name="_Toc219800249"/>
      <w:bookmarkStart w:id="160" w:name="_Toc266870839"/>
      <w:bookmarkStart w:id="161" w:name="_Toc193165739"/>
      <w:bookmarkStart w:id="162" w:name="_Toc267060326"/>
      <w:bookmarkStart w:id="163" w:name="_Toc160880534"/>
      <w:bookmarkStart w:id="164" w:name="_Toc213755864"/>
      <w:bookmarkStart w:id="165" w:name="_Toc267060216"/>
      <w:bookmarkStart w:id="166" w:name="_Toc191802695"/>
      <w:bookmarkStart w:id="167" w:name="_Toc169332843"/>
      <w:bookmarkStart w:id="168" w:name="_Toc181436570"/>
      <w:bookmarkStart w:id="169" w:name="_Toc192996343"/>
      <w:bookmarkStart w:id="170" w:name="_Toc254790909"/>
      <w:bookmarkStart w:id="171" w:name="_Toc211917121"/>
      <w:bookmarkStart w:id="172" w:name="_Toc266870916"/>
      <w:bookmarkStart w:id="173" w:name="_Toc213756057"/>
      <w:bookmarkStart w:id="174" w:name="_Toc267059924"/>
      <w:bookmarkStart w:id="175" w:name="_Toc193160453"/>
      <w:bookmarkStart w:id="176" w:name="_Toc266868679"/>
      <w:bookmarkStart w:id="177" w:name="_Toc267059186"/>
      <w:bookmarkStart w:id="178" w:name="_Toc191803631"/>
      <w:bookmarkStart w:id="179" w:name="_Toc236021457"/>
      <w:bookmarkStart w:id="180" w:name="_Toc19266369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1590040" cy="231775"/>
          <wp:effectExtent l="0" t="0" r="10160" b="15875"/>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lang w:val="en-US" w:eastAsia="zh-CN"/>
      </w:rPr>
      <w:t xml:space="preserve">       </w:t>
    </w:r>
    <w:r>
      <w:drawing>
        <wp:inline distT="0" distB="0" distL="0" distR="0">
          <wp:extent cx="1590040" cy="231775"/>
          <wp:effectExtent l="0" t="0" r="10160" b="15875"/>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ZDIwNjA5ZGI5Y2YwNzZjN2RhZDAxOWU5MmJlNTI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9329D2"/>
    <w:rsid w:val="07AC659B"/>
    <w:rsid w:val="098B6F7D"/>
    <w:rsid w:val="09ED4C49"/>
    <w:rsid w:val="0C012C2E"/>
    <w:rsid w:val="0D793229"/>
    <w:rsid w:val="13AC347F"/>
    <w:rsid w:val="17063ECA"/>
    <w:rsid w:val="1988466D"/>
    <w:rsid w:val="1E4F15D7"/>
    <w:rsid w:val="2130749E"/>
    <w:rsid w:val="245C5FE8"/>
    <w:rsid w:val="261D1FBA"/>
    <w:rsid w:val="307A6139"/>
    <w:rsid w:val="32EE540A"/>
    <w:rsid w:val="40436D96"/>
    <w:rsid w:val="4277488A"/>
    <w:rsid w:val="430F7403"/>
    <w:rsid w:val="438D6B99"/>
    <w:rsid w:val="45F621B4"/>
    <w:rsid w:val="466B2209"/>
    <w:rsid w:val="4FD324C8"/>
    <w:rsid w:val="50DE21C3"/>
    <w:rsid w:val="5124051D"/>
    <w:rsid w:val="551B6976"/>
    <w:rsid w:val="57825F9E"/>
    <w:rsid w:val="5B394EE6"/>
    <w:rsid w:val="5DA6050C"/>
    <w:rsid w:val="602B2E87"/>
    <w:rsid w:val="64966BE4"/>
    <w:rsid w:val="675474BC"/>
    <w:rsid w:val="6EC72090"/>
    <w:rsid w:val="7247477F"/>
    <w:rsid w:val="762B1157"/>
    <w:rsid w:val="7B9003DA"/>
    <w:rsid w:val="7CC52305"/>
    <w:rsid w:val="7F19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2656</Words>
  <Characters>2836</Characters>
  <Lines>22</Lines>
  <Paragraphs>6</Paragraphs>
  <TotalTime>6</TotalTime>
  <ScaleCrop>false</ScaleCrop>
  <LinksUpToDate>false</LinksUpToDate>
  <CharactersWithSpaces>3049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不凡</cp:lastModifiedBy>
  <dcterms:modified xsi:type="dcterms:W3CDTF">2024-06-03T02:03:56Z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A7A37E9818A24C7C896B56881A86CD09_13</vt:lpwstr>
  </property>
</Properties>
</file>